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5103"/>
        <w:gridCol w:w="2693"/>
      </w:tblGrid>
      <w:tr w:rsidR="008D3373" w:rsidRPr="006A2B44" w14:paraId="155CB2EA" w14:textId="77777777">
        <w:trPr>
          <w:cantSplit/>
          <w:trHeight w:val="1422"/>
        </w:trPr>
        <w:tc>
          <w:tcPr>
            <w:tcW w:w="1419" w:type="dxa"/>
            <w:tcBorders>
              <w:bottom w:val="single" w:sz="12" w:space="0" w:color="auto"/>
            </w:tcBorders>
          </w:tcPr>
          <w:p w14:paraId="602EC287" w14:textId="77777777" w:rsidR="008D3373" w:rsidRPr="006A2B44" w:rsidRDefault="00352EBE" w:rsidP="00444493">
            <w:pPr>
              <w:widowControl w:val="0"/>
              <w:ind w:left="-397" w:right="-397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 wp14:anchorId="1C36B9B8" wp14:editId="7A7F8E6C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-20320</wp:posOffset>
                  </wp:positionV>
                  <wp:extent cx="697230" cy="901700"/>
                  <wp:effectExtent l="0" t="0" r="0" b="12700"/>
                  <wp:wrapNone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7CE98E81" w14:textId="77777777" w:rsidR="008D3373" w:rsidRPr="006A2B44" w:rsidRDefault="008D3373" w:rsidP="00444493">
            <w:pPr>
              <w:spacing w:line="100" w:lineRule="exact"/>
              <w:jc w:val="center"/>
              <w:rPr>
                <w:rFonts w:ascii="Calibri" w:hAnsi="Calibri"/>
                <w:b/>
              </w:rPr>
            </w:pPr>
          </w:p>
          <w:p w14:paraId="270CE66C" w14:textId="77777777" w:rsidR="008D3373" w:rsidRPr="006A2B44" w:rsidRDefault="008D3373" w:rsidP="00444493">
            <w:pPr>
              <w:pStyle w:val="Heading1"/>
              <w:ind w:left="-57"/>
              <w:jc w:val="left"/>
              <w:rPr>
                <w:rFonts w:ascii="Calibri" w:hAnsi="Calibri"/>
              </w:rPr>
            </w:pPr>
            <w:r w:rsidRPr="006A2B44">
              <w:rPr>
                <w:rFonts w:ascii="Calibri" w:hAnsi="Calibri"/>
              </w:rPr>
              <w:t>UNIVERSIDADE DE SÃO PAULO</w:t>
            </w:r>
          </w:p>
          <w:p w14:paraId="34F084F1" w14:textId="77777777" w:rsidR="008D3373" w:rsidRPr="006A2B44" w:rsidRDefault="008D3373" w:rsidP="006A2B44">
            <w:pPr>
              <w:spacing w:before="20"/>
              <w:ind w:left="-57"/>
              <w:rPr>
                <w:rFonts w:ascii="Calibri" w:hAnsi="Calibri"/>
                <w:b/>
                <w:sz w:val="24"/>
              </w:rPr>
            </w:pPr>
            <w:r w:rsidRPr="006A2B44">
              <w:rPr>
                <w:rFonts w:ascii="Calibri" w:hAnsi="Calibri"/>
                <w:b/>
                <w:sz w:val="24"/>
              </w:rPr>
              <w:t>INSTITUTO DE CIÊNCIAS BIOMÉDICAS</w:t>
            </w:r>
          </w:p>
          <w:p w14:paraId="0A28E4E0" w14:textId="77777777" w:rsidR="008D3373" w:rsidRPr="006A2B44" w:rsidRDefault="008D3373" w:rsidP="006A2B44">
            <w:pPr>
              <w:pStyle w:val="Heading6"/>
              <w:spacing w:before="20" w:line="240" w:lineRule="auto"/>
              <w:ind w:left="-57"/>
              <w:rPr>
                <w:rFonts w:ascii="Calibri" w:hAnsi="Calibri"/>
              </w:rPr>
            </w:pPr>
            <w:r w:rsidRPr="006A2B44">
              <w:rPr>
                <w:rFonts w:ascii="Calibri" w:hAnsi="Calibri"/>
              </w:rPr>
              <w:t>DEPARTAMENTO DE IMUNOLOGIA</w:t>
            </w:r>
          </w:p>
          <w:p w14:paraId="5DE11840" w14:textId="77777777" w:rsidR="0025550B" w:rsidRPr="0025550B" w:rsidRDefault="008D3373" w:rsidP="0025550B">
            <w:pPr>
              <w:pStyle w:val="Heading7"/>
              <w:spacing w:before="60" w:line="240" w:lineRule="auto"/>
              <w:ind w:left="-57"/>
              <w:rPr>
                <w:rFonts w:ascii="Calibri" w:hAnsi="Calibri"/>
                <w:i/>
              </w:rPr>
            </w:pPr>
            <w:r w:rsidRPr="006A2B44">
              <w:rPr>
                <w:rFonts w:ascii="Calibri" w:hAnsi="Calibri"/>
                <w:i/>
              </w:rPr>
              <w:t>LABORATÓRIO DE BIOLOGIA CELULAR E MOLECULAR</w:t>
            </w:r>
          </w:p>
        </w:tc>
        <w:tc>
          <w:tcPr>
            <w:tcW w:w="2693" w:type="dxa"/>
          </w:tcPr>
          <w:p w14:paraId="1F6C35E7" w14:textId="77777777" w:rsidR="008D3373" w:rsidRPr="006A2B44" w:rsidRDefault="008D3373" w:rsidP="006A2B44">
            <w:pPr>
              <w:spacing w:before="40"/>
              <w:jc w:val="right"/>
              <w:rPr>
                <w:rFonts w:ascii="Calibri" w:hAnsi="Calibri"/>
              </w:rPr>
            </w:pPr>
          </w:p>
        </w:tc>
      </w:tr>
    </w:tbl>
    <w:p w14:paraId="2048863D" w14:textId="77777777" w:rsidR="0025550B" w:rsidRPr="0025550B" w:rsidRDefault="009B0FF1" w:rsidP="0025550B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ROTEIRO DE AULA</w:t>
      </w:r>
    </w:p>
    <w:p w14:paraId="195293BA" w14:textId="67CD773A" w:rsidR="0025550B" w:rsidRDefault="000F6DEB" w:rsidP="0025550B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Ativação e d</w:t>
      </w:r>
      <w:r w:rsidR="002C1811">
        <w:rPr>
          <w:rFonts w:ascii="Calibri" w:hAnsi="Calibri" w:cs="Arial"/>
          <w:sz w:val="28"/>
          <w:szCs w:val="28"/>
        </w:rPr>
        <w:t>iferenciação de LT</w:t>
      </w:r>
    </w:p>
    <w:p w14:paraId="0FF9F794" w14:textId="77777777" w:rsidR="0025550B" w:rsidRPr="0025550B" w:rsidRDefault="0025550B" w:rsidP="0025550B">
      <w:pPr>
        <w:jc w:val="center"/>
        <w:rPr>
          <w:rFonts w:ascii="Calibri" w:hAnsi="Calibri" w:cs="Arial"/>
          <w:sz w:val="24"/>
          <w:szCs w:val="28"/>
        </w:rPr>
      </w:pPr>
      <w:r w:rsidRPr="0025550B">
        <w:rPr>
          <w:rFonts w:ascii="Calibri" w:hAnsi="Calibri" w:cs="Arial"/>
          <w:sz w:val="24"/>
          <w:szCs w:val="28"/>
        </w:rPr>
        <w:t>(Prof. Dr. Gustavo P. Amarante-Mendes)</w:t>
      </w:r>
    </w:p>
    <w:p w14:paraId="039B944E" w14:textId="77777777" w:rsidR="0025550B" w:rsidRDefault="0025550B" w:rsidP="00BE5D37">
      <w:pPr>
        <w:rPr>
          <w:rFonts w:ascii="Calibri" w:hAnsi="Calibri" w:cs="Arial"/>
          <w:sz w:val="24"/>
          <w:szCs w:val="28"/>
          <w:lang w:val="it-IT"/>
        </w:rPr>
      </w:pPr>
    </w:p>
    <w:p w14:paraId="029515E8" w14:textId="77777777" w:rsidR="0025550B" w:rsidRPr="0025550B" w:rsidRDefault="0034720A" w:rsidP="00BE5D37">
      <w:pPr>
        <w:rPr>
          <w:rFonts w:ascii="Calibri" w:hAnsi="Calibri" w:cs="Arial"/>
          <w:sz w:val="24"/>
          <w:szCs w:val="28"/>
          <w:u w:val="single"/>
          <w:lang w:val="it-IT"/>
        </w:rPr>
      </w:pPr>
      <w:proofErr w:type="spellStart"/>
      <w:r>
        <w:rPr>
          <w:rFonts w:ascii="Calibri" w:hAnsi="Calibri" w:cs="Arial"/>
          <w:sz w:val="24"/>
          <w:szCs w:val="28"/>
          <w:u w:val="single"/>
          <w:lang w:val="it-IT"/>
        </w:rPr>
        <w:t>Objetivos</w:t>
      </w:r>
      <w:proofErr w:type="spellEnd"/>
      <w:r>
        <w:rPr>
          <w:rFonts w:ascii="Calibri" w:hAnsi="Calibri" w:cs="Arial"/>
          <w:sz w:val="24"/>
          <w:szCs w:val="28"/>
          <w:u w:val="single"/>
          <w:lang w:val="it-IT"/>
        </w:rPr>
        <w:t xml:space="preserve"> de </w:t>
      </w:r>
      <w:proofErr w:type="spellStart"/>
      <w:r>
        <w:rPr>
          <w:rFonts w:ascii="Calibri" w:hAnsi="Calibri" w:cs="Arial"/>
          <w:sz w:val="24"/>
          <w:szCs w:val="28"/>
          <w:u w:val="single"/>
          <w:lang w:val="it-IT"/>
        </w:rPr>
        <w:t>aprendizagem</w:t>
      </w:r>
      <w:proofErr w:type="spellEnd"/>
      <w:r>
        <w:rPr>
          <w:rFonts w:ascii="Calibri" w:hAnsi="Calibri" w:cs="Arial"/>
          <w:sz w:val="24"/>
          <w:szCs w:val="28"/>
          <w:u w:val="single"/>
          <w:lang w:val="it-IT"/>
        </w:rPr>
        <w:t>:</w:t>
      </w:r>
    </w:p>
    <w:p w14:paraId="2C762725" w14:textId="77777777" w:rsidR="0025550B" w:rsidRDefault="0025550B" w:rsidP="00BE5D37">
      <w:pPr>
        <w:rPr>
          <w:rFonts w:ascii="Calibri" w:hAnsi="Calibri" w:cs="Arial"/>
          <w:sz w:val="24"/>
          <w:szCs w:val="28"/>
          <w:lang w:val="it-IT"/>
        </w:rPr>
      </w:pPr>
    </w:p>
    <w:p w14:paraId="7374CA98" w14:textId="4F19DE3A" w:rsidR="00DB7516" w:rsidRDefault="00EC6765" w:rsidP="00DB7516">
      <w:pPr>
        <w:pStyle w:val="ListParagraph"/>
        <w:numPr>
          <w:ilvl w:val="0"/>
          <w:numId w:val="9"/>
        </w:numPr>
        <w:rPr>
          <w:rFonts w:ascii="Calibri" w:hAnsi="Calibri" w:cs="Arial"/>
          <w:sz w:val="24"/>
          <w:szCs w:val="28"/>
          <w:lang w:val="it-IT"/>
        </w:rPr>
      </w:pPr>
      <w:proofErr w:type="spellStart"/>
      <w:r>
        <w:rPr>
          <w:rFonts w:ascii="Calibri" w:hAnsi="Calibri" w:cs="Arial"/>
          <w:sz w:val="24"/>
          <w:szCs w:val="28"/>
          <w:lang w:val="it-IT"/>
        </w:rPr>
        <w:t>Entender</w:t>
      </w:r>
      <w:proofErr w:type="spellEnd"/>
      <w:r>
        <w:rPr>
          <w:rFonts w:ascii="Calibri" w:hAnsi="Calibri" w:cs="Arial"/>
          <w:sz w:val="24"/>
          <w:szCs w:val="28"/>
          <w:lang w:val="it-IT"/>
        </w:rPr>
        <w:t xml:space="preserve"> o processo de </w:t>
      </w:r>
      <w:proofErr w:type="spellStart"/>
      <w:r w:rsidR="00DE4252">
        <w:rPr>
          <w:rFonts w:ascii="Calibri" w:hAnsi="Calibri" w:cs="Arial"/>
          <w:sz w:val="24"/>
          <w:szCs w:val="28"/>
          <w:lang w:val="it-IT"/>
        </w:rPr>
        <w:t>ativação</w:t>
      </w:r>
      <w:proofErr w:type="spellEnd"/>
      <w:r w:rsidR="00DE4252">
        <w:rPr>
          <w:rFonts w:ascii="Calibri" w:hAnsi="Calibri" w:cs="Arial"/>
          <w:sz w:val="24"/>
          <w:szCs w:val="28"/>
          <w:lang w:val="it-IT"/>
        </w:rPr>
        <w:t xml:space="preserve"> e </w:t>
      </w:r>
      <w:proofErr w:type="spellStart"/>
      <w:r w:rsidR="00DE4252">
        <w:rPr>
          <w:rFonts w:ascii="Calibri" w:hAnsi="Calibri" w:cs="Arial"/>
          <w:sz w:val="24"/>
          <w:szCs w:val="28"/>
          <w:lang w:val="it-IT"/>
        </w:rPr>
        <w:t>diferenciação</w:t>
      </w:r>
      <w:proofErr w:type="spellEnd"/>
      <w:r w:rsidR="00DE4252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="00DE4252">
        <w:rPr>
          <w:rFonts w:ascii="Calibri" w:hAnsi="Calibri" w:cs="Arial"/>
          <w:sz w:val="24"/>
          <w:szCs w:val="28"/>
          <w:lang w:val="it-IT"/>
        </w:rPr>
        <w:t>dos</w:t>
      </w:r>
      <w:proofErr w:type="spellEnd"/>
      <w:r w:rsidR="00DE4252">
        <w:rPr>
          <w:rFonts w:ascii="Calibri" w:hAnsi="Calibri" w:cs="Arial"/>
          <w:sz w:val="24"/>
          <w:szCs w:val="28"/>
          <w:lang w:val="it-IT"/>
        </w:rPr>
        <w:t xml:space="preserve"> linfócitos T </w:t>
      </w:r>
      <w:proofErr w:type="spellStart"/>
      <w:r w:rsidR="00DE4252">
        <w:rPr>
          <w:rFonts w:ascii="Calibri" w:hAnsi="Calibri" w:cs="Arial"/>
          <w:sz w:val="24"/>
          <w:szCs w:val="28"/>
          <w:lang w:val="it-IT"/>
        </w:rPr>
        <w:t>na</w:t>
      </w:r>
      <w:proofErr w:type="spellEnd"/>
      <w:r w:rsidR="00DE4252">
        <w:rPr>
          <w:rFonts w:ascii="Calibri" w:hAnsi="Calibri" w:cs="Arial"/>
          <w:sz w:val="24"/>
          <w:szCs w:val="28"/>
          <w:lang w:val="it-IT"/>
        </w:rPr>
        <w:t xml:space="preserve"> periferia</w:t>
      </w:r>
    </w:p>
    <w:p w14:paraId="28E0C469" w14:textId="12800318" w:rsidR="005F6332" w:rsidRPr="006B5BEF" w:rsidRDefault="0034720A" w:rsidP="006B5BEF">
      <w:pPr>
        <w:pStyle w:val="ListParagraph"/>
        <w:numPr>
          <w:ilvl w:val="0"/>
          <w:numId w:val="9"/>
        </w:numPr>
        <w:rPr>
          <w:rFonts w:ascii="Calibri" w:hAnsi="Calibri" w:cs="Arial"/>
          <w:sz w:val="24"/>
          <w:szCs w:val="28"/>
          <w:lang w:val="it-IT"/>
        </w:rPr>
      </w:pPr>
      <w:proofErr w:type="spellStart"/>
      <w:r w:rsidRPr="005F6332">
        <w:rPr>
          <w:rFonts w:ascii="Calibri" w:hAnsi="Calibri" w:cs="Arial"/>
          <w:sz w:val="24"/>
          <w:szCs w:val="28"/>
          <w:lang w:val="it-IT"/>
        </w:rPr>
        <w:t>Compreender</w:t>
      </w:r>
      <w:proofErr w:type="spellEnd"/>
      <w:r w:rsidRPr="005F6332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="00DE4252">
        <w:rPr>
          <w:rFonts w:ascii="Calibri" w:hAnsi="Calibri" w:cs="Arial"/>
          <w:sz w:val="24"/>
          <w:szCs w:val="28"/>
          <w:lang w:val="it-IT"/>
        </w:rPr>
        <w:t>que</w:t>
      </w:r>
      <w:proofErr w:type="spellEnd"/>
      <w:r w:rsidR="00DE4252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="00DE4252">
        <w:rPr>
          <w:rFonts w:ascii="Calibri" w:hAnsi="Calibri" w:cs="Arial"/>
          <w:sz w:val="24"/>
          <w:szCs w:val="28"/>
          <w:lang w:val="it-IT"/>
        </w:rPr>
        <w:t>estes</w:t>
      </w:r>
      <w:proofErr w:type="spellEnd"/>
      <w:r w:rsidR="00DE4252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="00DE4252">
        <w:rPr>
          <w:rFonts w:ascii="Calibri" w:hAnsi="Calibri" w:cs="Arial"/>
          <w:sz w:val="24"/>
          <w:szCs w:val="28"/>
          <w:lang w:val="it-IT"/>
        </w:rPr>
        <w:t>processos</w:t>
      </w:r>
      <w:proofErr w:type="spellEnd"/>
      <w:r w:rsidR="00DE4252">
        <w:rPr>
          <w:rFonts w:ascii="Calibri" w:hAnsi="Calibri" w:cs="Arial"/>
          <w:sz w:val="24"/>
          <w:szCs w:val="28"/>
          <w:lang w:val="it-IT"/>
        </w:rPr>
        <w:t xml:space="preserve"> </w:t>
      </w:r>
      <w:proofErr w:type="spellStart"/>
      <w:r w:rsidR="00DE4252">
        <w:rPr>
          <w:rFonts w:ascii="Calibri" w:hAnsi="Calibri" w:cs="Arial"/>
          <w:sz w:val="24"/>
          <w:szCs w:val="28"/>
          <w:lang w:val="it-IT"/>
        </w:rPr>
        <w:t>ocorrem</w:t>
      </w:r>
      <w:proofErr w:type="spellEnd"/>
      <w:r w:rsidR="00DE4252">
        <w:rPr>
          <w:rFonts w:ascii="Calibri" w:hAnsi="Calibri" w:cs="Arial"/>
          <w:sz w:val="24"/>
          <w:szCs w:val="28"/>
          <w:lang w:val="it-IT"/>
        </w:rPr>
        <w:t xml:space="preserve"> nos </w:t>
      </w:r>
      <w:proofErr w:type="spellStart"/>
      <w:r w:rsidR="00DE4252">
        <w:rPr>
          <w:rFonts w:ascii="Calibri" w:hAnsi="Calibri" w:cs="Arial"/>
          <w:sz w:val="24"/>
          <w:szCs w:val="28"/>
          <w:lang w:val="it-IT"/>
        </w:rPr>
        <w:t>órgãos</w:t>
      </w:r>
      <w:proofErr w:type="spellEnd"/>
      <w:r w:rsidR="00DE4252">
        <w:rPr>
          <w:rFonts w:ascii="Calibri" w:hAnsi="Calibri" w:cs="Arial"/>
          <w:sz w:val="24"/>
          <w:szCs w:val="28"/>
          <w:lang w:val="it-IT"/>
        </w:rPr>
        <w:t xml:space="preserve"> linfóides </w:t>
      </w:r>
      <w:proofErr w:type="spellStart"/>
      <w:r w:rsidR="00DE4252">
        <w:rPr>
          <w:rFonts w:ascii="Calibri" w:hAnsi="Calibri" w:cs="Arial"/>
          <w:sz w:val="24"/>
          <w:szCs w:val="28"/>
          <w:lang w:val="it-IT"/>
        </w:rPr>
        <w:t>secundários</w:t>
      </w:r>
      <w:proofErr w:type="spellEnd"/>
      <w:r w:rsidR="00EC6765">
        <w:rPr>
          <w:rFonts w:ascii="Calibri" w:hAnsi="Calibri" w:cs="Arial"/>
          <w:sz w:val="24"/>
          <w:szCs w:val="28"/>
          <w:lang w:val="it-IT"/>
        </w:rPr>
        <w:t xml:space="preserve"> </w:t>
      </w:r>
    </w:p>
    <w:p w14:paraId="5107165C" w14:textId="77777777" w:rsidR="0034720A" w:rsidRDefault="0034720A" w:rsidP="00BE5D37">
      <w:pPr>
        <w:rPr>
          <w:rFonts w:ascii="Calibri" w:hAnsi="Calibri" w:cs="Arial"/>
          <w:sz w:val="24"/>
          <w:szCs w:val="28"/>
          <w:lang w:val="it-IT"/>
        </w:rPr>
      </w:pPr>
    </w:p>
    <w:p w14:paraId="2896949A" w14:textId="2ED79EC1" w:rsidR="007653BB" w:rsidRPr="0025550B" w:rsidRDefault="0079119D" w:rsidP="007653BB">
      <w:pPr>
        <w:rPr>
          <w:rFonts w:ascii="Calibri" w:hAnsi="Calibri" w:cs="Arial"/>
          <w:sz w:val="24"/>
          <w:szCs w:val="28"/>
          <w:u w:val="single"/>
          <w:lang w:val="it-IT"/>
        </w:rPr>
      </w:pPr>
      <w:proofErr w:type="spellStart"/>
      <w:r>
        <w:rPr>
          <w:rFonts w:ascii="Calibri" w:hAnsi="Calibri" w:cs="Arial"/>
          <w:sz w:val="24"/>
          <w:szCs w:val="28"/>
          <w:u w:val="single"/>
          <w:lang w:val="it-IT"/>
        </w:rPr>
        <w:t>Tópicos</w:t>
      </w:r>
      <w:proofErr w:type="spellEnd"/>
      <w:r>
        <w:rPr>
          <w:rFonts w:ascii="Calibri" w:hAnsi="Calibri" w:cs="Arial"/>
          <w:sz w:val="24"/>
          <w:szCs w:val="28"/>
          <w:u w:val="single"/>
          <w:lang w:val="it-IT"/>
        </w:rPr>
        <w:t xml:space="preserve"> </w:t>
      </w:r>
      <w:proofErr w:type="spellStart"/>
      <w:r>
        <w:rPr>
          <w:rFonts w:ascii="Calibri" w:hAnsi="Calibri" w:cs="Arial"/>
          <w:sz w:val="24"/>
          <w:szCs w:val="28"/>
          <w:u w:val="single"/>
          <w:lang w:val="it-IT"/>
        </w:rPr>
        <w:t>em</w:t>
      </w:r>
      <w:proofErr w:type="spellEnd"/>
      <w:r>
        <w:rPr>
          <w:rFonts w:ascii="Calibri" w:hAnsi="Calibri" w:cs="Arial"/>
          <w:sz w:val="24"/>
          <w:szCs w:val="28"/>
          <w:u w:val="single"/>
          <w:lang w:val="it-IT"/>
        </w:rPr>
        <w:t xml:space="preserve"> </w:t>
      </w:r>
      <w:proofErr w:type="spellStart"/>
      <w:r>
        <w:rPr>
          <w:rFonts w:ascii="Calibri" w:hAnsi="Calibri" w:cs="Arial"/>
          <w:sz w:val="24"/>
          <w:szCs w:val="28"/>
          <w:u w:val="single"/>
          <w:lang w:val="it-IT"/>
        </w:rPr>
        <w:t>destaque</w:t>
      </w:r>
      <w:proofErr w:type="spellEnd"/>
      <w:r w:rsidR="007653BB">
        <w:rPr>
          <w:rFonts w:ascii="Calibri" w:hAnsi="Calibri" w:cs="Arial"/>
          <w:sz w:val="24"/>
          <w:szCs w:val="28"/>
          <w:u w:val="single"/>
          <w:lang w:val="it-IT"/>
        </w:rPr>
        <w:t>:</w:t>
      </w:r>
    </w:p>
    <w:p w14:paraId="33CFA413" w14:textId="77777777" w:rsidR="007653BB" w:rsidRDefault="007653BB" w:rsidP="002C1811">
      <w:pPr>
        <w:spacing w:after="120"/>
        <w:jc w:val="both"/>
        <w:rPr>
          <w:rFonts w:ascii="Calibri" w:hAnsi="Calibri" w:cs="Arial"/>
          <w:sz w:val="24"/>
          <w:szCs w:val="28"/>
          <w:lang w:val="it-IT"/>
        </w:rPr>
      </w:pPr>
    </w:p>
    <w:p w14:paraId="556C2767" w14:textId="77777777" w:rsidR="002C1811" w:rsidRDefault="002C1811" w:rsidP="000F6DEB">
      <w:pPr>
        <w:numPr>
          <w:ilvl w:val="0"/>
          <w:numId w:val="11"/>
        </w:numPr>
        <w:spacing w:after="120"/>
        <w:jc w:val="both"/>
        <w:rPr>
          <w:rFonts w:ascii="Calibri" w:hAnsi="Calibri" w:cs="Arial"/>
          <w:sz w:val="24"/>
          <w:szCs w:val="28"/>
          <w:lang w:val="pt-BR"/>
        </w:rPr>
      </w:pPr>
      <w:r w:rsidRPr="002C1811">
        <w:rPr>
          <w:rFonts w:ascii="Calibri" w:hAnsi="Calibri" w:cs="Arial"/>
          <w:sz w:val="24"/>
          <w:szCs w:val="28"/>
          <w:lang w:val="pt-BR"/>
        </w:rPr>
        <w:t xml:space="preserve">Embora o reconhecimento do antígeno seja dado pelo </w:t>
      </w:r>
      <w:proofErr w:type="spellStart"/>
      <w:r w:rsidRPr="002C1811">
        <w:rPr>
          <w:rFonts w:ascii="Calibri" w:hAnsi="Calibri" w:cs="Arial"/>
          <w:sz w:val="24"/>
          <w:szCs w:val="28"/>
          <w:lang w:val="pt-BR"/>
        </w:rPr>
        <w:t>TcR</w:t>
      </w:r>
      <w:proofErr w:type="spellEnd"/>
      <w:r w:rsidRPr="002C1811">
        <w:rPr>
          <w:rFonts w:ascii="Calibri" w:hAnsi="Calibri" w:cs="Arial"/>
          <w:sz w:val="24"/>
          <w:szCs w:val="28"/>
          <w:lang w:val="pt-BR"/>
        </w:rPr>
        <w:t xml:space="preserve">, a tradução deste evento em sinais bioquímicos intracelulares depende do complexo </w:t>
      </w:r>
      <w:proofErr w:type="spellStart"/>
      <w:r w:rsidRPr="002C1811">
        <w:rPr>
          <w:rFonts w:ascii="Calibri" w:hAnsi="Calibri" w:cs="Arial"/>
          <w:sz w:val="24"/>
          <w:szCs w:val="28"/>
          <w:lang w:val="pt-BR"/>
        </w:rPr>
        <w:t>multimolecular</w:t>
      </w:r>
      <w:proofErr w:type="spellEnd"/>
      <w:r w:rsidRPr="002C1811">
        <w:rPr>
          <w:rFonts w:ascii="Calibri" w:hAnsi="Calibri" w:cs="Arial"/>
          <w:sz w:val="24"/>
          <w:szCs w:val="28"/>
          <w:lang w:val="pt-BR"/>
        </w:rPr>
        <w:t xml:space="preserve"> denominado </w:t>
      </w:r>
      <w:r w:rsidRPr="002C1811">
        <w:rPr>
          <w:rFonts w:ascii="Calibri" w:hAnsi="Calibri" w:cs="Arial"/>
          <w:i/>
          <w:iCs/>
          <w:sz w:val="24"/>
          <w:szCs w:val="28"/>
          <w:lang w:val="pt-BR"/>
        </w:rPr>
        <w:t>CD3</w:t>
      </w:r>
      <w:r w:rsidRPr="002C1811">
        <w:rPr>
          <w:rFonts w:ascii="Calibri" w:hAnsi="Calibri" w:cs="Arial"/>
          <w:sz w:val="24"/>
          <w:szCs w:val="28"/>
          <w:lang w:val="pt-BR"/>
        </w:rPr>
        <w:t xml:space="preserve">, o qual encontra-se constantemente associado ao </w:t>
      </w:r>
      <w:proofErr w:type="spellStart"/>
      <w:r w:rsidRPr="002C1811">
        <w:rPr>
          <w:rFonts w:ascii="Calibri" w:hAnsi="Calibri" w:cs="Arial"/>
          <w:sz w:val="24"/>
          <w:szCs w:val="28"/>
          <w:lang w:val="pt-BR"/>
        </w:rPr>
        <w:t>TcR</w:t>
      </w:r>
      <w:proofErr w:type="spellEnd"/>
      <w:r w:rsidRPr="002C1811">
        <w:rPr>
          <w:rFonts w:ascii="Calibri" w:hAnsi="Calibri" w:cs="Arial"/>
          <w:sz w:val="24"/>
          <w:szCs w:val="28"/>
          <w:lang w:val="pt-BR"/>
        </w:rPr>
        <w:t>.</w:t>
      </w:r>
    </w:p>
    <w:p w14:paraId="5A35B430" w14:textId="404A798E" w:rsidR="00DE4252" w:rsidRPr="00DE4252" w:rsidRDefault="00DE4252" w:rsidP="000F6DEB">
      <w:pPr>
        <w:pStyle w:val="ListParagraph"/>
        <w:numPr>
          <w:ilvl w:val="0"/>
          <w:numId w:val="11"/>
        </w:numPr>
        <w:spacing w:after="120"/>
        <w:jc w:val="both"/>
        <w:rPr>
          <w:rFonts w:ascii="Calibri" w:hAnsi="Calibri" w:cs="Arial"/>
          <w:sz w:val="24"/>
          <w:szCs w:val="28"/>
          <w:lang w:val="pt-BR"/>
        </w:rPr>
      </w:pPr>
      <w:r w:rsidRPr="00DE4252">
        <w:rPr>
          <w:rFonts w:ascii="Calibri" w:hAnsi="Calibri" w:cs="Arial"/>
          <w:sz w:val="24"/>
          <w:szCs w:val="28"/>
          <w:lang w:val="pt-BR"/>
        </w:rPr>
        <w:t>A</w:t>
      </w:r>
      <w:r>
        <w:rPr>
          <w:rFonts w:ascii="Calibri" w:hAnsi="Calibri" w:cs="Arial"/>
          <w:sz w:val="24"/>
          <w:szCs w:val="28"/>
          <w:lang w:val="pt-BR"/>
        </w:rPr>
        <w:t xml:space="preserve"> a</w:t>
      </w:r>
      <w:r w:rsidRPr="00DE4252">
        <w:rPr>
          <w:rFonts w:ascii="Calibri" w:hAnsi="Calibri" w:cs="Arial"/>
          <w:sz w:val="24"/>
          <w:szCs w:val="28"/>
          <w:lang w:val="pt-BR"/>
        </w:rPr>
        <w:t>gregação de</w:t>
      </w:r>
      <w:r>
        <w:rPr>
          <w:rFonts w:ascii="Calibri" w:hAnsi="Calibri" w:cs="Arial"/>
          <w:sz w:val="24"/>
          <w:szCs w:val="28"/>
          <w:lang w:val="pt-BR"/>
        </w:rPr>
        <w:t xml:space="preserve"> receptores leva à formação de uma</w:t>
      </w:r>
      <w:r w:rsidRPr="00DE4252">
        <w:rPr>
          <w:rFonts w:ascii="Calibri" w:hAnsi="Calibri" w:cs="Arial"/>
          <w:sz w:val="24"/>
          <w:szCs w:val="28"/>
          <w:lang w:val="pt-BR"/>
        </w:rPr>
        <w:t xml:space="preserve"> estrutura organizada (SMAC; complexo de adesão supramolecular). Quando ativados, os receptores migram e agregam-se em regiões da membrana celular ricas em </w:t>
      </w:r>
      <w:proofErr w:type="spellStart"/>
      <w:r w:rsidRPr="00DE4252">
        <w:rPr>
          <w:rFonts w:ascii="Calibri" w:hAnsi="Calibri" w:cs="Arial"/>
          <w:sz w:val="24"/>
          <w:szCs w:val="28"/>
          <w:lang w:val="pt-BR"/>
        </w:rPr>
        <w:t>glicolipídeos</w:t>
      </w:r>
      <w:proofErr w:type="spellEnd"/>
      <w:r w:rsidRPr="00DE4252">
        <w:rPr>
          <w:rFonts w:ascii="Calibri" w:hAnsi="Calibri" w:cs="Arial"/>
          <w:sz w:val="24"/>
          <w:szCs w:val="28"/>
          <w:lang w:val="pt-BR"/>
        </w:rPr>
        <w:t xml:space="preserve">, colesterol e </w:t>
      </w:r>
      <w:proofErr w:type="spellStart"/>
      <w:r w:rsidRPr="00DE4252">
        <w:rPr>
          <w:rFonts w:ascii="Calibri" w:hAnsi="Calibri" w:cs="Arial"/>
          <w:sz w:val="24"/>
          <w:szCs w:val="28"/>
          <w:lang w:val="pt-BR"/>
        </w:rPr>
        <w:t>esfingolipídeos</w:t>
      </w:r>
      <w:proofErr w:type="spellEnd"/>
      <w:r w:rsidRPr="00DE4252">
        <w:rPr>
          <w:rFonts w:ascii="Calibri" w:hAnsi="Calibri" w:cs="Arial"/>
          <w:sz w:val="24"/>
          <w:szCs w:val="28"/>
          <w:lang w:val="pt-BR"/>
        </w:rPr>
        <w:t xml:space="preserve">, constituídos domínios denominados </w:t>
      </w:r>
      <w:r w:rsidRPr="00DE4252">
        <w:rPr>
          <w:rFonts w:ascii="Calibri" w:hAnsi="Calibri" w:cs="Arial"/>
          <w:b/>
          <w:sz w:val="24"/>
          <w:szCs w:val="28"/>
          <w:lang w:val="pt-BR"/>
        </w:rPr>
        <w:t>balsas lipídicas</w:t>
      </w:r>
      <w:r>
        <w:rPr>
          <w:rFonts w:ascii="Calibri" w:hAnsi="Calibri" w:cs="Arial"/>
          <w:sz w:val="24"/>
          <w:szCs w:val="28"/>
          <w:lang w:val="pt-BR"/>
        </w:rPr>
        <w:t xml:space="preserve"> (</w:t>
      </w:r>
      <w:proofErr w:type="spellStart"/>
      <w:r>
        <w:rPr>
          <w:rFonts w:ascii="Calibri" w:hAnsi="Calibri" w:cs="Arial"/>
          <w:i/>
          <w:sz w:val="24"/>
          <w:szCs w:val="28"/>
          <w:lang w:val="pt-BR"/>
        </w:rPr>
        <w:t>lipid</w:t>
      </w:r>
      <w:proofErr w:type="spellEnd"/>
      <w:r>
        <w:rPr>
          <w:rFonts w:ascii="Calibri" w:hAnsi="Calibri" w:cs="Arial"/>
          <w:i/>
          <w:sz w:val="24"/>
          <w:szCs w:val="28"/>
          <w:lang w:val="pt-BR"/>
        </w:rPr>
        <w:t xml:space="preserve"> </w:t>
      </w:r>
      <w:proofErr w:type="spellStart"/>
      <w:r>
        <w:rPr>
          <w:rFonts w:ascii="Calibri" w:hAnsi="Calibri" w:cs="Arial"/>
          <w:i/>
          <w:sz w:val="24"/>
          <w:szCs w:val="28"/>
          <w:lang w:val="pt-BR"/>
        </w:rPr>
        <w:t>rafts</w:t>
      </w:r>
      <w:proofErr w:type="spellEnd"/>
      <w:r>
        <w:rPr>
          <w:rFonts w:ascii="Calibri" w:hAnsi="Calibri" w:cs="Arial"/>
          <w:sz w:val="24"/>
          <w:szCs w:val="28"/>
          <w:lang w:val="pt-BR"/>
        </w:rPr>
        <w:t>)</w:t>
      </w:r>
      <w:r w:rsidRPr="00DE4252">
        <w:rPr>
          <w:rFonts w:ascii="Calibri" w:hAnsi="Calibri" w:cs="Arial"/>
          <w:sz w:val="24"/>
          <w:szCs w:val="28"/>
          <w:lang w:val="pt-BR"/>
        </w:rPr>
        <w:t xml:space="preserve">. *remoção do colesterol da membrana inibe a sinalização do LT. A interface entre LT e APC nesta situação é altamente organizada e caracterizada a chamada </w:t>
      </w:r>
      <w:r w:rsidRPr="00DE4252">
        <w:rPr>
          <w:rFonts w:ascii="Calibri" w:hAnsi="Calibri" w:cs="Arial"/>
          <w:b/>
          <w:sz w:val="24"/>
          <w:szCs w:val="28"/>
          <w:lang w:val="pt-BR"/>
        </w:rPr>
        <w:t>sinapse imunológica</w:t>
      </w:r>
      <w:r w:rsidRPr="00DE4252">
        <w:rPr>
          <w:rFonts w:ascii="Calibri" w:hAnsi="Calibri" w:cs="Arial"/>
          <w:sz w:val="24"/>
          <w:szCs w:val="28"/>
          <w:lang w:val="pt-BR"/>
        </w:rPr>
        <w:t xml:space="preserve">. </w:t>
      </w:r>
      <w:bookmarkStart w:id="0" w:name="_GoBack"/>
      <w:bookmarkEnd w:id="0"/>
    </w:p>
    <w:p w14:paraId="57A46EA6" w14:textId="3DC2D55E" w:rsidR="00DE4252" w:rsidRPr="00DE4252" w:rsidRDefault="00DE4252" w:rsidP="000F6DEB">
      <w:pPr>
        <w:pStyle w:val="ListParagraph"/>
        <w:numPr>
          <w:ilvl w:val="0"/>
          <w:numId w:val="11"/>
        </w:numPr>
        <w:spacing w:after="120"/>
        <w:jc w:val="both"/>
        <w:rPr>
          <w:rFonts w:ascii="Calibri" w:hAnsi="Calibri" w:cs="Arial"/>
          <w:sz w:val="24"/>
          <w:szCs w:val="28"/>
          <w:lang w:val="pt-BR"/>
        </w:rPr>
      </w:pPr>
      <w:r w:rsidRPr="00DE4252">
        <w:rPr>
          <w:rFonts w:ascii="Calibri" w:hAnsi="Calibri" w:cs="Arial"/>
          <w:sz w:val="24"/>
          <w:szCs w:val="28"/>
          <w:lang w:val="pt-BR"/>
        </w:rPr>
        <w:t>Proteínas TK e outras moléculas de sinalização são enc</w:t>
      </w:r>
      <w:r>
        <w:rPr>
          <w:rFonts w:ascii="Calibri" w:hAnsi="Calibri" w:cs="Arial"/>
          <w:sz w:val="24"/>
          <w:szCs w:val="28"/>
          <w:lang w:val="pt-BR"/>
        </w:rPr>
        <w:t>o</w:t>
      </w:r>
      <w:r w:rsidRPr="00DE4252">
        <w:rPr>
          <w:rFonts w:ascii="Calibri" w:hAnsi="Calibri" w:cs="Arial"/>
          <w:sz w:val="24"/>
          <w:szCs w:val="28"/>
          <w:lang w:val="pt-BR"/>
        </w:rPr>
        <w:t xml:space="preserve">ntradas </w:t>
      </w:r>
      <w:r>
        <w:rPr>
          <w:rFonts w:ascii="Calibri" w:hAnsi="Calibri" w:cs="Arial"/>
          <w:sz w:val="24"/>
          <w:szCs w:val="28"/>
          <w:lang w:val="pt-BR"/>
        </w:rPr>
        <w:t>nas balsas</w:t>
      </w:r>
      <w:r w:rsidRPr="00DE4252">
        <w:rPr>
          <w:rFonts w:ascii="Calibri" w:hAnsi="Calibri" w:cs="Arial"/>
          <w:sz w:val="24"/>
          <w:szCs w:val="28"/>
          <w:lang w:val="pt-BR"/>
        </w:rPr>
        <w:t>, promovendo um ambiente apropriado para a trans</w:t>
      </w:r>
      <w:r>
        <w:rPr>
          <w:rFonts w:ascii="Calibri" w:hAnsi="Calibri" w:cs="Arial"/>
          <w:sz w:val="24"/>
          <w:szCs w:val="28"/>
          <w:lang w:val="pt-BR"/>
        </w:rPr>
        <w:t xml:space="preserve">dução de sinais dos </w:t>
      </w:r>
      <w:proofErr w:type="spellStart"/>
      <w:r>
        <w:rPr>
          <w:rFonts w:ascii="Calibri" w:hAnsi="Calibri" w:cs="Arial"/>
          <w:sz w:val="24"/>
          <w:szCs w:val="28"/>
          <w:lang w:val="pt-BR"/>
        </w:rPr>
        <w:t>TcRs</w:t>
      </w:r>
      <w:proofErr w:type="spellEnd"/>
      <w:r>
        <w:rPr>
          <w:rFonts w:ascii="Calibri" w:hAnsi="Calibri" w:cs="Arial"/>
          <w:sz w:val="24"/>
          <w:szCs w:val="28"/>
          <w:lang w:val="pt-BR"/>
        </w:rPr>
        <w:t>.</w:t>
      </w:r>
    </w:p>
    <w:p w14:paraId="3130784E" w14:textId="77777777" w:rsidR="002C1811" w:rsidRPr="002C1811" w:rsidRDefault="002C1811" w:rsidP="000F6DEB">
      <w:pPr>
        <w:numPr>
          <w:ilvl w:val="0"/>
          <w:numId w:val="11"/>
        </w:numPr>
        <w:spacing w:after="120"/>
        <w:jc w:val="both"/>
        <w:rPr>
          <w:rFonts w:ascii="Calibri" w:hAnsi="Calibri" w:cs="Arial"/>
          <w:sz w:val="24"/>
          <w:szCs w:val="28"/>
          <w:lang w:val="pt-BR"/>
        </w:rPr>
      </w:pPr>
      <w:r w:rsidRPr="002C1811">
        <w:rPr>
          <w:rFonts w:ascii="Calibri" w:hAnsi="Calibri" w:cs="Arial"/>
          <w:sz w:val="24"/>
          <w:szCs w:val="28"/>
          <w:lang w:val="pt-BR"/>
        </w:rPr>
        <w:t xml:space="preserve">A ativação dos linfócitos T requer interações moleculares dependentes não apenas do complexo receptor TcR-CD3, mas dos </w:t>
      </w:r>
      <w:proofErr w:type="spellStart"/>
      <w:r w:rsidRPr="002C1811">
        <w:rPr>
          <w:rFonts w:ascii="Calibri" w:hAnsi="Calibri" w:cs="Arial"/>
          <w:i/>
          <w:iCs/>
          <w:sz w:val="24"/>
          <w:szCs w:val="28"/>
          <w:lang w:val="pt-BR"/>
        </w:rPr>
        <w:t>co</w:t>
      </w:r>
      <w:proofErr w:type="spellEnd"/>
      <w:r w:rsidRPr="002C1811">
        <w:rPr>
          <w:rFonts w:ascii="Calibri" w:hAnsi="Calibri" w:cs="Arial"/>
          <w:i/>
          <w:iCs/>
          <w:sz w:val="24"/>
          <w:szCs w:val="28"/>
          <w:lang w:val="pt-BR"/>
        </w:rPr>
        <w:t>-receptores</w:t>
      </w:r>
      <w:r w:rsidRPr="002C1811">
        <w:rPr>
          <w:rFonts w:ascii="Calibri" w:hAnsi="Calibri" w:cs="Arial"/>
          <w:sz w:val="24"/>
          <w:szCs w:val="28"/>
          <w:lang w:val="pt-BR"/>
        </w:rPr>
        <w:t xml:space="preserve"> CD4 ou CD8, de </w:t>
      </w:r>
      <w:r w:rsidRPr="002C1811">
        <w:rPr>
          <w:rFonts w:ascii="Calibri" w:hAnsi="Calibri" w:cs="Arial"/>
          <w:i/>
          <w:iCs/>
          <w:sz w:val="24"/>
          <w:szCs w:val="28"/>
          <w:lang w:val="pt-BR"/>
        </w:rPr>
        <w:t>moléculas de adesão</w:t>
      </w:r>
      <w:r w:rsidRPr="002C1811">
        <w:rPr>
          <w:rFonts w:ascii="Calibri" w:hAnsi="Calibri" w:cs="Arial"/>
          <w:sz w:val="24"/>
          <w:szCs w:val="28"/>
          <w:lang w:val="pt-BR"/>
        </w:rPr>
        <w:t xml:space="preserve"> como LFA-1/ICAM-1 ou CD2/LFA-3, e moléculas </w:t>
      </w:r>
      <w:proofErr w:type="spellStart"/>
      <w:r w:rsidRPr="002C1811">
        <w:rPr>
          <w:rFonts w:ascii="Calibri" w:hAnsi="Calibri" w:cs="Arial"/>
          <w:i/>
          <w:iCs/>
          <w:sz w:val="24"/>
          <w:szCs w:val="28"/>
          <w:lang w:val="pt-BR"/>
        </w:rPr>
        <w:t>co</w:t>
      </w:r>
      <w:proofErr w:type="spellEnd"/>
      <w:r w:rsidRPr="002C1811">
        <w:rPr>
          <w:rFonts w:ascii="Calibri" w:hAnsi="Calibri" w:cs="Arial"/>
          <w:i/>
          <w:iCs/>
          <w:sz w:val="24"/>
          <w:szCs w:val="28"/>
          <w:lang w:val="pt-BR"/>
        </w:rPr>
        <w:t>-estimuladoras</w:t>
      </w:r>
      <w:r w:rsidRPr="002C1811">
        <w:rPr>
          <w:rFonts w:ascii="Calibri" w:hAnsi="Calibri" w:cs="Arial"/>
          <w:sz w:val="24"/>
          <w:szCs w:val="28"/>
          <w:lang w:val="pt-BR"/>
        </w:rPr>
        <w:t xml:space="preserve"> como CD28/B7 ou CD40L/CD40.</w:t>
      </w:r>
    </w:p>
    <w:p w14:paraId="2B8412AB" w14:textId="77777777" w:rsidR="002C1811" w:rsidRPr="002C1811" w:rsidRDefault="002C1811" w:rsidP="000F6DEB">
      <w:pPr>
        <w:numPr>
          <w:ilvl w:val="0"/>
          <w:numId w:val="11"/>
        </w:numPr>
        <w:spacing w:after="120"/>
        <w:jc w:val="both"/>
        <w:rPr>
          <w:rFonts w:ascii="Calibri" w:hAnsi="Calibri" w:cs="Arial"/>
          <w:sz w:val="24"/>
          <w:szCs w:val="28"/>
          <w:lang w:val="pt-BR"/>
        </w:rPr>
      </w:pPr>
      <w:r w:rsidRPr="002C1811">
        <w:rPr>
          <w:rFonts w:ascii="Calibri" w:hAnsi="Calibri" w:cs="Arial"/>
          <w:sz w:val="24"/>
          <w:szCs w:val="28"/>
          <w:lang w:val="pt-BR"/>
        </w:rPr>
        <w:t>Enquanto o sinal proveniente da molécula CD28, expressa na superfície de linfócitos T “virgens”, ativa e expande estas células, a interação entre CTLA-4, expresso em linfócitos T ativados, e B7, inibe a ativação dos linfócitos T, podendo levar à apoptose.</w:t>
      </w:r>
    </w:p>
    <w:p w14:paraId="04CCE4CB" w14:textId="77777777" w:rsidR="002C1811" w:rsidRPr="002C1811" w:rsidRDefault="002C1811" w:rsidP="000F6DEB">
      <w:pPr>
        <w:numPr>
          <w:ilvl w:val="0"/>
          <w:numId w:val="11"/>
        </w:numPr>
        <w:spacing w:after="120"/>
        <w:jc w:val="both"/>
        <w:rPr>
          <w:rFonts w:ascii="Calibri" w:hAnsi="Calibri" w:cs="Arial"/>
          <w:sz w:val="24"/>
          <w:szCs w:val="28"/>
          <w:lang w:val="pt-BR"/>
        </w:rPr>
      </w:pPr>
      <w:r w:rsidRPr="002C1811">
        <w:rPr>
          <w:rFonts w:ascii="Calibri" w:hAnsi="Calibri" w:cs="Arial"/>
          <w:sz w:val="24"/>
          <w:szCs w:val="28"/>
          <w:lang w:val="pt-BR"/>
        </w:rPr>
        <w:t xml:space="preserve">O reconhecimento antigênico de uma célula T “virgem” via TcR-CD3, na ausência de sinais </w:t>
      </w:r>
      <w:proofErr w:type="spellStart"/>
      <w:r w:rsidRPr="002C1811">
        <w:rPr>
          <w:rFonts w:ascii="Calibri" w:hAnsi="Calibri" w:cs="Arial"/>
          <w:sz w:val="24"/>
          <w:szCs w:val="28"/>
          <w:lang w:val="pt-BR"/>
        </w:rPr>
        <w:t>co</w:t>
      </w:r>
      <w:proofErr w:type="spellEnd"/>
      <w:r w:rsidRPr="002C1811">
        <w:rPr>
          <w:rFonts w:ascii="Calibri" w:hAnsi="Calibri" w:cs="Arial"/>
          <w:sz w:val="24"/>
          <w:szCs w:val="28"/>
          <w:lang w:val="pt-BR"/>
        </w:rPr>
        <w:t xml:space="preserve">-estimuladores, levam o linfócito à </w:t>
      </w:r>
      <w:r w:rsidRPr="002C1811">
        <w:rPr>
          <w:rFonts w:ascii="Calibri" w:hAnsi="Calibri" w:cs="Arial"/>
          <w:i/>
          <w:iCs/>
          <w:sz w:val="24"/>
          <w:szCs w:val="28"/>
          <w:lang w:val="pt-BR"/>
        </w:rPr>
        <w:t>anergia</w:t>
      </w:r>
      <w:r w:rsidRPr="002C1811">
        <w:rPr>
          <w:rFonts w:ascii="Calibri" w:hAnsi="Calibri" w:cs="Arial"/>
          <w:sz w:val="24"/>
          <w:szCs w:val="28"/>
          <w:lang w:val="pt-BR"/>
        </w:rPr>
        <w:t xml:space="preserve">.  Em comparação, um linfócito T de memória pode ser ativado na ausência de sinais </w:t>
      </w:r>
      <w:proofErr w:type="spellStart"/>
      <w:r w:rsidRPr="002C1811">
        <w:rPr>
          <w:rFonts w:ascii="Calibri" w:hAnsi="Calibri" w:cs="Arial"/>
          <w:sz w:val="24"/>
          <w:szCs w:val="28"/>
          <w:lang w:val="pt-BR"/>
        </w:rPr>
        <w:t>co</w:t>
      </w:r>
      <w:proofErr w:type="spellEnd"/>
      <w:r w:rsidRPr="002C1811">
        <w:rPr>
          <w:rFonts w:ascii="Calibri" w:hAnsi="Calibri" w:cs="Arial"/>
          <w:sz w:val="24"/>
          <w:szCs w:val="28"/>
          <w:lang w:val="pt-BR"/>
        </w:rPr>
        <w:t>-estimuladores.</w:t>
      </w:r>
    </w:p>
    <w:p w14:paraId="4371FBD7" w14:textId="77777777" w:rsidR="002C1811" w:rsidRDefault="002C1811" w:rsidP="000F6DEB">
      <w:pPr>
        <w:numPr>
          <w:ilvl w:val="0"/>
          <w:numId w:val="11"/>
        </w:numPr>
        <w:spacing w:after="120"/>
        <w:jc w:val="both"/>
        <w:rPr>
          <w:rFonts w:ascii="Calibri" w:hAnsi="Calibri" w:cs="Arial"/>
          <w:sz w:val="24"/>
          <w:szCs w:val="28"/>
          <w:lang w:val="pt-BR"/>
        </w:rPr>
      </w:pPr>
      <w:r w:rsidRPr="002C1811">
        <w:rPr>
          <w:rFonts w:ascii="Calibri" w:hAnsi="Calibri" w:cs="Arial"/>
          <w:sz w:val="24"/>
          <w:szCs w:val="28"/>
          <w:lang w:val="pt-BR"/>
        </w:rPr>
        <w:t>Os linfócitos T que expressam CD8 são chamados T</w:t>
      </w:r>
      <w:r w:rsidRPr="002C1811">
        <w:rPr>
          <w:rFonts w:ascii="Calibri" w:hAnsi="Calibri" w:cs="Arial"/>
          <w:sz w:val="24"/>
          <w:szCs w:val="28"/>
          <w:vertAlign w:val="subscript"/>
          <w:lang w:val="pt-BR"/>
        </w:rPr>
        <w:t>CTL</w:t>
      </w:r>
      <w:r w:rsidRPr="002C1811">
        <w:rPr>
          <w:rFonts w:ascii="Calibri" w:hAnsi="Calibri" w:cs="Arial"/>
          <w:sz w:val="24"/>
          <w:szCs w:val="28"/>
          <w:lang w:val="pt-BR"/>
        </w:rPr>
        <w:t xml:space="preserve"> e reconhecem antígenos associados às moléculas de MHC classe II.  Os linfócitos T que expressam CD4 são chamados T</w:t>
      </w:r>
      <w:r w:rsidRPr="002C1811">
        <w:rPr>
          <w:rFonts w:ascii="Calibri" w:hAnsi="Calibri" w:cs="Arial"/>
          <w:sz w:val="24"/>
          <w:szCs w:val="28"/>
          <w:vertAlign w:val="subscript"/>
          <w:lang w:val="pt-BR"/>
        </w:rPr>
        <w:t>H</w:t>
      </w:r>
      <w:r w:rsidRPr="002C1811">
        <w:rPr>
          <w:rFonts w:ascii="Calibri" w:hAnsi="Calibri" w:cs="Arial"/>
          <w:sz w:val="24"/>
          <w:szCs w:val="28"/>
          <w:lang w:val="pt-BR"/>
        </w:rPr>
        <w:t xml:space="preserve"> e reconhecem antígenos associados às moléculas de MHC classe II.</w:t>
      </w:r>
    </w:p>
    <w:p w14:paraId="6D864D9D" w14:textId="1921D494" w:rsidR="00EF5C1E" w:rsidRDefault="00EF5C1E" w:rsidP="000F6DEB">
      <w:pPr>
        <w:spacing w:after="120"/>
      </w:pPr>
    </w:p>
    <w:sectPr w:rsidR="00EF5C1E" w:rsidSect="00627510">
      <w:footerReference w:type="default" r:id="rId9"/>
      <w:pgSz w:w="11907" w:h="16840" w:code="9"/>
      <w:pgMar w:top="1440" w:right="141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64D44" w14:textId="77777777" w:rsidR="0090585F" w:rsidRDefault="0090585F" w:rsidP="00BE5D37">
      <w:r>
        <w:separator/>
      </w:r>
    </w:p>
  </w:endnote>
  <w:endnote w:type="continuationSeparator" w:id="0">
    <w:p w14:paraId="15771B6F" w14:textId="77777777" w:rsidR="0090585F" w:rsidRDefault="0090585F" w:rsidP="00BE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brima">
    <w:altName w:val="Times New Roman"/>
    <w:charset w:val="00"/>
    <w:family w:val="auto"/>
    <w:pitch w:val="variable"/>
    <w:sig w:usb0="A000505F" w:usb1="02000041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C95DE" w14:textId="77777777" w:rsidR="0090585F" w:rsidRPr="00EB3826" w:rsidRDefault="0090585F" w:rsidP="00BE5D37">
    <w:pPr>
      <w:pStyle w:val="Footer"/>
      <w:rPr>
        <w:rFonts w:ascii="Ebrima" w:hAnsi="Ebrima"/>
        <w:sz w:val="14"/>
        <w:szCs w:val="14"/>
        <w:lang w:val="en-US"/>
      </w:rPr>
    </w:pPr>
  </w:p>
  <w:p w14:paraId="182E43D6" w14:textId="77777777" w:rsidR="0090585F" w:rsidRDefault="009058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7C97D" w14:textId="77777777" w:rsidR="0090585F" w:rsidRDefault="0090585F" w:rsidP="00BE5D37">
      <w:r>
        <w:separator/>
      </w:r>
    </w:p>
  </w:footnote>
  <w:footnote w:type="continuationSeparator" w:id="0">
    <w:p w14:paraId="189F77C8" w14:textId="77777777" w:rsidR="0090585F" w:rsidRDefault="0090585F" w:rsidP="00BE5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C281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A6B5E75"/>
    <w:multiLevelType w:val="hybridMultilevel"/>
    <w:tmpl w:val="CAE2EA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0F2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51A3648"/>
    <w:multiLevelType w:val="hybridMultilevel"/>
    <w:tmpl w:val="FD88ED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E6B7A"/>
    <w:multiLevelType w:val="multilevel"/>
    <w:tmpl w:val="FC3C30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971A5B"/>
    <w:multiLevelType w:val="hybridMultilevel"/>
    <w:tmpl w:val="B0C4CD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E65AC4"/>
    <w:multiLevelType w:val="multilevel"/>
    <w:tmpl w:val="B22E0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057F60"/>
    <w:multiLevelType w:val="multilevel"/>
    <w:tmpl w:val="D666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880AB5"/>
    <w:multiLevelType w:val="hybridMultilevel"/>
    <w:tmpl w:val="CAE2EA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9559C"/>
    <w:multiLevelType w:val="hybridMultilevel"/>
    <w:tmpl w:val="24645C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55"/>
    <w:rsid w:val="000407B9"/>
    <w:rsid w:val="0008452E"/>
    <w:rsid w:val="000B30C6"/>
    <w:rsid w:val="000F6DEB"/>
    <w:rsid w:val="0010750F"/>
    <w:rsid w:val="00161C55"/>
    <w:rsid w:val="00163FB4"/>
    <w:rsid w:val="00240A41"/>
    <w:rsid w:val="0025550B"/>
    <w:rsid w:val="002C1811"/>
    <w:rsid w:val="0034720A"/>
    <w:rsid w:val="00352EBE"/>
    <w:rsid w:val="00374153"/>
    <w:rsid w:val="00444493"/>
    <w:rsid w:val="00453AF4"/>
    <w:rsid w:val="00473163"/>
    <w:rsid w:val="004828D7"/>
    <w:rsid w:val="004E3BFD"/>
    <w:rsid w:val="004E4821"/>
    <w:rsid w:val="005159FC"/>
    <w:rsid w:val="00551107"/>
    <w:rsid w:val="00553F84"/>
    <w:rsid w:val="005D5357"/>
    <w:rsid w:val="005E50F4"/>
    <w:rsid w:val="005F6332"/>
    <w:rsid w:val="00627510"/>
    <w:rsid w:val="00670CAB"/>
    <w:rsid w:val="006A2B44"/>
    <w:rsid w:val="006B168D"/>
    <w:rsid w:val="006B5BEF"/>
    <w:rsid w:val="006C2CDB"/>
    <w:rsid w:val="006F07C8"/>
    <w:rsid w:val="006F5EDA"/>
    <w:rsid w:val="0074135B"/>
    <w:rsid w:val="007653BB"/>
    <w:rsid w:val="0079119D"/>
    <w:rsid w:val="007B0AF5"/>
    <w:rsid w:val="007F06E4"/>
    <w:rsid w:val="00814CF0"/>
    <w:rsid w:val="008718CA"/>
    <w:rsid w:val="00881214"/>
    <w:rsid w:val="008B72B8"/>
    <w:rsid w:val="008D3373"/>
    <w:rsid w:val="0090585F"/>
    <w:rsid w:val="00931BA4"/>
    <w:rsid w:val="009532F5"/>
    <w:rsid w:val="009B0FF1"/>
    <w:rsid w:val="00A06FF2"/>
    <w:rsid w:val="00A27020"/>
    <w:rsid w:val="00A359CE"/>
    <w:rsid w:val="00AC5626"/>
    <w:rsid w:val="00AD1D30"/>
    <w:rsid w:val="00AD6F79"/>
    <w:rsid w:val="00B52BBC"/>
    <w:rsid w:val="00B81416"/>
    <w:rsid w:val="00B9769D"/>
    <w:rsid w:val="00BC03D1"/>
    <w:rsid w:val="00BD35C7"/>
    <w:rsid w:val="00BE5D37"/>
    <w:rsid w:val="00C05CC7"/>
    <w:rsid w:val="00C15C06"/>
    <w:rsid w:val="00C90374"/>
    <w:rsid w:val="00CB7658"/>
    <w:rsid w:val="00CD011F"/>
    <w:rsid w:val="00CE2328"/>
    <w:rsid w:val="00CE48B6"/>
    <w:rsid w:val="00D254DC"/>
    <w:rsid w:val="00DA759A"/>
    <w:rsid w:val="00DB7516"/>
    <w:rsid w:val="00DE4252"/>
    <w:rsid w:val="00DE5E70"/>
    <w:rsid w:val="00EC42E9"/>
    <w:rsid w:val="00EC6765"/>
    <w:rsid w:val="00EF5C1E"/>
    <w:rsid w:val="00F263F7"/>
    <w:rsid w:val="00F81D3D"/>
    <w:rsid w:val="00F8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323A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lang w:val="pt-PT" w:eastAsia="pt-BR"/>
    </w:rPr>
  </w:style>
  <w:style w:type="paragraph" w:styleId="Heading1">
    <w:name w:val="heading 1"/>
    <w:basedOn w:val="Normal"/>
    <w:next w:val="Normal"/>
    <w:qFormat/>
    <w:pPr>
      <w:keepNext/>
      <w:ind w:left="708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ind w:left="-142" w:right="-476"/>
      <w:jc w:val="both"/>
      <w:outlineLvl w:val="1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qFormat/>
    <w:pPr>
      <w:keepNext/>
      <w:spacing w:line="420" w:lineRule="exac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spacing w:line="420" w:lineRule="exact"/>
      <w:outlineLvl w:val="6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96"/>
      <w:szCs w:val="96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426"/>
      </w:tabs>
      <w:ind w:left="-142" w:right="-476"/>
      <w:jc w:val="both"/>
    </w:pPr>
    <w:rPr>
      <w:sz w:val="24"/>
      <w:szCs w:val="24"/>
    </w:rPr>
  </w:style>
  <w:style w:type="paragraph" w:styleId="BodyText">
    <w:name w:val="Body Text"/>
    <w:basedOn w:val="Normal"/>
    <w:pPr>
      <w:spacing w:line="360" w:lineRule="auto"/>
      <w:jc w:val="both"/>
    </w:pPr>
    <w:rPr>
      <w:sz w:val="28"/>
      <w:szCs w:val="28"/>
      <w:lang w:val="en-US"/>
    </w:rPr>
  </w:style>
  <w:style w:type="paragraph" w:styleId="BalloonText">
    <w:name w:val="Balloon Text"/>
    <w:basedOn w:val="Normal"/>
    <w:semiHidden/>
    <w:rsid w:val="008718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59C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BE5D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E5D37"/>
    <w:rPr>
      <w:rFonts w:ascii="Times New Roman" w:hAnsi="Times New Roman"/>
      <w:lang w:val="pt-PT" w:eastAsia="pt-BR"/>
    </w:rPr>
  </w:style>
  <w:style w:type="paragraph" w:styleId="Footer">
    <w:name w:val="footer"/>
    <w:basedOn w:val="Normal"/>
    <w:link w:val="FooterChar"/>
    <w:uiPriority w:val="99"/>
    <w:rsid w:val="00BE5D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E5D37"/>
    <w:rPr>
      <w:rFonts w:ascii="Times New Roman" w:hAnsi="Times New Roman"/>
      <w:lang w:val="pt-PT" w:eastAsia="pt-BR"/>
    </w:rPr>
  </w:style>
  <w:style w:type="paragraph" w:styleId="NoSpacing">
    <w:name w:val="No Spacing"/>
    <w:uiPriority w:val="1"/>
    <w:qFormat/>
    <w:rsid w:val="006F07C8"/>
    <w:rPr>
      <w:rFonts w:ascii="Times New Roman" w:eastAsia="Calibri" w:hAnsi="Times New Roman"/>
      <w:sz w:val="28"/>
      <w:szCs w:val="28"/>
      <w:lang w:val="pt-BR"/>
    </w:rPr>
  </w:style>
  <w:style w:type="paragraph" w:styleId="ListParagraph">
    <w:name w:val="List Paragraph"/>
    <w:basedOn w:val="Normal"/>
    <w:uiPriority w:val="72"/>
    <w:rsid w:val="005F6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lang w:val="pt-PT" w:eastAsia="pt-BR"/>
    </w:rPr>
  </w:style>
  <w:style w:type="paragraph" w:styleId="Heading1">
    <w:name w:val="heading 1"/>
    <w:basedOn w:val="Normal"/>
    <w:next w:val="Normal"/>
    <w:qFormat/>
    <w:pPr>
      <w:keepNext/>
      <w:ind w:left="708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ind w:left="-142" w:right="-476"/>
      <w:jc w:val="both"/>
      <w:outlineLvl w:val="1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qFormat/>
    <w:pPr>
      <w:keepNext/>
      <w:spacing w:line="420" w:lineRule="exac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spacing w:line="420" w:lineRule="exact"/>
      <w:outlineLvl w:val="6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96"/>
      <w:szCs w:val="96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426"/>
      </w:tabs>
      <w:ind w:left="-142" w:right="-476"/>
      <w:jc w:val="both"/>
    </w:pPr>
    <w:rPr>
      <w:sz w:val="24"/>
      <w:szCs w:val="24"/>
    </w:rPr>
  </w:style>
  <w:style w:type="paragraph" w:styleId="BodyText">
    <w:name w:val="Body Text"/>
    <w:basedOn w:val="Normal"/>
    <w:pPr>
      <w:spacing w:line="360" w:lineRule="auto"/>
      <w:jc w:val="both"/>
    </w:pPr>
    <w:rPr>
      <w:sz w:val="28"/>
      <w:szCs w:val="28"/>
      <w:lang w:val="en-US"/>
    </w:rPr>
  </w:style>
  <w:style w:type="paragraph" w:styleId="BalloonText">
    <w:name w:val="Balloon Text"/>
    <w:basedOn w:val="Normal"/>
    <w:semiHidden/>
    <w:rsid w:val="008718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59C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BE5D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E5D37"/>
    <w:rPr>
      <w:rFonts w:ascii="Times New Roman" w:hAnsi="Times New Roman"/>
      <w:lang w:val="pt-PT" w:eastAsia="pt-BR"/>
    </w:rPr>
  </w:style>
  <w:style w:type="paragraph" w:styleId="Footer">
    <w:name w:val="footer"/>
    <w:basedOn w:val="Normal"/>
    <w:link w:val="FooterChar"/>
    <w:uiPriority w:val="99"/>
    <w:rsid w:val="00BE5D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E5D37"/>
    <w:rPr>
      <w:rFonts w:ascii="Times New Roman" w:hAnsi="Times New Roman"/>
      <w:lang w:val="pt-PT" w:eastAsia="pt-BR"/>
    </w:rPr>
  </w:style>
  <w:style w:type="paragraph" w:styleId="NoSpacing">
    <w:name w:val="No Spacing"/>
    <w:uiPriority w:val="1"/>
    <w:qFormat/>
    <w:rsid w:val="006F07C8"/>
    <w:rPr>
      <w:rFonts w:ascii="Times New Roman" w:eastAsia="Calibri" w:hAnsi="Times New Roman"/>
      <w:sz w:val="28"/>
      <w:szCs w:val="28"/>
      <w:lang w:val="pt-BR"/>
    </w:rPr>
  </w:style>
  <w:style w:type="paragraph" w:styleId="ListParagraph">
    <w:name w:val="List Paragraph"/>
    <w:basedOn w:val="Normal"/>
    <w:uiPriority w:val="72"/>
    <w:rsid w:val="005F6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8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7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1926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timbre do ICB</vt:lpstr>
    </vt:vector>
  </TitlesOfParts>
  <Company> 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do ICB</dc:title>
  <dc:subject/>
  <dc:creator>Prof. Carlos Moreira</dc:creator>
  <cp:keywords/>
  <dc:description/>
  <cp:lastModifiedBy>Gustavo Amarante-Mendes</cp:lastModifiedBy>
  <cp:revision>5</cp:revision>
  <cp:lastPrinted>2018-08-22T17:57:00Z</cp:lastPrinted>
  <dcterms:created xsi:type="dcterms:W3CDTF">2020-04-14T19:52:00Z</dcterms:created>
  <dcterms:modified xsi:type="dcterms:W3CDTF">2020-04-14T20:52:00Z</dcterms:modified>
</cp:coreProperties>
</file>