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103"/>
        <w:gridCol w:w="2693"/>
      </w:tblGrid>
      <w:tr w:rsidR="008D3373" w:rsidRPr="006A2B44" w14:paraId="155CB2EA" w14:textId="77777777">
        <w:trPr>
          <w:cantSplit/>
          <w:trHeight w:val="1422"/>
        </w:trPr>
        <w:tc>
          <w:tcPr>
            <w:tcW w:w="1419" w:type="dxa"/>
            <w:tcBorders>
              <w:bottom w:val="single" w:sz="12" w:space="0" w:color="auto"/>
            </w:tcBorders>
          </w:tcPr>
          <w:p w14:paraId="602EC287" w14:textId="77777777" w:rsidR="008D3373" w:rsidRPr="006A2B44" w:rsidRDefault="00352EBE" w:rsidP="00444493">
            <w:pPr>
              <w:widowControl w:val="0"/>
              <w:ind w:left="-397" w:right="-39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1C36B9B8" wp14:editId="7A7F8E6C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-20320</wp:posOffset>
                  </wp:positionV>
                  <wp:extent cx="697230" cy="901700"/>
                  <wp:effectExtent l="0" t="0" r="0" b="1270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7CE98E81" w14:textId="77777777" w:rsidR="008D3373" w:rsidRPr="006A2B44" w:rsidRDefault="008D3373" w:rsidP="00444493">
            <w:pPr>
              <w:spacing w:line="100" w:lineRule="exact"/>
              <w:jc w:val="center"/>
              <w:rPr>
                <w:rFonts w:ascii="Calibri" w:hAnsi="Calibri"/>
                <w:b/>
              </w:rPr>
            </w:pPr>
          </w:p>
          <w:p w14:paraId="270CE66C" w14:textId="77777777" w:rsidR="008D3373" w:rsidRPr="006A2B44" w:rsidRDefault="008D3373" w:rsidP="00444493">
            <w:pPr>
              <w:pStyle w:val="Heading1"/>
              <w:ind w:left="-57"/>
              <w:jc w:val="left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UNIVERSIDADE DE SÃO PAULO</w:t>
            </w:r>
          </w:p>
          <w:p w14:paraId="34F084F1" w14:textId="77777777" w:rsidR="008D3373" w:rsidRPr="006A2B44" w:rsidRDefault="008D3373" w:rsidP="006A2B44">
            <w:pPr>
              <w:spacing w:before="20"/>
              <w:ind w:left="-57"/>
              <w:rPr>
                <w:rFonts w:ascii="Calibri" w:hAnsi="Calibri"/>
                <w:b/>
                <w:sz w:val="24"/>
              </w:rPr>
            </w:pPr>
            <w:r w:rsidRPr="006A2B44">
              <w:rPr>
                <w:rFonts w:ascii="Calibri" w:hAnsi="Calibri"/>
                <w:b/>
                <w:sz w:val="24"/>
              </w:rPr>
              <w:t>INSTITUTO DE CIÊNCIAS BIOMÉDICAS</w:t>
            </w:r>
          </w:p>
          <w:p w14:paraId="0A28E4E0" w14:textId="77777777" w:rsidR="008D3373" w:rsidRPr="006A2B44" w:rsidRDefault="008D3373" w:rsidP="006A2B44">
            <w:pPr>
              <w:pStyle w:val="Heading6"/>
              <w:spacing w:before="20" w:line="240" w:lineRule="auto"/>
              <w:ind w:left="-57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DEPARTAMENTO DE IMUNOLOGIA</w:t>
            </w:r>
          </w:p>
          <w:p w14:paraId="5DE11840" w14:textId="77777777" w:rsidR="0025550B" w:rsidRPr="0025550B" w:rsidRDefault="008D3373" w:rsidP="0025550B">
            <w:pPr>
              <w:pStyle w:val="Heading7"/>
              <w:spacing w:before="60" w:line="240" w:lineRule="auto"/>
              <w:ind w:left="-57"/>
              <w:rPr>
                <w:rFonts w:ascii="Calibri" w:hAnsi="Calibri"/>
                <w:i/>
              </w:rPr>
            </w:pPr>
            <w:r w:rsidRPr="006A2B44">
              <w:rPr>
                <w:rFonts w:ascii="Calibri" w:hAnsi="Calibri"/>
                <w:i/>
              </w:rPr>
              <w:t>LABORATÓRIO DE BIOLOGIA CELULAR E MOLECULAR</w:t>
            </w:r>
          </w:p>
        </w:tc>
        <w:tc>
          <w:tcPr>
            <w:tcW w:w="2693" w:type="dxa"/>
          </w:tcPr>
          <w:p w14:paraId="1F6C35E7" w14:textId="77777777" w:rsidR="008D3373" w:rsidRPr="006A2B44" w:rsidRDefault="008D3373" w:rsidP="006A2B44">
            <w:pPr>
              <w:spacing w:before="40"/>
              <w:jc w:val="right"/>
              <w:rPr>
                <w:rFonts w:ascii="Calibri" w:hAnsi="Calibri"/>
              </w:rPr>
            </w:pPr>
          </w:p>
        </w:tc>
      </w:tr>
    </w:tbl>
    <w:p w14:paraId="2048863D" w14:textId="77777777" w:rsidR="0025550B" w:rsidRPr="0025550B" w:rsidRDefault="009B0FF1" w:rsidP="0025550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ROTEIRO DE AULA</w:t>
      </w:r>
    </w:p>
    <w:p w14:paraId="195293BA" w14:textId="28A5D646" w:rsidR="0025550B" w:rsidRDefault="000B30C6" w:rsidP="0025550B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Ontogenia</w:t>
      </w:r>
      <w:r w:rsidR="009B0FF1">
        <w:rPr>
          <w:rFonts w:ascii="Calibri" w:hAnsi="Calibri" w:cs="Arial"/>
          <w:sz w:val="28"/>
          <w:szCs w:val="28"/>
        </w:rPr>
        <w:t xml:space="preserve"> LT e LB</w:t>
      </w:r>
      <w:r>
        <w:rPr>
          <w:rFonts w:ascii="Calibri" w:hAnsi="Calibri" w:cs="Arial"/>
          <w:sz w:val="28"/>
          <w:szCs w:val="28"/>
        </w:rPr>
        <w:t xml:space="preserve"> e Tolerância Central</w:t>
      </w:r>
    </w:p>
    <w:p w14:paraId="0FF9F794" w14:textId="77777777" w:rsidR="0025550B" w:rsidRPr="0025550B" w:rsidRDefault="0025550B" w:rsidP="0025550B">
      <w:pPr>
        <w:jc w:val="center"/>
        <w:rPr>
          <w:rFonts w:ascii="Calibri" w:hAnsi="Calibri" w:cs="Arial"/>
          <w:sz w:val="24"/>
          <w:szCs w:val="28"/>
        </w:rPr>
      </w:pPr>
      <w:r w:rsidRPr="0025550B">
        <w:rPr>
          <w:rFonts w:ascii="Calibri" w:hAnsi="Calibri" w:cs="Arial"/>
          <w:sz w:val="24"/>
          <w:szCs w:val="28"/>
        </w:rPr>
        <w:t>(Prof. Dr. Gustavo P. Amarante-Mendes)</w:t>
      </w:r>
    </w:p>
    <w:p w14:paraId="039B944E" w14:textId="77777777" w:rsidR="0025550B" w:rsidRDefault="0025550B" w:rsidP="00BE5D37">
      <w:pPr>
        <w:rPr>
          <w:rFonts w:ascii="Calibri" w:hAnsi="Calibri" w:cs="Arial"/>
          <w:sz w:val="24"/>
          <w:szCs w:val="28"/>
          <w:lang w:val="it-IT"/>
        </w:rPr>
      </w:pPr>
    </w:p>
    <w:p w14:paraId="029515E8" w14:textId="77777777" w:rsidR="0025550B" w:rsidRPr="0025550B" w:rsidRDefault="0034720A" w:rsidP="00BE5D37">
      <w:pPr>
        <w:rPr>
          <w:rFonts w:ascii="Calibri" w:hAnsi="Calibri" w:cs="Arial"/>
          <w:sz w:val="24"/>
          <w:szCs w:val="28"/>
          <w:u w:val="single"/>
          <w:lang w:val="it-IT"/>
        </w:rPr>
      </w:pP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Objetivos</w:t>
      </w:r>
      <w:proofErr w:type="spellEnd"/>
      <w:r>
        <w:rPr>
          <w:rFonts w:ascii="Calibri" w:hAnsi="Calibri" w:cs="Arial"/>
          <w:sz w:val="24"/>
          <w:szCs w:val="28"/>
          <w:u w:val="single"/>
          <w:lang w:val="it-IT"/>
        </w:rPr>
        <w:t xml:space="preserve"> de </w:t>
      </w: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aprendizagem</w:t>
      </w:r>
      <w:proofErr w:type="spellEnd"/>
      <w:r>
        <w:rPr>
          <w:rFonts w:ascii="Calibri" w:hAnsi="Calibri" w:cs="Arial"/>
          <w:sz w:val="24"/>
          <w:szCs w:val="28"/>
          <w:u w:val="single"/>
          <w:lang w:val="it-IT"/>
        </w:rPr>
        <w:t>:</w:t>
      </w:r>
    </w:p>
    <w:p w14:paraId="2C762725" w14:textId="77777777" w:rsidR="0025550B" w:rsidRDefault="0025550B" w:rsidP="00BE5D37">
      <w:pPr>
        <w:rPr>
          <w:rFonts w:ascii="Calibri" w:hAnsi="Calibri" w:cs="Arial"/>
          <w:sz w:val="24"/>
          <w:szCs w:val="28"/>
          <w:lang w:val="it-IT"/>
        </w:rPr>
      </w:pPr>
    </w:p>
    <w:p w14:paraId="7374CA98" w14:textId="4D9547AC" w:rsidR="00DB7516" w:rsidRDefault="00EC6765" w:rsidP="00DB7516">
      <w:pPr>
        <w:pStyle w:val="ListParagraph"/>
        <w:numPr>
          <w:ilvl w:val="0"/>
          <w:numId w:val="9"/>
        </w:numPr>
        <w:rPr>
          <w:rFonts w:ascii="Calibri" w:hAnsi="Calibri" w:cs="Arial"/>
          <w:sz w:val="24"/>
          <w:szCs w:val="28"/>
          <w:lang w:val="it-IT"/>
        </w:rPr>
      </w:pPr>
      <w:proofErr w:type="spellStart"/>
      <w:r>
        <w:rPr>
          <w:rFonts w:ascii="Calibri" w:hAnsi="Calibri" w:cs="Arial"/>
          <w:sz w:val="24"/>
          <w:szCs w:val="28"/>
          <w:lang w:val="it-IT"/>
        </w:rPr>
        <w:t>Entender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o processo de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desenvolvimento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>/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maturação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dos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linfócitos T no timo</w:t>
      </w:r>
    </w:p>
    <w:p w14:paraId="28E0C469" w14:textId="5D636502" w:rsidR="005F6332" w:rsidRPr="006B5BEF" w:rsidRDefault="0034720A" w:rsidP="006B5BEF">
      <w:pPr>
        <w:pStyle w:val="ListParagraph"/>
        <w:numPr>
          <w:ilvl w:val="0"/>
          <w:numId w:val="9"/>
        </w:numPr>
        <w:rPr>
          <w:rFonts w:ascii="Calibri" w:hAnsi="Calibri" w:cs="Arial"/>
          <w:sz w:val="24"/>
          <w:szCs w:val="28"/>
          <w:lang w:val="it-IT"/>
        </w:rPr>
      </w:pPr>
      <w:proofErr w:type="spellStart"/>
      <w:r w:rsidRPr="005F6332">
        <w:rPr>
          <w:rFonts w:ascii="Calibri" w:hAnsi="Calibri" w:cs="Arial"/>
          <w:sz w:val="24"/>
          <w:szCs w:val="28"/>
          <w:lang w:val="it-IT"/>
        </w:rPr>
        <w:t>Compreender</w:t>
      </w:r>
      <w:proofErr w:type="spellEnd"/>
      <w:r w:rsidRPr="005F6332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D25084">
        <w:rPr>
          <w:rFonts w:ascii="Calibri" w:hAnsi="Calibri" w:cs="Arial"/>
          <w:sz w:val="24"/>
          <w:szCs w:val="28"/>
          <w:lang w:val="it-IT"/>
        </w:rPr>
        <w:t>como</w:t>
      </w:r>
      <w:proofErr w:type="spellEnd"/>
      <w:r w:rsidR="00D25084">
        <w:rPr>
          <w:rFonts w:ascii="Calibri" w:hAnsi="Calibri" w:cs="Arial"/>
          <w:sz w:val="24"/>
          <w:szCs w:val="28"/>
          <w:lang w:val="it-IT"/>
        </w:rPr>
        <w:t xml:space="preserve"> este processo </w:t>
      </w:r>
      <w:proofErr w:type="spellStart"/>
      <w:r w:rsidR="00D25084">
        <w:rPr>
          <w:rFonts w:ascii="Calibri" w:hAnsi="Calibri" w:cs="Arial"/>
          <w:sz w:val="24"/>
          <w:szCs w:val="28"/>
          <w:lang w:val="it-IT"/>
        </w:rPr>
        <w:t>controla</w:t>
      </w:r>
      <w:proofErr w:type="spellEnd"/>
      <w:r w:rsidR="00EC6765">
        <w:rPr>
          <w:rFonts w:ascii="Calibri" w:hAnsi="Calibri" w:cs="Arial"/>
          <w:sz w:val="24"/>
          <w:szCs w:val="28"/>
          <w:lang w:val="it-IT"/>
        </w:rPr>
        <w:t xml:space="preserve"> a relativa </w:t>
      </w:r>
      <w:proofErr w:type="spellStart"/>
      <w:r w:rsidR="00EC6765">
        <w:rPr>
          <w:rFonts w:ascii="Calibri" w:hAnsi="Calibri" w:cs="Arial"/>
          <w:sz w:val="24"/>
          <w:szCs w:val="28"/>
          <w:lang w:val="it-IT"/>
        </w:rPr>
        <w:t>tolerância</w:t>
      </w:r>
      <w:proofErr w:type="spellEnd"/>
      <w:r w:rsidR="00EC6765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EC6765">
        <w:rPr>
          <w:rFonts w:ascii="Calibri" w:hAnsi="Calibri" w:cs="Arial"/>
          <w:sz w:val="24"/>
          <w:szCs w:val="28"/>
          <w:lang w:val="it-IT"/>
        </w:rPr>
        <w:t>aos</w:t>
      </w:r>
      <w:proofErr w:type="spellEnd"/>
      <w:r w:rsidR="00EC6765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EC6765">
        <w:rPr>
          <w:rFonts w:ascii="Calibri" w:hAnsi="Calibri" w:cs="Arial"/>
          <w:sz w:val="24"/>
          <w:szCs w:val="28"/>
          <w:lang w:val="it-IT"/>
        </w:rPr>
        <w:t>próprios</w:t>
      </w:r>
      <w:proofErr w:type="spellEnd"/>
      <w:r w:rsidR="00EC6765">
        <w:rPr>
          <w:rFonts w:ascii="Calibri" w:hAnsi="Calibri" w:cs="Arial"/>
          <w:sz w:val="24"/>
          <w:szCs w:val="28"/>
          <w:lang w:val="it-IT"/>
        </w:rPr>
        <w:t xml:space="preserve"> </w:t>
      </w:r>
      <w:r w:rsidR="00D25084">
        <w:rPr>
          <w:rFonts w:ascii="Calibri" w:hAnsi="Calibri" w:cs="Arial"/>
          <w:sz w:val="24"/>
          <w:szCs w:val="28"/>
          <w:lang w:val="it-IT"/>
        </w:rPr>
        <w:t>(</w:t>
      </w:r>
      <w:r w:rsidR="00D25084" w:rsidRPr="00D25084">
        <w:rPr>
          <w:rFonts w:ascii="Calibri" w:hAnsi="Calibri" w:cs="Arial"/>
          <w:sz w:val="24"/>
          <w:szCs w:val="28"/>
          <w:lang w:val="it-IT"/>
        </w:rPr>
        <w:t>self</w:t>
      </w:r>
      <w:r w:rsidR="00D25084">
        <w:rPr>
          <w:rFonts w:ascii="Calibri" w:hAnsi="Calibri" w:cs="Arial"/>
          <w:sz w:val="24"/>
          <w:szCs w:val="28"/>
          <w:lang w:val="it-IT"/>
        </w:rPr>
        <w:t xml:space="preserve">) </w:t>
      </w:r>
      <w:bookmarkStart w:id="0" w:name="_GoBack"/>
      <w:bookmarkEnd w:id="0"/>
      <w:proofErr w:type="spellStart"/>
      <w:r w:rsidR="00EC6765" w:rsidRPr="00D25084">
        <w:rPr>
          <w:rFonts w:ascii="Calibri" w:hAnsi="Calibri" w:cs="Arial"/>
          <w:sz w:val="24"/>
          <w:szCs w:val="28"/>
          <w:lang w:val="it-IT"/>
        </w:rPr>
        <w:t>antígenos</w:t>
      </w:r>
      <w:proofErr w:type="spellEnd"/>
      <w:r w:rsidR="00EC6765">
        <w:rPr>
          <w:rFonts w:ascii="Calibri" w:hAnsi="Calibri" w:cs="Arial"/>
          <w:sz w:val="24"/>
          <w:szCs w:val="28"/>
          <w:lang w:val="it-IT"/>
        </w:rPr>
        <w:t xml:space="preserve"> (</w:t>
      </w:r>
      <w:proofErr w:type="spellStart"/>
      <w:r w:rsidR="00EC6765">
        <w:rPr>
          <w:rFonts w:ascii="Calibri" w:hAnsi="Calibri" w:cs="Arial"/>
          <w:sz w:val="24"/>
          <w:szCs w:val="28"/>
          <w:lang w:val="it-IT"/>
        </w:rPr>
        <w:t>Tolerância</w:t>
      </w:r>
      <w:proofErr w:type="spellEnd"/>
      <w:r w:rsidR="00EC6765">
        <w:rPr>
          <w:rFonts w:ascii="Calibri" w:hAnsi="Calibri" w:cs="Arial"/>
          <w:sz w:val="24"/>
          <w:szCs w:val="28"/>
          <w:lang w:val="it-IT"/>
        </w:rPr>
        <w:t xml:space="preserve"> Central</w:t>
      </w:r>
      <w:proofErr w:type="gramStart"/>
      <w:r w:rsidR="00EC6765">
        <w:rPr>
          <w:rFonts w:ascii="Calibri" w:hAnsi="Calibri" w:cs="Arial"/>
          <w:sz w:val="24"/>
          <w:szCs w:val="28"/>
          <w:lang w:val="it-IT"/>
        </w:rPr>
        <w:t>)</w:t>
      </w:r>
      <w:proofErr w:type="gramEnd"/>
    </w:p>
    <w:p w14:paraId="5107165C" w14:textId="77777777" w:rsidR="0034720A" w:rsidRDefault="0034720A" w:rsidP="00BE5D37">
      <w:pPr>
        <w:rPr>
          <w:rFonts w:ascii="Calibri" w:hAnsi="Calibri" w:cs="Arial"/>
          <w:sz w:val="24"/>
          <w:szCs w:val="28"/>
          <w:lang w:val="it-IT"/>
        </w:rPr>
      </w:pPr>
    </w:p>
    <w:p w14:paraId="2896949A" w14:textId="2ED79EC1" w:rsidR="007653BB" w:rsidRPr="0025550B" w:rsidRDefault="0079119D" w:rsidP="007653BB">
      <w:pPr>
        <w:rPr>
          <w:rFonts w:ascii="Calibri" w:hAnsi="Calibri" w:cs="Arial"/>
          <w:sz w:val="24"/>
          <w:szCs w:val="28"/>
          <w:u w:val="single"/>
          <w:lang w:val="it-IT"/>
        </w:rPr>
      </w:pP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Tópicos</w:t>
      </w:r>
      <w:proofErr w:type="spellEnd"/>
      <w:r>
        <w:rPr>
          <w:rFonts w:ascii="Calibri" w:hAnsi="Calibri" w:cs="Arial"/>
          <w:sz w:val="24"/>
          <w:szCs w:val="28"/>
          <w:u w:val="single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em</w:t>
      </w:r>
      <w:proofErr w:type="spellEnd"/>
      <w:r>
        <w:rPr>
          <w:rFonts w:ascii="Calibri" w:hAnsi="Calibri" w:cs="Arial"/>
          <w:sz w:val="24"/>
          <w:szCs w:val="28"/>
          <w:u w:val="single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destaque</w:t>
      </w:r>
      <w:proofErr w:type="spellEnd"/>
      <w:r w:rsidR="007653BB">
        <w:rPr>
          <w:rFonts w:ascii="Calibri" w:hAnsi="Calibri" w:cs="Arial"/>
          <w:sz w:val="24"/>
          <w:szCs w:val="28"/>
          <w:u w:val="single"/>
          <w:lang w:val="it-IT"/>
        </w:rPr>
        <w:t>:</w:t>
      </w:r>
    </w:p>
    <w:p w14:paraId="33CFA413" w14:textId="77777777" w:rsidR="007653BB" w:rsidRDefault="007653BB" w:rsidP="007653BB">
      <w:pPr>
        <w:rPr>
          <w:rFonts w:ascii="Calibri" w:hAnsi="Calibri" w:cs="Arial"/>
          <w:sz w:val="24"/>
          <w:szCs w:val="28"/>
          <w:lang w:val="it-IT"/>
        </w:rPr>
      </w:pPr>
    </w:p>
    <w:p w14:paraId="682A37B1" w14:textId="77777777" w:rsidR="00EC6765" w:rsidRPr="00EC6765" w:rsidRDefault="00EC6765" w:rsidP="00EC6765">
      <w:pPr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 w:cs="Arial"/>
          <w:sz w:val="24"/>
          <w:szCs w:val="28"/>
          <w:lang w:val="pt-BR"/>
        </w:rPr>
      </w:pPr>
      <w:r w:rsidRPr="00EC6765">
        <w:rPr>
          <w:rFonts w:ascii="Calibri" w:hAnsi="Calibri" w:cs="Arial"/>
          <w:sz w:val="24"/>
          <w:szCs w:val="28"/>
          <w:lang w:val="pt-BR"/>
        </w:rPr>
        <w:t xml:space="preserve">A maturação dos linfócitos T ocorre no </w:t>
      </w:r>
      <w:r w:rsidRPr="00EC6765">
        <w:rPr>
          <w:rFonts w:ascii="Calibri" w:hAnsi="Calibri" w:cs="Arial"/>
          <w:i/>
          <w:iCs/>
          <w:sz w:val="24"/>
          <w:szCs w:val="28"/>
          <w:lang w:val="pt-BR"/>
        </w:rPr>
        <w:t>timo</w:t>
      </w:r>
      <w:r w:rsidRPr="00EC6765">
        <w:rPr>
          <w:rFonts w:ascii="Calibri" w:hAnsi="Calibri" w:cs="Arial"/>
          <w:sz w:val="24"/>
          <w:szCs w:val="28"/>
          <w:lang w:val="pt-BR"/>
        </w:rPr>
        <w:t xml:space="preserve">.  Durante este processo, os progenitores provenientes da </w:t>
      </w:r>
      <w:r w:rsidRPr="00EC6765">
        <w:rPr>
          <w:rFonts w:ascii="Calibri" w:hAnsi="Calibri" w:cs="Arial"/>
          <w:i/>
          <w:iCs/>
          <w:sz w:val="24"/>
          <w:szCs w:val="28"/>
          <w:lang w:val="pt-BR"/>
        </w:rPr>
        <w:t>medula óssea</w:t>
      </w:r>
      <w:r w:rsidRPr="00EC6765">
        <w:rPr>
          <w:rFonts w:ascii="Calibri" w:hAnsi="Calibri" w:cs="Arial"/>
          <w:sz w:val="24"/>
          <w:szCs w:val="28"/>
          <w:lang w:val="pt-BR"/>
        </w:rPr>
        <w:t xml:space="preserve"> começam a </w:t>
      </w:r>
      <w:r w:rsidRPr="00EC6765">
        <w:rPr>
          <w:rFonts w:ascii="Calibri" w:hAnsi="Calibri" w:cs="Arial"/>
          <w:sz w:val="24"/>
          <w:szCs w:val="28"/>
          <w:u w:val="single"/>
          <w:lang w:val="pt-BR"/>
        </w:rPr>
        <w:t>rearranjar</w:t>
      </w:r>
      <w:r w:rsidRPr="00EC6765">
        <w:rPr>
          <w:rFonts w:ascii="Calibri" w:hAnsi="Calibri" w:cs="Arial"/>
          <w:sz w:val="24"/>
          <w:szCs w:val="28"/>
          <w:lang w:val="pt-BR"/>
        </w:rPr>
        <w:t xml:space="preserve"> os genes do </w:t>
      </w:r>
      <w:proofErr w:type="spellStart"/>
      <w:r w:rsidRPr="00EC6765">
        <w:rPr>
          <w:rFonts w:ascii="Calibri" w:hAnsi="Calibri" w:cs="Arial"/>
          <w:sz w:val="24"/>
          <w:szCs w:val="28"/>
          <w:lang w:val="pt-BR"/>
        </w:rPr>
        <w:t>TcR</w:t>
      </w:r>
      <w:proofErr w:type="spellEnd"/>
      <w:r w:rsidRPr="00EC6765">
        <w:rPr>
          <w:rFonts w:ascii="Calibri" w:hAnsi="Calibri" w:cs="Arial"/>
          <w:sz w:val="24"/>
          <w:szCs w:val="28"/>
          <w:lang w:val="pt-BR"/>
        </w:rPr>
        <w:t xml:space="preserve">.  Inicialmente, os </w:t>
      </w:r>
      <w:r w:rsidRPr="00EC6765">
        <w:rPr>
          <w:rFonts w:ascii="Calibri" w:hAnsi="Calibri" w:cs="Arial"/>
          <w:i/>
          <w:iCs/>
          <w:sz w:val="24"/>
          <w:szCs w:val="28"/>
          <w:lang w:val="pt-BR"/>
        </w:rPr>
        <w:t>timócitos</w:t>
      </w:r>
      <w:r w:rsidRPr="00EC6765">
        <w:rPr>
          <w:rFonts w:ascii="Calibri" w:hAnsi="Calibri" w:cs="Arial"/>
          <w:sz w:val="24"/>
          <w:szCs w:val="28"/>
          <w:lang w:val="pt-BR"/>
        </w:rPr>
        <w:t xml:space="preserve"> não expressam as moléculas CD4 e CD8 e são chamados </w:t>
      </w:r>
      <w:r w:rsidRPr="00EC6765">
        <w:rPr>
          <w:rFonts w:ascii="Calibri" w:hAnsi="Calibri" w:cs="Arial"/>
          <w:i/>
          <w:iCs/>
          <w:sz w:val="24"/>
          <w:szCs w:val="28"/>
          <w:lang w:val="pt-BR"/>
        </w:rPr>
        <w:t>duplo-negativos</w:t>
      </w:r>
      <w:r w:rsidRPr="00EC6765">
        <w:rPr>
          <w:rFonts w:ascii="Calibri" w:hAnsi="Calibri" w:cs="Arial"/>
          <w:sz w:val="24"/>
          <w:szCs w:val="28"/>
          <w:lang w:val="pt-BR"/>
        </w:rPr>
        <w:t xml:space="preserve"> (DN).  Posteriormente, estas células rearranjam produtivamente os genes para as cadeias </w:t>
      </w:r>
      <w:r w:rsidRPr="00EC6765">
        <w:rPr>
          <w:rFonts w:ascii="Calibri" w:hAnsi="Calibri" w:cs="Arial"/>
          <w:sz w:val="24"/>
          <w:szCs w:val="28"/>
          <w:lang w:val="pt-BR"/>
        </w:rPr>
        <w:t xml:space="preserve"> e </w:t>
      </w:r>
      <w:r w:rsidRPr="00EC6765">
        <w:rPr>
          <w:rFonts w:ascii="Calibri" w:hAnsi="Calibri" w:cs="Arial"/>
          <w:sz w:val="24"/>
          <w:szCs w:val="28"/>
          <w:lang w:val="pt-BR"/>
        </w:rPr>
        <w:t xml:space="preserve"> do </w:t>
      </w:r>
      <w:proofErr w:type="spellStart"/>
      <w:r w:rsidRPr="00EC6765">
        <w:rPr>
          <w:rFonts w:ascii="Calibri" w:hAnsi="Calibri" w:cs="Arial"/>
          <w:sz w:val="24"/>
          <w:szCs w:val="28"/>
          <w:lang w:val="pt-BR"/>
        </w:rPr>
        <w:t>TcR</w:t>
      </w:r>
      <w:proofErr w:type="spellEnd"/>
      <w:r w:rsidRPr="00EC6765">
        <w:rPr>
          <w:rFonts w:ascii="Calibri" w:hAnsi="Calibri" w:cs="Arial"/>
          <w:sz w:val="24"/>
          <w:szCs w:val="28"/>
          <w:lang w:val="pt-BR"/>
        </w:rPr>
        <w:t xml:space="preserve"> e passam a expressar concomitantemente CD4 e CD8, quando são conhecidos como </w:t>
      </w:r>
      <w:r w:rsidRPr="00EC6765">
        <w:rPr>
          <w:rFonts w:ascii="Calibri" w:hAnsi="Calibri" w:cs="Arial"/>
          <w:i/>
          <w:iCs/>
          <w:sz w:val="24"/>
          <w:szCs w:val="28"/>
          <w:lang w:val="pt-BR"/>
        </w:rPr>
        <w:t>duplo-positivos</w:t>
      </w:r>
      <w:r w:rsidRPr="00EC6765">
        <w:rPr>
          <w:rFonts w:ascii="Calibri" w:hAnsi="Calibri" w:cs="Arial"/>
          <w:sz w:val="24"/>
          <w:szCs w:val="28"/>
          <w:lang w:val="pt-BR"/>
        </w:rPr>
        <w:t xml:space="preserve"> (DP).</w:t>
      </w:r>
    </w:p>
    <w:p w14:paraId="36A7730B" w14:textId="77777777" w:rsidR="00EC6765" w:rsidRPr="00EC6765" w:rsidRDefault="00EC6765" w:rsidP="00EC6765">
      <w:pPr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 w:cs="Arial"/>
          <w:sz w:val="24"/>
          <w:szCs w:val="28"/>
          <w:lang w:val="pt-BR"/>
        </w:rPr>
      </w:pPr>
      <w:r w:rsidRPr="00EC6765">
        <w:rPr>
          <w:rFonts w:ascii="Calibri" w:hAnsi="Calibri" w:cs="Arial"/>
          <w:sz w:val="24"/>
          <w:szCs w:val="28"/>
          <w:lang w:val="pt-BR"/>
        </w:rPr>
        <w:t xml:space="preserve">Nesta fase, os timócitos sofrem três processos de “educação tímica”.  A interação de baixa afinidade entre um dado </w:t>
      </w:r>
      <w:proofErr w:type="spellStart"/>
      <w:r w:rsidRPr="00EC6765">
        <w:rPr>
          <w:rFonts w:ascii="Calibri" w:hAnsi="Calibri" w:cs="Arial"/>
          <w:sz w:val="24"/>
          <w:szCs w:val="28"/>
          <w:lang w:val="pt-BR"/>
        </w:rPr>
        <w:t>TcR</w:t>
      </w:r>
      <w:proofErr w:type="spellEnd"/>
      <w:r w:rsidRPr="00EC6765">
        <w:rPr>
          <w:rFonts w:ascii="Calibri" w:hAnsi="Calibri" w:cs="Arial"/>
          <w:sz w:val="24"/>
          <w:szCs w:val="28"/>
          <w:lang w:val="pt-BR"/>
        </w:rPr>
        <w:t xml:space="preserve"> e a combinação MHC-peptídeo resulta em um sinal positivo que permite ao </w:t>
      </w:r>
      <w:proofErr w:type="spellStart"/>
      <w:r w:rsidRPr="00EC6765">
        <w:rPr>
          <w:rFonts w:ascii="Calibri" w:hAnsi="Calibri" w:cs="Arial"/>
          <w:sz w:val="24"/>
          <w:szCs w:val="28"/>
          <w:lang w:val="pt-BR"/>
        </w:rPr>
        <w:t>timócito</w:t>
      </w:r>
      <w:proofErr w:type="spellEnd"/>
      <w:r w:rsidRPr="00EC6765">
        <w:rPr>
          <w:rFonts w:ascii="Calibri" w:hAnsi="Calibri" w:cs="Arial"/>
          <w:sz w:val="24"/>
          <w:szCs w:val="28"/>
          <w:lang w:val="pt-BR"/>
        </w:rPr>
        <w:t xml:space="preserve"> diferenciar-se em </w:t>
      </w:r>
      <w:r w:rsidRPr="00EC6765">
        <w:rPr>
          <w:rFonts w:ascii="Calibri" w:hAnsi="Calibri" w:cs="Arial"/>
          <w:i/>
          <w:iCs/>
          <w:sz w:val="24"/>
          <w:szCs w:val="28"/>
          <w:lang w:val="pt-BR"/>
        </w:rPr>
        <w:t>simples-positivos</w:t>
      </w:r>
      <w:r w:rsidRPr="00EC6765">
        <w:rPr>
          <w:rFonts w:ascii="Calibri" w:hAnsi="Calibri" w:cs="Arial"/>
          <w:sz w:val="24"/>
          <w:szCs w:val="28"/>
          <w:lang w:val="pt-BR"/>
        </w:rPr>
        <w:t xml:space="preserve"> (SP), isto é, passam a expressar apenas CD4 ou CD8.  Este processo é denominado </w:t>
      </w:r>
      <w:r w:rsidRPr="00EC6765">
        <w:rPr>
          <w:rFonts w:ascii="Calibri" w:hAnsi="Calibri" w:cs="Arial"/>
          <w:sz w:val="24"/>
          <w:szCs w:val="28"/>
          <w:u w:val="single"/>
          <w:lang w:val="pt-BR"/>
        </w:rPr>
        <w:t>Seleção Positiva</w:t>
      </w:r>
      <w:r w:rsidRPr="00EC6765">
        <w:rPr>
          <w:rFonts w:ascii="Calibri" w:hAnsi="Calibri" w:cs="Arial"/>
          <w:sz w:val="24"/>
          <w:szCs w:val="28"/>
          <w:lang w:val="pt-BR"/>
        </w:rPr>
        <w:t xml:space="preserve"> e garante ao repertório de linfócitos T na periferia, o fenômeno de </w:t>
      </w:r>
      <w:r w:rsidRPr="00EC6765">
        <w:rPr>
          <w:rFonts w:ascii="Calibri" w:hAnsi="Calibri" w:cs="Arial"/>
          <w:i/>
          <w:iCs/>
          <w:sz w:val="24"/>
          <w:szCs w:val="28"/>
          <w:lang w:val="pt-BR"/>
        </w:rPr>
        <w:t>restrição</w:t>
      </w:r>
      <w:r w:rsidRPr="00EC6765">
        <w:rPr>
          <w:rFonts w:ascii="Calibri" w:hAnsi="Calibri" w:cs="Arial"/>
          <w:sz w:val="24"/>
          <w:szCs w:val="28"/>
          <w:lang w:val="pt-BR"/>
        </w:rPr>
        <w:t xml:space="preserve"> ao próprio MHC.</w:t>
      </w:r>
    </w:p>
    <w:p w14:paraId="50F53C7F" w14:textId="77777777" w:rsidR="00EC6765" w:rsidRPr="00EC6765" w:rsidRDefault="00EC6765" w:rsidP="00EC6765">
      <w:pPr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 w:cs="Arial"/>
          <w:sz w:val="24"/>
          <w:szCs w:val="28"/>
          <w:lang w:val="pt-BR"/>
        </w:rPr>
      </w:pPr>
      <w:r w:rsidRPr="00EC6765">
        <w:rPr>
          <w:rFonts w:ascii="Calibri" w:hAnsi="Calibri" w:cs="Arial"/>
          <w:sz w:val="24"/>
          <w:szCs w:val="28"/>
          <w:lang w:val="pt-BR"/>
        </w:rPr>
        <w:t xml:space="preserve">Caso a interação entre o </w:t>
      </w:r>
      <w:proofErr w:type="spellStart"/>
      <w:r w:rsidRPr="00EC6765">
        <w:rPr>
          <w:rFonts w:ascii="Calibri" w:hAnsi="Calibri" w:cs="Arial"/>
          <w:sz w:val="24"/>
          <w:szCs w:val="28"/>
          <w:lang w:val="pt-BR"/>
        </w:rPr>
        <w:t>TcR</w:t>
      </w:r>
      <w:proofErr w:type="spellEnd"/>
      <w:r w:rsidRPr="00EC6765">
        <w:rPr>
          <w:rFonts w:ascii="Calibri" w:hAnsi="Calibri" w:cs="Arial"/>
          <w:sz w:val="24"/>
          <w:szCs w:val="28"/>
          <w:lang w:val="pt-BR"/>
        </w:rPr>
        <w:t xml:space="preserve"> e o MHC-peptídeo seja de alta afinidade, um sinal negativo (pró-</w:t>
      </w:r>
      <w:proofErr w:type="spellStart"/>
      <w:r w:rsidRPr="00EC6765">
        <w:rPr>
          <w:rFonts w:ascii="Calibri" w:hAnsi="Calibri" w:cs="Arial"/>
          <w:sz w:val="24"/>
          <w:szCs w:val="28"/>
          <w:lang w:val="pt-BR"/>
        </w:rPr>
        <w:t>apoptótico</w:t>
      </w:r>
      <w:proofErr w:type="spellEnd"/>
      <w:r w:rsidRPr="00EC6765">
        <w:rPr>
          <w:rFonts w:ascii="Calibri" w:hAnsi="Calibri" w:cs="Arial"/>
          <w:sz w:val="24"/>
          <w:szCs w:val="28"/>
          <w:lang w:val="pt-BR"/>
        </w:rPr>
        <w:t xml:space="preserve">) elimina estes clones potencialmente auto-reativos.  Este processo é conhecido como </w:t>
      </w:r>
      <w:r w:rsidRPr="00EC6765">
        <w:rPr>
          <w:rFonts w:ascii="Calibri" w:hAnsi="Calibri" w:cs="Arial"/>
          <w:sz w:val="24"/>
          <w:szCs w:val="28"/>
          <w:u w:val="single"/>
          <w:lang w:val="pt-BR"/>
        </w:rPr>
        <w:t>Seleção Negativa</w:t>
      </w:r>
      <w:r w:rsidRPr="00EC6765">
        <w:rPr>
          <w:rFonts w:ascii="Calibri" w:hAnsi="Calibri" w:cs="Arial"/>
          <w:sz w:val="24"/>
          <w:szCs w:val="28"/>
          <w:lang w:val="pt-BR"/>
        </w:rPr>
        <w:t xml:space="preserve"> e é responsável pelo fenômeno de </w:t>
      </w:r>
      <w:r w:rsidRPr="00EC6765">
        <w:rPr>
          <w:rFonts w:ascii="Calibri" w:hAnsi="Calibri" w:cs="Arial"/>
          <w:i/>
          <w:iCs/>
          <w:sz w:val="24"/>
          <w:szCs w:val="28"/>
          <w:lang w:val="pt-BR"/>
        </w:rPr>
        <w:t>tolerância central</w:t>
      </w:r>
      <w:r w:rsidRPr="00EC6765">
        <w:rPr>
          <w:rFonts w:ascii="Calibri" w:hAnsi="Calibri" w:cs="Arial"/>
          <w:sz w:val="24"/>
          <w:szCs w:val="28"/>
          <w:lang w:val="pt-BR"/>
        </w:rPr>
        <w:t>.</w:t>
      </w:r>
    </w:p>
    <w:p w14:paraId="6B1EA342" w14:textId="77777777" w:rsidR="00EC6765" w:rsidRPr="00EC6765" w:rsidRDefault="00EC6765" w:rsidP="00EC6765">
      <w:pPr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 w:cs="Arial"/>
          <w:sz w:val="24"/>
          <w:szCs w:val="28"/>
          <w:lang w:val="pt-BR"/>
        </w:rPr>
      </w:pPr>
      <w:r w:rsidRPr="00EC6765">
        <w:rPr>
          <w:rFonts w:ascii="Calibri" w:hAnsi="Calibri" w:cs="Arial"/>
          <w:sz w:val="24"/>
          <w:szCs w:val="28"/>
          <w:lang w:val="pt-BR"/>
        </w:rPr>
        <w:t xml:space="preserve">Aqueles timócitos cujos </w:t>
      </w:r>
      <w:proofErr w:type="spellStart"/>
      <w:r w:rsidRPr="00EC6765">
        <w:rPr>
          <w:rFonts w:ascii="Calibri" w:hAnsi="Calibri" w:cs="Arial"/>
          <w:sz w:val="24"/>
          <w:szCs w:val="28"/>
          <w:lang w:val="pt-BR"/>
        </w:rPr>
        <w:t>TcR</w:t>
      </w:r>
      <w:proofErr w:type="spellEnd"/>
      <w:r w:rsidRPr="00EC6765">
        <w:rPr>
          <w:rFonts w:ascii="Calibri" w:hAnsi="Calibri" w:cs="Arial"/>
          <w:sz w:val="24"/>
          <w:szCs w:val="28"/>
          <w:lang w:val="pt-BR"/>
        </w:rPr>
        <w:t xml:space="preserve"> não conseguem interagir com a combinação MHC-peptídeo morrem por apoptose através de um processo denominado </w:t>
      </w:r>
      <w:r w:rsidRPr="00EC6765">
        <w:rPr>
          <w:rFonts w:ascii="Calibri" w:hAnsi="Calibri" w:cs="Arial"/>
          <w:sz w:val="24"/>
          <w:szCs w:val="28"/>
          <w:u w:val="single"/>
          <w:lang w:val="pt-BR"/>
        </w:rPr>
        <w:t>Ausência de Seleção</w:t>
      </w:r>
      <w:r w:rsidRPr="00EC6765">
        <w:rPr>
          <w:rFonts w:ascii="Calibri" w:hAnsi="Calibri" w:cs="Arial"/>
          <w:sz w:val="24"/>
          <w:szCs w:val="28"/>
          <w:lang w:val="pt-BR"/>
        </w:rPr>
        <w:t>.</w:t>
      </w:r>
    </w:p>
    <w:p w14:paraId="6D864D9D" w14:textId="1921D494" w:rsidR="00EF5C1E" w:rsidRDefault="00EF5C1E" w:rsidP="00EF5C1E">
      <w:pPr>
        <w:jc w:val="center"/>
      </w:pPr>
    </w:p>
    <w:sectPr w:rsidR="00EF5C1E" w:rsidSect="00627510">
      <w:footerReference w:type="default" r:id="rId9"/>
      <w:pgSz w:w="11907" w:h="16840" w:code="9"/>
      <w:pgMar w:top="1440" w:right="141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64D44" w14:textId="77777777" w:rsidR="0090585F" w:rsidRDefault="0090585F" w:rsidP="00BE5D37">
      <w:r>
        <w:separator/>
      </w:r>
    </w:p>
  </w:endnote>
  <w:endnote w:type="continuationSeparator" w:id="0">
    <w:p w14:paraId="15771B6F" w14:textId="77777777" w:rsidR="0090585F" w:rsidRDefault="0090585F" w:rsidP="00BE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brima">
    <w:altName w:val="Times New Roman"/>
    <w:charset w:val="00"/>
    <w:family w:val="auto"/>
    <w:pitch w:val="variable"/>
    <w:sig w:usb0="A000505F" w:usb1="0200004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C95DE" w14:textId="77777777" w:rsidR="0090585F" w:rsidRPr="00EB3826" w:rsidRDefault="0090585F" w:rsidP="00BE5D37">
    <w:pPr>
      <w:pStyle w:val="Footer"/>
      <w:rPr>
        <w:rFonts w:ascii="Ebrima" w:hAnsi="Ebrima"/>
        <w:sz w:val="14"/>
        <w:szCs w:val="14"/>
        <w:lang w:val="en-US"/>
      </w:rPr>
    </w:pPr>
  </w:p>
  <w:p w14:paraId="182E43D6" w14:textId="77777777" w:rsidR="0090585F" w:rsidRDefault="009058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7C97D" w14:textId="77777777" w:rsidR="0090585F" w:rsidRDefault="0090585F" w:rsidP="00BE5D37">
      <w:r>
        <w:separator/>
      </w:r>
    </w:p>
  </w:footnote>
  <w:footnote w:type="continuationSeparator" w:id="0">
    <w:p w14:paraId="189F77C8" w14:textId="77777777" w:rsidR="0090585F" w:rsidRDefault="0090585F" w:rsidP="00BE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4ED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6B5E75"/>
    <w:multiLevelType w:val="hybridMultilevel"/>
    <w:tmpl w:val="CAE2E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0F2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51A3648"/>
    <w:multiLevelType w:val="hybridMultilevel"/>
    <w:tmpl w:val="FD88E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E6B7A"/>
    <w:multiLevelType w:val="multilevel"/>
    <w:tmpl w:val="FC3C3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71A5B"/>
    <w:multiLevelType w:val="hybridMultilevel"/>
    <w:tmpl w:val="B0C4CD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E65AC4"/>
    <w:multiLevelType w:val="multilevel"/>
    <w:tmpl w:val="B22E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57F60"/>
    <w:multiLevelType w:val="multilevel"/>
    <w:tmpl w:val="D666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80AB5"/>
    <w:multiLevelType w:val="hybridMultilevel"/>
    <w:tmpl w:val="CAE2E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9559C"/>
    <w:multiLevelType w:val="hybridMultilevel"/>
    <w:tmpl w:val="24645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55"/>
    <w:rsid w:val="000407B9"/>
    <w:rsid w:val="0008452E"/>
    <w:rsid w:val="000B30C6"/>
    <w:rsid w:val="0010750F"/>
    <w:rsid w:val="00161C55"/>
    <w:rsid w:val="00163FB4"/>
    <w:rsid w:val="00240A41"/>
    <w:rsid w:val="0025550B"/>
    <w:rsid w:val="0034720A"/>
    <w:rsid w:val="00352EBE"/>
    <w:rsid w:val="00374153"/>
    <w:rsid w:val="00444493"/>
    <w:rsid w:val="00453AF4"/>
    <w:rsid w:val="00473163"/>
    <w:rsid w:val="004828D7"/>
    <w:rsid w:val="004E3BFD"/>
    <w:rsid w:val="005159FC"/>
    <w:rsid w:val="00551107"/>
    <w:rsid w:val="00553F84"/>
    <w:rsid w:val="005D5357"/>
    <w:rsid w:val="005E50F4"/>
    <w:rsid w:val="005F6332"/>
    <w:rsid w:val="00627510"/>
    <w:rsid w:val="00670CAB"/>
    <w:rsid w:val="006A2B44"/>
    <w:rsid w:val="006B168D"/>
    <w:rsid w:val="006B5BEF"/>
    <w:rsid w:val="006C2CDB"/>
    <w:rsid w:val="006F07C8"/>
    <w:rsid w:val="006F5EDA"/>
    <w:rsid w:val="0074135B"/>
    <w:rsid w:val="007653BB"/>
    <w:rsid w:val="0079119D"/>
    <w:rsid w:val="007B0AF5"/>
    <w:rsid w:val="007F06E4"/>
    <w:rsid w:val="00814CF0"/>
    <w:rsid w:val="008718CA"/>
    <w:rsid w:val="00881214"/>
    <w:rsid w:val="008B72B8"/>
    <w:rsid w:val="008D3373"/>
    <w:rsid w:val="0090585F"/>
    <w:rsid w:val="00931BA4"/>
    <w:rsid w:val="009532F5"/>
    <w:rsid w:val="009B0FF1"/>
    <w:rsid w:val="00A06FF2"/>
    <w:rsid w:val="00A27020"/>
    <w:rsid w:val="00A359CE"/>
    <w:rsid w:val="00AC5626"/>
    <w:rsid w:val="00AD1D30"/>
    <w:rsid w:val="00AD6F79"/>
    <w:rsid w:val="00B52BBC"/>
    <w:rsid w:val="00B81416"/>
    <w:rsid w:val="00B9769D"/>
    <w:rsid w:val="00BC03D1"/>
    <w:rsid w:val="00BD35C7"/>
    <w:rsid w:val="00BE5D37"/>
    <w:rsid w:val="00C05CC7"/>
    <w:rsid w:val="00C15C06"/>
    <w:rsid w:val="00C90374"/>
    <w:rsid w:val="00CB7658"/>
    <w:rsid w:val="00CD011F"/>
    <w:rsid w:val="00CE2328"/>
    <w:rsid w:val="00CE48B6"/>
    <w:rsid w:val="00D25084"/>
    <w:rsid w:val="00D254DC"/>
    <w:rsid w:val="00DA759A"/>
    <w:rsid w:val="00DB7516"/>
    <w:rsid w:val="00DE5E70"/>
    <w:rsid w:val="00EC42E9"/>
    <w:rsid w:val="00EC6765"/>
    <w:rsid w:val="00EF5C1E"/>
    <w:rsid w:val="00F263F7"/>
    <w:rsid w:val="00F81D3D"/>
    <w:rsid w:val="00F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323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pt-PT" w:eastAsia="pt-BR"/>
    </w:rPr>
  </w:style>
  <w:style w:type="paragraph" w:styleId="Heading1">
    <w:name w:val="heading 1"/>
    <w:basedOn w:val="Normal"/>
    <w:next w:val="Normal"/>
    <w:qFormat/>
    <w:pPr>
      <w:keepNext/>
      <w:ind w:left="708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-142" w:right="-476"/>
      <w:jc w:val="both"/>
      <w:outlineLvl w:val="1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spacing w:line="42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420" w:lineRule="exact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96"/>
      <w:szCs w:val="9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426"/>
      </w:tabs>
      <w:ind w:left="-142" w:right="-476"/>
      <w:jc w:val="both"/>
    </w:pPr>
    <w:rPr>
      <w:sz w:val="24"/>
      <w:szCs w:val="24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8"/>
      <w:szCs w:val="28"/>
      <w:lang w:val="en-US"/>
    </w:rPr>
  </w:style>
  <w:style w:type="paragraph" w:styleId="BalloonText">
    <w:name w:val="Balloon Text"/>
    <w:basedOn w:val="Normal"/>
    <w:semiHidden/>
    <w:rsid w:val="00871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9C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E5D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E5D37"/>
    <w:rPr>
      <w:rFonts w:ascii="Times New Roman" w:hAnsi="Times New Roman"/>
      <w:lang w:val="pt-PT" w:eastAsia="pt-BR"/>
    </w:rPr>
  </w:style>
  <w:style w:type="paragraph" w:styleId="Footer">
    <w:name w:val="footer"/>
    <w:basedOn w:val="Normal"/>
    <w:link w:val="FooterChar"/>
    <w:uiPriority w:val="99"/>
    <w:rsid w:val="00BE5D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5D37"/>
    <w:rPr>
      <w:rFonts w:ascii="Times New Roman" w:hAnsi="Times New Roman"/>
      <w:lang w:val="pt-PT" w:eastAsia="pt-BR"/>
    </w:rPr>
  </w:style>
  <w:style w:type="paragraph" w:styleId="NoSpacing">
    <w:name w:val="No Spacing"/>
    <w:uiPriority w:val="1"/>
    <w:qFormat/>
    <w:rsid w:val="006F07C8"/>
    <w:rPr>
      <w:rFonts w:ascii="Times New Roman" w:eastAsia="Calibri" w:hAnsi="Times New Roman"/>
      <w:sz w:val="28"/>
      <w:szCs w:val="28"/>
      <w:lang w:val="pt-BR"/>
    </w:rPr>
  </w:style>
  <w:style w:type="paragraph" w:styleId="ListParagraph">
    <w:name w:val="List Paragraph"/>
    <w:basedOn w:val="Normal"/>
    <w:uiPriority w:val="72"/>
    <w:rsid w:val="005F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pt-PT" w:eastAsia="pt-BR"/>
    </w:rPr>
  </w:style>
  <w:style w:type="paragraph" w:styleId="Heading1">
    <w:name w:val="heading 1"/>
    <w:basedOn w:val="Normal"/>
    <w:next w:val="Normal"/>
    <w:qFormat/>
    <w:pPr>
      <w:keepNext/>
      <w:ind w:left="708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-142" w:right="-476"/>
      <w:jc w:val="both"/>
      <w:outlineLvl w:val="1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spacing w:line="42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420" w:lineRule="exact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96"/>
      <w:szCs w:val="9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426"/>
      </w:tabs>
      <w:ind w:left="-142" w:right="-476"/>
      <w:jc w:val="both"/>
    </w:pPr>
    <w:rPr>
      <w:sz w:val="24"/>
      <w:szCs w:val="24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8"/>
      <w:szCs w:val="28"/>
      <w:lang w:val="en-US"/>
    </w:rPr>
  </w:style>
  <w:style w:type="paragraph" w:styleId="BalloonText">
    <w:name w:val="Balloon Text"/>
    <w:basedOn w:val="Normal"/>
    <w:semiHidden/>
    <w:rsid w:val="00871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9C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E5D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E5D37"/>
    <w:rPr>
      <w:rFonts w:ascii="Times New Roman" w:hAnsi="Times New Roman"/>
      <w:lang w:val="pt-PT" w:eastAsia="pt-BR"/>
    </w:rPr>
  </w:style>
  <w:style w:type="paragraph" w:styleId="Footer">
    <w:name w:val="footer"/>
    <w:basedOn w:val="Normal"/>
    <w:link w:val="FooterChar"/>
    <w:uiPriority w:val="99"/>
    <w:rsid w:val="00BE5D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5D37"/>
    <w:rPr>
      <w:rFonts w:ascii="Times New Roman" w:hAnsi="Times New Roman"/>
      <w:lang w:val="pt-PT" w:eastAsia="pt-BR"/>
    </w:rPr>
  </w:style>
  <w:style w:type="paragraph" w:styleId="NoSpacing">
    <w:name w:val="No Spacing"/>
    <w:uiPriority w:val="1"/>
    <w:qFormat/>
    <w:rsid w:val="006F07C8"/>
    <w:rPr>
      <w:rFonts w:ascii="Times New Roman" w:eastAsia="Calibri" w:hAnsi="Times New Roman"/>
      <w:sz w:val="28"/>
      <w:szCs w:val="28"/>
      <w:lang w:val="pt-BR"/>
    </w:rPr>
  </w:style>
  <w:style w:type="paragraph" w:styleId="ListParagraph">
    <w:name w:val="List Paragraph"/>
    <w:basedOn w:val="Normal"/>
    <w:uiPriority w:val="72"/>
    <w:rsid w:val="005F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timbre do ICB</vt:lpstr>
    </vt:vector>
  </TitlesOfParts>
  <Company> 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do ICB</dc:title>
  <dc:subject/>
  <dc:creator>Prof. Carlos Moreira</dc:creator>
  <cp:keywords/>
  <dc:description/>
  <cp:lastModifiedBy>Gustavo Amarante-Mendes</cp:lastModifiedBy>
  <cp:revision>4</cp:revision>
  <cp:lastPrinted>2018-08-22T17:57:00Z</cp:lastPrinted>
  <dcterms:created xsi:type="dcterms:W3CDTF">2020-04-14T19:45:00Z</dcterms:created>
  <dcterms:modified xsi:type="dcterms:W3CDTF">2020-04-14T20:46:00Z</dcterms:modified>
</cp:coreProperties>
</file>