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6D5E7" w14:textId="77777777" w:rsidR="00193CE3" w:rsidRDefault="005B2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Gabarito 1º ano</w:t>
      </w:r>
    </w:p>
    <w:p w14:paraId="2378C61A" w14:textId="77777777" w:rsidR="005B2DE0" w:rsidRDefault="005B2DE0" w:rsidP="00C91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Distinga prescrição de decadência. Dê um exemplo de cada prazo. Por que o Código Civil separa em três artigos as hipóteses de suspensão ou impedimento da prescrição.</w:t>
      </w:r>
    </w:p>
    <w:p w14:paraId="6B549C59" w14:textId="77777777" w:rsidR="005B2DE0" w:rsidRDefault="00CF1BD0" w:rsidP="00C91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prescrição extingue a pretensão, isto é, o poder reconhecido ao sujeito de direito de exigir de outrem a realização de prestação obrigacional de dar, fazer ou não fazer. Vincula-se, poi</w:t>
      </w:r>
      <w:r w:rsidR="00C80E76">
        <w:rPr>
          <w:rFonts w:ascii="Times New Roman" w:hAnsi="Times New Roman" w:cs="Times New Roman"/>
        </w:rPr>
        <w:t>s, ao direito de crédito. Ainda que haja a prescrição da pretensão, o crédito, embora inexigível, continua existente.</w:t>
      </w:r>
    </w:p>
    <w:p w14:paraId="27FEF86C" w14:textId="77777777" w:rsidR="00C80E76" w:rsidRDefault="00C80E76" w:rsidP="00C91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a decadência é o instituto funcionalizado a extinguir direitos potestativos, que são fundamentalmente direitos que têm como contraposto situação de sujeição. </w:t>
      </w:r>
    </w:p>
    <w:p w14:paraId="7B8D04E6" w14:textId="77777777" w:rsidR="007F1E05" w:rsidRDefault="005D7386" w:rsidP="00C91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80E76">
        <w:rPr>
          <w:rFonts w:ascii="Times New Roman" w:hAnsi="Times New Roman" w:cs="Times New Roman"/>
        </w:rPr>
        <w:t>abe</w:t>
      </w:r>
      <w:r>
        <w:rPr>
          <w:rFonts w:ascii="Times New Roman" w:hAnsi="Times New Roman" w:cs="Times New Roman"/>
        </w:rPr>
        <w:t>, ainda,</w:t>
      </w:r>
      <w:r w:rsidR="00C80E76">
        <w:rPr>
          <w:rFonts w:ascii="Times New Roman" w:hAnsi="Times New Roman" w:cs="Times New Roman"/>
        </w:rPr>
        <w:t xml:space="preserve"> apontar que a prescrição, em regra, pode ser interrompida e suspensa, enquanto que a decadência não. </w:t>
      </w:r>
    </w:p>
    <w:p w14:paraId="6C01D833" w14:textId="77777777" w:rsidR="007F1E05" w:rsidRDefault="007F1E05" w:rsidP="00C91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Quanto aos exemplos de cada prazo, a questão deixa margem de escolha ao aluno, que apenas não será pontuado se exemplificar como de prescrição prazo </w:t>
      </w:r>
      <w:r>
        <w:rPr>
          <w:rFonts w:ascii="Times New Roman" w:hAnsi="Times New Roman" w:cs="Times New Roman"/>
        </w:rPr>
        <w:t xml:space="preserve">de decadência ou vice e versa. </w:t>
      </w:r>
    </w:p>
    <w:p w14:paraId="1DD0050E" w14:textId="77777777" w:rsidR="00C9180F" w:rsidRDefault="005D7386" w:rsidP="00C91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a divisão operada no Código Civil se justifica na medida em que cada artigo contém hipóteses com fundos distintos, não obstante a consequência ser a mesma. No art. 197, a suspensão ou impedimento se dão em função do vínculo de confiança entre as partes, uma vez que o exercício da pretensão durante a sociedade conjugal, o poder famil</w:t>
      </w:r>
      <w:r w:rsidR="005772D5">
        <w:rPr>
          <w:rFonts w:ascii="Times New Roman" w:hAnsi="Times New Roman" w:cs="Times New Roman"/>
        </w:rPr>
        <w:t>iar ou a tutela/curatela</w:t>
      </w:r>
      <w:r>
        <w:rPr>
          <w:rFonts w:ascii="Times New Roman" w:hAnsi="Times New Roman" w:cs="Times New Roman"/>
        </w:rPr>
        <w:t xml:space="preserve"> poderiam abalar</w:t>
      </w:r>
      <w:r w:rsidR="005772D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imprescindível harmonia que cada relação reclama. Em sequência, o art. 198 se legitima por outra razão, qual seja, uma forma de proteção aos absolutamente incapazes, aos ausentes do país em serviço público e aos que se acharem servindo nas Forças Armadas, em tempo de guerra. Tais pessoas, por lógica, </w:t>
      </w:r>
      <w:r w:rsidR="005772D5">
        <w:rPr>
          <w:rFonts w:ascii="Times New Roman" w:hAnsi="Times New Roman" w:cs="Times New Roman"/>
        </w:rPr>
        <w:t>têm o exercício da pretensão dificultado em virtude de suas particulares condições, mostrando-se salutar o impedimento ou suspensão da mesma. Finalmente, o art. 199 apenas confere maior segurança ao determinar, peremptoriamente, que, em alguns casos, a prescrição não corre, sendo que, tecnicamente, nem mesmo ainda se vislumbrou o surgi</w:t>
      </w:r>
      <w:r w:rsidR="007F1E05">
        <w:rPr>
          <w:rFonts w:ascii="Times New Roman" w:hAnsi="Times New Roman" w:cs="Times New Roman"/>
        </w:rPr>
        <w:t>mento da</w:t>
      </w:r>
      <w:r w:rsidR="005772D5">
        <w:rPr>
          <w:rFonts w:ascii="Times New Roman" w:hAnsi="Times New Roman" w:cs="Times New Roman"/>
        </w:rPr>
        <w:t xml:space="preserve"> preten</w:t>
      </w:r>
      <w:r w:rsidR="007F1E05">
        <w:rPr>
          <w:rFonts w:ascii="Times New Roman" w:hAnsi="Times New Roman" w:cs="Times New Roman"/>
        </w:rPr>
        <w:t>são</w:t>
      </w:r>
      <w:r w:rsidR="005772D5"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</w:rPr>
        <w:t xml:space="preserve">      </w:t>
      </w:r>
    </w:p>
    <w:p w14:paraId="505EAC8C" w14:textId="77777777" w:rsidR="007F1E05" w:rsidRDefault="007F1E05" w:rsidP="00C9180F">
      <w:pPr>
        <w:jc w:val="both"/>
        <w:rPr>
          <w:rFonts w:ascii="Times New Roman" w:hAnsi="Times New Roman" w:cs="Times New Roman"/>
        </w:rPr>
      </w:pPr>
    </w:p>
    <w:p w14:paraId="5B0E551E" w14:textId="77777777" w:rsidR="005B2DE0" w:rsidRDefault="005B2DE0" w:rsidP="00C91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Cite quais são os elementos de existência, os requisitos de validade e cite dois exemplos de fatores de eficácia. </w:t>
      </w:r>
    </w:p>
    <w:p w14:paraId="4FE44D11" w14:textId="77777777" w:rsidR="00C80E76" w:rsidRPr="005B2DE0" w:rsidRDefault="00C80E76" w:rsidP="00C91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elementos de existência são agente, declaração de vontade, objeto e forma. Já os requisitos de validade são </w:t>
      </w:r>
      <w:r w:rsidR="00C9180F">
        <w:rPr>
          <w:rFonts w:ascii="Times New Roman" w:hAnsi="Times New Roman" w:cs="Times New Roman"/>
        </w:rPr>
        <w:t>capacidade do agente, higidez no</w:t>
      </w:r>
      <w:r>
        <w:rPr>
          <w:rFonts w:ascii="Times New Roman" w:hAnsi="Times New Roman" w:cs="Times New Roman"/>
        </w:rPr>
        <w:t xml:space="preserve"> processo mental deliberativo (vontade livre)</w:t>
      </w:r>
      <w:r w:rsidR="00C918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idoneidade do objeto e da forma, isto é, ser ela a prescrita ou não-defesa em lei.</w:t>
      </w:r>
      <w:r w:rsidR="007F1E05">
        <w:rPr>
          <w:rFonts w:ascii="Times New Roman" w:hAnsi="Times New Roman" w:cs="Times New Roman"/>
        </w:rPr>
        <w:t xml:space="preserve"> Os dois exemplos clássicos de fatores de eficácia são o termo e a condição. </w:t>
      </w:r>
      <w:bookmarkStart w:id="0" w:name="_GoBack"/>
      <w:bookmarkEnd w:id="0"/>
      <w:r w:rsidR="007F1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sectPr w:rsidR="00C80E76" w:rsidRPr="005B2DE0" w:rsidSect="00193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DE0"/>
    <w:rsid w:val="00193CE3"/>
    <w:rsid w:val="005772D5"/>
    <w:rsid w:val="005B2DE0"/>
    <w:rsid w:val="005D7386"/>
    <w:rsid w:val="007F1E05"/>
    <w:rsid w:val="00C80E76"/>
    <w:rsid w:val="00C9180F"/>
    <w:rsid w:val="00C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02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369</Words>
  <Characters>2106</Characters>
  <Application>Microsoft Macintosh Word</Application>
  <DocSecurity>0</DocSecurity>
  <Lines>17</Lines>
  <Paragraphs>4</Paragraphs>
  <ScaleCrop>false</ScaleCrop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Cadu Salvatori</cp:lastModifiedBy>
  <cp:revision>4</cp:revision>
  <dcterms:created xsi:type="dcterms:W3CDTF">2012-11-27T19:21:00Z</dcterms:created>
  <dcterms:modified xsi:type="dcterms:W3CDTF">2012-11-27T22:54:00Z</dcterms:modified>
</cp:coreProperties>
</file>