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5A" w:rsidRPr="00AE7CA8" w:rsidRDefault="005D5FEB" w:rsidP="009F7E65">
      <w:pPr>
        <w:jc w:val="both"/>
        <w:rPr>
          <w:b/>
          <w:sz w:val="20"/>
          <w:szCs w:val="20"/>
        </w:rPr>
      </w:pPr>
      <w:r>
        <w:rPr>
          <w:b/>
          <w:sz w:val="20"/>
          <w:szCs w:val="20"/>
        </w:rPr>
        <w:t>Exercício: comparação entre diferentes tipos</w:t>
      </w:r>
      <w:r w:rsidR="0044665A" w:rsidRPr="00AE7CA8">
        <w:rPr>
          <w:b/>
          <w:sz w:val="20"/>
          <w:szCs w:val="20"/>
        </w:rPr>
        <w:t xml:space="preserve"> de Sistemas de Saúde</w:t>
      </w:r>
    </w:p>
    <w:p w:rsidR="0044665A" w:rsidRPr="00AE7CA8" w:rsidRDefault="0044665A" w:rsidP="009F7E65">
      <w:pPr>
        <w:jc w:val="both"/>
        <w:rPr>
          <w:sz w:val="20"/>
          <w:szCs w:val="20"/>
        </w:rPr>
      </w:pPr>
    </w:p>
    <w:p w:rsidR="0044665A" w:rsidRPr="00AE7CA8" w:rsidRDefault="009F7E65" w:rsidP="00477123">
      <w:pPr>
        <w:spacing w:line="360" w:lineRule="auto"/>
        <w:jc w:val="both"/>
        <w:rPr>
          <w:sz w:val="20"/>
          <w:szCs w:val="20"/>
        </w:rPr>
      </w:pPr>
      <w:r w:rsidRPr="00AE7CA8">
        <w:rPr>
          <w:sz w:val="20"/>
          <w:szCs w:val="20"/>
        </w:rPr>
        <w:t>Ao longo dos anos, a maioria dos autores considera três tipos básicos de sistemas de saúde: seguro voluntário, seguro social</w:t>
      </w:r>
      <w:r w:rsidR="003501A9" w:rsidRPr="00AE7CA8">
        <w:rPr>
          <w:sz w:val="20"/>
          <w:szCs w:val="20"/>
        </w:rPr>
        <w:t xml:space="preserve"> de saúde</w:t>
      </w:r>
      <w:r w:rsidRPr="00AE7CA8">
        <w:rPr>
          <w:sz w:val="20"/>
          <w:szCs w:val="20"/>
        </w:rPr>
        <w:t xml:space="preserve"> obrigatório e serviço nacional de saúde. Outros autores</w:t>
      </w:r>
      <w:r w:rsidR="004B4626" w:rsidRPr="00AE7CA8">
        <w:rPr>
          <w:sz w:val="20"/>
          <w:szCs w:val="20"/>
        </w:rPr>
        <w:t xml:space="preserve"> (W</w:t>
      </w:r>
      <w:r w:rsidR="00D23297" w:rsidRPr="00AE7CA8">
        <w:rPr>
          <w:sz w:val="20"/>
          <w:szCs w:val="20"/>
        </w:rPr>
        <w:t>ENDT</w:t>
      </w:r>
      <w:r w:rsidR="004B4626" w:rsidRPr="00AE7CA8">
        <w:rPr>
          <w:sz w:val="20"/>
          <w:szCs w:val="20"/>
        </w:rPr>
        <w:t xml:space="preserve"> et al., 200</w:t>
      </w:r>
      <w:r w:rsidR="00896E7E" w:rsidRPr="00AE7CA8">
        <w:rPr>
          <w:sz w:val="20"/>
          <w:szCs w:val="20"/>
        </w:rPr>
        <w:t>5</w:t>
      </w:r>
      <w:r w:rsidR="004B4626" w:rsidRPr="00AE7CA8">
        <w:rPr>
          <w:sz w:val="20"/>
          <w:szCs w:val="20"/>
        </w:rPr>
        <w:t>)</w:t>
      </w:r>
      <w:r w:rsidRPr="00AE7CA8">
        <w:rPr>
          <w:sz w:val="20"/>
          <w:szCs w:val="20"/>
        </w:rPr>
        <w:t xml:space="preserve"> chegaram a propor 27 combinações possíveis, mas apenas três modelos puros. Assim, há sempre alguns tipos de problema, como incluir sistemas diferentes em uma mesma categoria ou classificar sistemas similares em categorias distintas. Outro ponto muito relevante é considerar apenas o sistema predominante no país, já que a maioria apresenta uma combinação de categorias.</w:t>
      </w:r>
      <w:r w:rsidR="00B6462F" w:rsidRPr="00AE7CA8">
        <w:rPr>
          <w:sz w:val="20"/>
          <w:szCs w:val="20"/>
        </w:rPr>
        <w:t xml:space="preserve"> As dimensões comumente utilizadas são o financiamento, em seguida a provisão e, por vezes, a regulação do sistema.</w:t>
      </w:r>
    </w:p>
    <w:p w:rsidR="006D002D" w:rsidRPr="00AE7CA8" w:rsidRDefault="006D002D" w:rsidP="00477123">
      <w:pPr>
        <w:spacing w:line="360" w:lineRule="auto"/>
        <w:jc w:val="both"/>
        <w:rPr>
          <w:sz w:val="20"/>
          <w:szCs w:val="20"/>
        </w:rPr>
      </w:pPr>
      <w:r w:rsidRPr="00AE7CA8">
        <w:rPr>
          <w:sz w:val="20"/>
          <w:szCs w:val="20"/>
        </w:rPr>
        <w:t xml:space="preserve">Múltiplos critérios são utilizados para classificar o </w:t>
      </w:r>
      <w:r w:rsidRPr="00AE7CA8">
        <w:rPr>
          <w:b/>
          <w:sz w:val="20"/>
          <w:szCs w:val="20"/>
        </w:rPr>
        <w:t>financiamento</w:t>
      </w:r>
      <w:r w:rsidRPr="00AE7CA8">
        <w:rPr>
          <w:sz w:val="20"/>
          <w:szCs w:val="20"/>
        </w:rPr>
        <w:t xml:space="preserve"> dos sistemas de saúde: natureza (público, privado com ou sem fins lucrativos); liberdade de escolha do seguro; pagador (único ou múltiplo, com ou sem concorrência); forma de contribuição (impostos, seguro social ou prêmio e sua forma de cálculo, se é baseada em risco individual ou coletivo); elegibilidade, cobertura do seguro e regulação do sistema.</w:t>
      </w:r>
    </w:p>
    <w:p w:rsidR="002A0A9C" w:rsidRPr="00AE7CA8" w:rsidRDefault="002A0A9C" w:rsidP="00477123">
      <w:pPr>
        <w:spacing w:line="360" w:lineRule="auto"/>
        <w:jc w:val="both"/>
        <w:rPr>
          <w:sz w:val="20"/>
          <w:szCs w:val="20"/>
        </w:rPr>
      </w:pPr>
      <w:r w:rsidRPr="00AE7CA8">
        <w:rPr>
          <w:sz w:val="20"/>
          <w:szCs w:val="20"/>
        </w:rPr>
        <w:t xml:space="preserve">Com relação à </w:t>
      </w:r>
      <w:r w:rsidRPr="00AE7CA8">
        <w:rPr>
          <w:b/>
          <w:sz w:val="20"/>
          <w:szCs w:val="20"/>
        </w:rPr>
        <w:t>provisão dos serviços de saúde</w:t>
      </w:r>
      <w:r w:rsidRPr="00AE7CA8">
        <w:rPr>
          <w:sz w:val="20"/>
          <w:szCs w:val="20"/>
        </w:rPr>
        <w:t>, os critérios usualmente utilizados são: natureza legal do prestador (público ou privado, com ou sem fins lucrativos); liberdade de escolha do contribuinte; presença de controle para acesso às especialidades (</w:t>
      </w:r>
      <w:proofErr w:type="spellStart"/>
      <w:r w:rsidRPr="00AE7CA8">
        <w:rPr>
          <w:i/>
          <w:sz w:val="20"/>
          <w:szCs w:val="20"/>
        </w:rPr>
        <w:t>gatekeeping</w:t>
      </w:r>
      <w:proofErr w:type="spellEnd"/>
      <w:r w:rsidRPr="00AE7CA8">
        <w:rPr>
          <w:sz w:val="20"/>
          <w:szCs w:val="20"/>
        </w:rPr>
        <w:t>). T</w:t>
      </w:r>
      <w:r w:rsidR="00D23297" w:rsidRPr="00AE7CA8">
        <w:rPr>
          <w:sz w:val="20"/>
          <w:szCs w:val="20"/>
        </w:rPr>
        <w:t>OTH</w:t>
      </w:r>
      <w:r w:rsidRPr="00AE7CA8">
        <w:rPr>
          <w:sz w:val="20"/>
          <w:szCs w:val="20"/>
        </w:rPr>
        <w:t xml:space="preserve"> (2016) opta pelos critérios de classificação de sistemas integrados (verticalização da atenção à saúde) ou separados (prestadores e operadoras atuam de forma separada).</w:t>
      </w:r>
    </w:p>
    <w:p w:rsidR="00E80117" w:rsidRPr="00AE7CA8" w:rsidRDefault="00E80117" w:rsidP="00477123">
      <w:pPr>
        <w:spacing w:line="360" w:lineRule="auto"/>
        <w:jc w:val="both"/>
        <w:rPr>
          <w:sz w:val="20"/>
          <w:szCs w:val="20"/>
        </w:rPr>
      </w:pPr>
      <w:r w:rsidRPr="00AE7CA8">
        <w:rPr>
          <w:sz w:val="20"/>
          <w:szCs w:val="20"/>
        </w:rPr>
        <w:t xml:space="preserve">Um terceiro critério importante, para auxiliar no retrato falado do sistema de saúde, é a </w:t>
      </w:r>
      <w:r w:rsidRPr="00AE7CA8">
        <w:rPr>
          <w:b/>
          <w:sz w:val="20"/>
          <w:szCs w:val="20"/>
        </w:rPr>
        <w:t>segmentação</w:t>
      </w:r>
      <w:r w:rsidRPr="00AE7CA8">
        <w:rPr>
          <w:sz w:val="20"/>
          <w:szCs w:val="20"/>
        </w:rPr>
        <w:t>, seja da atenção à saúde (serviços essenciais e suplementares, procedimentos excepcionais), seja da população (ocupação, renda e idade, ou determinados grupos, tais como gestantes, prisioneiros ou refugiados).</w:t>
      </w:r>
    </w:p>
    <w:p w:rsidR="004C4368" w:rsidRDefault="00D23297" w:rsidP="009E3595">
      <w:pPr>
        <w:spacing w:line="360" w:lineRule="auto"/>
        <w:jc w:val="both"/>
        <w:rPr>
          <w:sz w:val="20"/>
          <w:szCs w:val="20"/>
        </w:rPr>
      </w:pPr>
      <w:r w:rsidRPr="00AE7CA8">
        <w:rPr>
          <w:sz w:val="20"/>
          <w:szCs w:val="20"/>
        </w:rPr>
        <w:t>BOHM</w:t>
      </w:r>
      <w:r w:rsidR="004C4368" w:rsidRPr="00AE7CA8">
        <w:rPr>
          <w:sz w:val="20"/>
          <w:szCs w:val="20"/>
        </w:rPr>
        <w:t xml:space="preserve"> et al. (2016) sugerem análise com base nos atores responsáveis pela regulação, pelo financiamento e pela provisão de serviços, ou seja, se é o estado, a sociedade ou o mercado privado</w:t>
      </w:r>
      <w:r w:rsidR="00E00563" w:rsidRPr="00AE7CA8">
        <w:rPr>
          <w:sz w:val="20"/>
          <w:szCs w:val="20"/>
        </w:rPr>
        <w:t>,</w:t>
      </w:r>
      <w:r w:rsidR="004C4368" w:rsidRPr="00AE7CA8">
        <w:rPr>
          <w:sz w:val="20"/>
          <w:szCs w:val="20"/>
        </w:rPr>
        <w:t xml:space="preserve"> majoritariamente responsáveis pelos atributos analisados.</w:t>
      </w:r>
      <w:r w:rsidR="00E00563" w:rsidRPr="00AE7CA8">
        <w:rPr>
          <w:sz w:val="20"/>
          <w:szCs w:val="20"/>
        </w:rPr>
        <w:t xml:space="preserve"> Utilizando as tipologias propostas por R</w:t>
      </w:r>
      <w:r w:rsidRPr="00AE7CA8">
        <w:rPr>
          <w:sz w:val="20"/>
          <w:szCs w:val="20"/>
        </w:rPr>
        <w:t>OTHGANG</w:t>
      </w:r>
      <w:r w:rsidR="00E00563" w:rsidRPr="00AE7CA8">
        <w:rPr>
          <w:sz w:val="20"/>
          <w:szCs w:val="20"/>
        </w:rPr>
        <w:t xml:space="preserve"> e W</w:t>
      </w:r>
      <w:r w:rsidRPr="00AE7CA8">
        <w:rPr>
          <w:sz w:val="20"/>
          <w:szCs w:val="20"/>
        </w:rPr>
        <w:t>ENDT</w:t>
      </w:r>
      <w:r w:rsidR="00E00563" w:rsidRPr="00AE7CA8">
        <w:rPr>
          <w:sz w:val="20"/>
          <w:szCs w:val="20"/>
        </w:rPr>
        <w:t xml:space="preserve"> (2005) </w:t>
      </w:r>
      <w:r w:rsidR="009C6C19" w:rsidRPr="00AE7CA8">
        <w:rPr>
          <w:sz w:val="20"/>
          <w:szCs w:val="20"/>
        </w:rPr>
        <w:t xml:space="preserve">e considerando a hierarquia entre os atributos, </w:t>
      </w:r>
      <w:r w:rsidR="00E00563" w:rsidRPr="00AE7CA8">
        <w:rPr>
          <w:sz w:val="20"/>
          <w:szCs w:val="20"/>
        </w:rPr>
        <w:t>foram criadas 27 combinações entre os atributos listados, sendo que apenas cinco foram pla</w:t>
      </w:r>
      <w:r w:rsidR="00AE7CA8" w:rsidRPr="00AE7CA8">
        <w:rPr>
          <w:sz w:val="20"/>
          <w:szCs w:val="20"/>
        </w:rPr>
        <w:t xml:space="preserve">usíveis e existentes na prática: serviço nacional de saúde, seguro saúde nacional, </w:t>
      </w:r>
      <w:r w:rsidR="009D2EB6" w:rsidRPr="00AE7CA8">
        <w:rPr>
          <w:sz w:val="20"/>
          <w:szCs w:val="20"/>
        </w:rPr>
        <w:t>seguro social</w:t>
      </w:r>
      <w:r w:rsidR="009D2EB6">
        <w:rPr>
          <w:sz w:val="20"/>
          <w:szCs w:val="20"/>
        </w:rPr>
        <w:t>,</w:t>
      </w:r>
      <w:r w:rsidR="009D2EB6" w:rsidRPr="00AE7CA8">
        <w:rPr>
          <w:sz w:val="20"/>
          <w:szCs w:val="20"/>
        </w:rPr>
        <w:t xml:space="preserve"> </w:t>
      </w:r>
      <w:r w:rsidR="00AE7CA8" w:rsidRPr="00AE7CA8">
        <w:rPr>
          <w:sz w:val="20"/>
          <w:szCs w:val="20"/>
        </w:rPr>
        <w:t>seguro saúde social estatal, e sistema privado de saúde</w:t>
      </w:r>
      <w:r w:rsidR="00C35254">
        <w:rPr>
          <w:sz w:val="20"/>
          <w:szCs w:val="20"/>
        </w:rPr>
        <w:t xml:space="preserve"> (Tabela 1)</w:t>
      </w:r>
      <w:r w:rsidR="00AE7CA8" w:rsidRPr="00AE7CA8">
        <w:rPr>
          <w:sz w:val="20"/>
          <w:szCs w:val="20"/>
        </w:rPr>
        <w:t xml:space="preserve">. </w:t>
      </w:r>
    </w:p>
    <w:p w:rsidR="005435B8" w:rsidRDefault="005435B8" w:rsidP="009E3595">
      <w:pPr>
        <w:spacing w:line="360" w:lineRule="auto"/>
        <w:jc w:val="both"/>
        <w:rPr>
          <w:sz w:val="20"/>
          <w:szCs w:val="20"/>
        </w:rPr>
      </w:pPr>
      <w:r>
        <w:rPr>
          <w:sz w:val="20"/>
          <w:szCs w:val="20"/>
        </w:rPr>
        <w:t>O serviço nacional de saúde representa o tipo ideal</w:t>
      </w:r>
      <w:r w:rsidR="00AD2EC6">
        <w:rPr>
          <w:sz w:val="20"/>
          <w:szCs w:val="20"/>
        </w:rPr>
        <w:t xml:space="preserve"> de sistema de saúde</w:t>
      </w:r>
      <w:r>
        <w:rPr>
          <w:sz w:val="20"/>
          <w:szCs w:val="20"/>
        </w:rPr>
        <w:t xml:space="preserve">, com o Estado regulando as relações entre os demais atores, tendo surgido em momentos de forte solidariedade social, no pós-guerra no Reino Unido e </w:t>
      </w:r>
      <w:r w:rsidR="00AD2EC6">
        <w:rPr>
          <w:sz w:val="20"/>
          <w:szCs w:val="20"/>
        </w:rPr>
        <w:t xml:space="preserve">nos </w:t>
      </w:r>
      <w:r>
        <w:rPr>
          <w:sz w:val="20"/>
          <w:szCs w:val="20"/>
        </w:rPr>
        <w:t>Países Nórdicos, e de emergência de movimentos sociais poderosos, após ditaduras, como na Península Ibérica. Reflete valores sociais democratas, tais como cobertura universal, equidade no acesso aos serviços de saúde e crença na eficiência do serviço público.</w:t>
      </w:r>
    </w:p>
    <w:p w:rsidR="00CE6800" w:rsidRDefault="00CE6800" w:rsidP="009E3595">
      <w:pPr>
        <w:spacing w:line="360" w:lineRule="auto"/>
        <w:jc w:val="both"/>
        <w:rPr>
          <w:sz w:val="20"/>
          <w:szCs w:val="20"/>
        </w:rPr>
      </w:pPr>
      <w:r>
        <w:rPr>
          <w:sz w:val="20"/>
          <w:szCs w:val="20"/>
        </w:rPr>
        <w:lastRenderedPageBreak/>
        <w:t>O seguro saúde nacional, por sua vez, apresenta elementos semelhantes ao tipo anterior, mas a provisão de serviços é predominantemente privada, com preferências mais</w:t>
      </w:r>
      <w:r w:rsidR="00AD2EC6">
        <w:rPr>
          <w:sz w:val="20"/>
          <w:szCs w:val="20"/>
        </w:rPr>
        <w:t xml:space="preserve"> conservadoras e</w:t>
      </w:r>
      <w:r>
        <w:rPr>
          <w:sz w:val="20"/>
          <w:szCs w:val="20"/>
        </w:rPr>
        <w:t xml:space="preserve"> liberais e </w:t>
      </w:r>
      <w:r w:rsidR="00AD2EC6">
        <w:rPr>
          <w:sz w:val="20"/>
          <w:szCs w:val="20"/>
        </w:rPr>
        <w:t>permeado pel</w:t>
      </w:r>
      <w:r>
        <w:rPr>
          <w:sz w:val="20"/>
          <w:szCs w:val="20"/>
        </w:rPr>
        <w:t>a crença de que a eficiência é maior em serviços privados, como ocorre no Canadá, Austrália, Nova Zelândia, Irlanda e Itália.</w:t>
      </w:r>
    </w:p>
    <w:p w:rsidR="00F672F3" w:rsidRDefault="009D2EB6" w:rsidP="009E3595">
      <w:pPr>
        <w:spacing w:line="360" w:lineRule="auto"/>
        <w:jc w:val="both"/>
        <w:rPr>
          <w:sz w:val="20"/>
          <w:szCs w:val="20"/>
        </w:rPr>
      </w:pPr>
      <w:r>
        <w:rPr>
          <w:sz w:val="20"/>
          <w:szCs w:val="20"/>
        </w:rPr>
        <w:t>O seguro saúde social, presente em países de identidade linguística e cultural alemã, apresenta a sociedade com papel dominante na regulação e financiamento do sistema de saúde, expressos em fundos de saúde</w:t>
      </w:r>
      <w:r w:rsidR="005A4F10">
        <w:rPr>
          <w:sz w:val="20"/>
          <w:szCs w:val="20"/>
        </w:rPr>
        <w:t xml:space="preserve"> e doença</w:t>
      </w:r>
      <w:r>
        <w:rPr>
          <w:sz w:val="20"/>
          <w:szCs w:val="20"/>
        </w:rPr>
        <w:t>, sendo geridos pelo Estado ou por organizações sem fins lucrativos</w:t>
      </w:r>
      <w:r w:rsidR="005A4F10">
        <w:rPr>
          <w:sz w:val="20"/>
          <w:szCs w:val="20"/>
        </w:rPr>
        <w:t>. Há forte resistência corporativista e a provisão de serviços é essencialmente privada. Alemanha, Áustria, Luxemburgo e, mais tardiamente, a Suíça encontram-se nessa categoria.</w:t>
      </w:r>
    </w:p>
    <w:p w:rsidR="005A4F10" w:rsidRDefault="005A4F10" w:rsidP="009E3595">
      <w:pPr>
        <w:spacing w:line="360" w:lineRule="auto"/>
        <w:jc w:val="both"/>
        <w:rPr>
          <w:sz w:val="20"/>
          <w:szCs w:val="20"/>
        </w:rPr>
      </w:pPr>
      <w:r>
        <w:rPr>
          <w:sz w:val="20"/>
          <w:szCs w:val="20"/>
        </w:rPr>
        <w:t xml:space="preserve">O seguro saúde social estatal apresenta combinação de regulação mantida pelo Estado, com financiamento realizado pela sociedade e provisão de serviços majoritariamente privada. </w:t>
      </w:r>
      <w:r w:rsidR="00AD2EC6">
        <w:rPr>
          <w:sz w:val="20"/>
          <w:szCs w:val="20"/>
        </w:rPr>
        <w:t>Há uma variedade grande de p</w:t>
      </w:r>
      <w:r>
        <w:rPr>
          <w:sz w:val="20"/>
          <w:szCs w:val="20"/>
        </w:rPr>
        <w:t>aíses como a França e a Bélgica, além de países do Leste Europeu, Holanda, Israel, Coréia do Sul e Japão.</w:t>
      </w:r>
      <w:r w:rsidR="00AE158B">
        <w:rPr>
          <w:sz w:val="20"/>
          <w:szCs w:val="20"/>
        </w:rPr>
        <w:t xml:space="preserve"> Os gastos privados</w:t>
      </w:r>
      <w:r w:rsidR="009E3595">
        <w:rPr>
          <w:sz w:val="20"/>
          <w:szCs w:val="20"/>
        </w:rPr>
        <w:t xml:space="preserve"> diretos</w:t>
      </w:r>
      <w:r w:rsidR="00AE158B">
        <w:rPr>
          <w:sz w:val="20"/>
          <w:szCs w:val="20"/>
        </w:rPr>
        <w:t xml:space="preserve"> (</w:t>
      </w:r>
      <w:r w:rsidR="00AE158B" w:rsidRPr="00AE158B">
        <w:rPr>
          <w:i/>
          <w:sz w:val="20"/>
          <w:szCs w:val="20"/>
        </w:rPr>
        <w:t>out-</w:t>
      </w:r>
      <w:proofErr w:type="spellStart"/>
      <w:r w:rsidR="00AE158B" w:rsidRPr="00AE158B">
        <w:rPr>
          <w:i/>
          <w:sz w:val="20"/>
          <w:szCs w:val="20"/>
        </w:rPr>
        <w:t>of</w:t>
      </w:r>
      <w:proofErr w:type="spellEnd"/>
      <w:r w:rsidR="00AE158B" w:rsidRPr="00AE158B">
        <w:rPr>
          <w:i/>
          <w:sz w:val="20"/>
          <w:szCs w:val="20"/>
        </w:rPr>
        <w:t>-</w:t>
      </w:r>
      <w:proofErr w:type="spellStart"/>
      <w:r w:rsidR="00AE158B" w:rsidRPr="00AE158B">
        <w:rPr>
          <w:i/>
          <w:sz w:val="20"/>
          <w:szCs w:val="20"/>
        </w:rPr>
        <w:t>pocket</w:t>
      </w:r>
      <w:proofErr w:type="spellEnd"/>
      <w:r w:rsidR="00AE158B">
        <w:rPr>
          <w:sz w:val="20"/>
          <w:szCs w:val="20"/>
        </w:rPr>
        <w:t>) representam importante parcela nesses países</w:t>
      </w:r>
      <w:r w:rsidR="009E3595">
        <w:rPr>
          <w:sz w:val="20"/>
          <w:szCs w:val="20"/>
        </w:rPr>
        <w:t>, embora minoritária</w:t>
      </w:r>
      <w:r w:rsidR="00AE158B">
        <w:rPr>
          <w:sz w:val="20"/>
          <w:szCs w:val="20"/>
        </w:rPr>
        <w:t>.</w:t>
      </w:r>
    </w:p>
    <w:p w:rsidR="00F672F3" w:rsidRPr="00AE7CA8" w:rsidRDefault="009E3595" w:rsidP="009E3595">
      <w:pPr>
        <w:spacing w:line="360" w:lineRule="auto"/>
        <w:jc w:val="both"/>
        <w:rPr>
          <w:sz w:val="20"/>
          <w:szCs w:val="20"/>
        </w:rPr>
      </w:pPr>
      <w:r>
        <w:rPr>
          <w:sz w:val="20"/>
          <w:szCs w:val="20"/>
        </w:rPr>
        <w:t>O sistema privado de saúde é descrito nos Estados Unidos, mas é apenas</w:t>
      </w:r>
      <w:r w:rsidR="00AD2EC6">
        <w:rPr>
          <w:sz w:val="20"/>
          <w:szCs w:val="20"/>
        </w:rPr>
        <w:t xml:space="preserve"> o sistema</w:t>
      </w:r>
      <w:r>
        <w:rPr>
          <w:sz w:val="20"/>
          <w:szCs w:val="20"/>
        </w:rPr>
        <w:t xml:space="preserve"> predominante, uma vez que os programas residuais</w:t>
      </w:r>
      <w:r w:rsidR="00AD2EC6">
        <w:rPr>
          <w:sz w:val="20"/>
          <w:szCs w:val="20"/>
        </w:rPr>
        <w:t xml:space="preserve"> destinados</w:t>
      </w:r>
      <w:r>
        <w:rPr>
          <w:sz w:val="20"/>
          <w:szCs w:val="20"/>
        </w:rPr>
        <w:t xml:space="preserve"> a grupos vulneráveis fazem com que o financiamento público alcance 46% dos gastos em saúde. Além disso, o Estado tem papel regulador para 25% da população e tem apresentado importante papel, junto com a sociedade, na condução do sistema privado de saúde.</w:t>
      </w:r>
    </w:p>
    <w:p w:rsidR="00CD5C86" w:rsidRPr="00AE7CA8" w:rsidRDefault="00CD5C86" w:rsidP="009E3595">
      <w:pPr>
        <w:spacing w:line="360" w:lineRule="auto"/>
        <w:jc w:val="both"/>
        <w:rPr>
          <w:sz w:val="20"/>
          <w:szCs w:val="20"/>
        </w:rPr>
      </w:pPr>
      <w:r w:rsidRPr="00AE7CA8">
        <w:rPr>
          <w:sz w:val="20"/>
          <w:szCs w:val="20"/>
        </w:rPr>
        <w:t>Assim, os autores analisam trinta países da OCDE nessas categorias, demonstrando historicamente as transformações ocorridas entre os diferentes tipos e também as possíveis tendências, com base em dados atuais. Os autores ressaltam a necessidade de utilizar apenas os resultados majoritários de cada país, uma vez que existem combinações várias.</w:t>
      </w:r>
    </w:p>
    <w:p w:rsidR="00FF710D" w:rsidRPr="00AE7CA8" w:rsidRDefault="00FF710D" w:rsidP="00FF710D">
      <w:pPr>
        <w:spacing w:before="100" w:beforeAutospacing="1" w:after="100" w:afterAutospacing="1" w:line="240" w:lineRule="auto"/>
        <w:outlineLvl w:val="0"/>
        <w:rPr>
          <w:b/>
          <w:sz w:val="20"/>
          <w:szCs w:val="20"/>
        </w:rPr>
      </w:pPr>
      <w:r w:rsidRPr="00AE7CA8">
        <w:rPr>
          <w:b/>
          <w:sz w:val="20"/>
          <w:szCs w:val="20"/>
        </w:rPr>
        <w:t>Referências:</w:t>
      </w:r>
    </w:p>
    <w:p w:rsidR="00FF710D" w:rsidRPr="00AE7CA8" w:rsidRDefault="00FF710D" w:rsidP="00FF710D">
      <w:pPr>
        <w:spacing w:before="100" w:beforeAutospacing="1" w:after="100" w:afterAutospacing="1" w:line="240" w:lineRule="auto"/>
        <w:outlineLvl w:val="0"/>
        <w:rPr>
          <w:sz w:val="20"/>
          <w:szCs w:val="20"/>
        </w:rPr>
      </w:pPr>
      <w:proofErr w:type="spellStart"/>
      <w:r w:rsidRPr="00AE7CA8">
        <w:rPr>
          <w:sz w:val="20"/>
          <w:szCs w:val="20"/>
        </w:rPr>
        <w:t>Böhm</w:t>
      </w:r>
      <w:proofErr w:type="spellEnd"/>
      <w:r w:rsidRPr="00AE7CA8">
        <w:rPr>
          <w:sz w:val="20"/>
          <w:szCs w:val="20"/>
        </w:rPr>
        <w:t xml:space="preserve"> K, Schmid A, </w:t>
      </w:r>
      <w:proofErr w:type="spellStart"/>
      <w:r w:rsidRPr="00AE7CA8">
        <w:rPr>
          <w:sz w:val="20"/>
          <w:szCs w:val="20"/>
        </w:rPr>
        <w:t>Götze</w:t>
      </w:r>
      <w:proofErr w:type="spellEnd"/>
      <w:r w:rsidRPr="00AE7CA8">
        <w:rPr>
          <w:sz w:val="20"/>
          <w:szCs w:val="20"/>
        </w:rPr>
        <w:t xml:space="preserve"> R, </w:t>
      </w:r>
      <w:proofErr w:type="spellStart"/>
      <w:r w:rsidRPr="00AE7CA8">
        <w:rPr>
          <w:sz w:val="20"/>
          <w:szCs w:val="20"/>
        </w:rPr>
        <w:t>Landwehr</w:t>
      </w:r>
      <w:proofErr w:type="spellEnd"/>
      <w:r w:rsidRPr="00AE7CA8">
        <w:rPr>
          <w:sz w:val="20"/>
          <w:szCs w:val="20"/>
        </w:rPr>
        <w:t xml:space="preserve"> C, </w:t>
      </w:r>
      <w:proofErr w:type="spellStart"/>
      <w:r w:rsidRPr="00AE7CA8">
        <w:rPr>
          <w:sz w:val="20"/>
          <w:szCs w:val="20"/>
        </w:rPr>
        <w:t>Rothgang</w:t>
      </w:r>
      <w:proofErr w:type="spellEnd"/>
      <w:r w:rsidRPr="00AE7CA8">
        <w:rPr>
          <w:sz w:val="20"/>
          <w:szCs w:val="20"/>
        </w:rPr>
        <w:t xml:space="preserve"> H.  Five </w:t>
      </w:r>
      <w:proofErr w:type="spellStart"/>
      <w:r w:rsidRPr="00AE7CA8">
        <w:rPr>
          <w:sz w:val="20"/>
          <w:szCs w:val="20"/>
        </w:rPr>
        <w:t>types</w:t>
      </w:r>
      <w:proofErr w:type="spellEnd"/>
      <w:r w:rsidRPr="00AE7CA8">
        <w:rPr>
          <w:sz w:val="20"/>
          <w:szCs w:val="20"/>
        </w:rPr>
        <w:t xml:space="preserve"> </w:t>
      </w:r>
      <w:proofErr w:type="spellStart"/>
      <w:r w:rsidRPr="00AE7CA8">
        <w:rPr>
          <w:sz w:val="20"/>
          <w:szCs w:val="20"/>
        </w:rPr>
        <w:t>of</w:t>
      </w:r>
      <w:proofErr w:type="spellEnd"/>
      <w:r w:rsidRPr="00AE7CA8">
        <w:rPr>
          <w:sz w:val="20"/>
          <w:szCs w:val="20"/>
        </w:rPr>
        <w:t xml:space="preserve"> OECD </w:t>
      </w:r>
      <w:proofErr w:type="spellStart"/>
      <w:r w:rsidRPr="00AE7CA8">
        <w:rPr>
          <w:sz w:val="20"/>
          <w:szCs w:val="20"/>
        </w:rPr>
        <w:t>healthcare</w:t>
      </w:r>
      <w:proofErr w:type="spellEnd"/>
      <w:r w:rsidRPr="00AE7CA8">
        <w:rPr>
          <w:sz w:val="20"/>
          <w:szCs w:val="20"/>
        </w:rPr>
        <w:t xml:space="preserve"> systems: </w:t>
      </w:r>
      <w:proofErr w:type="spellStart"/>
      <w:r w:rsidRPr="00AE7CA8">
        <w:rPr>
          <w:sz w:val="20"/>
          <w:szCs w:val="20"/>
        </w:rPr>
        <w:t>Empirical</w:t>
      </w:r>
      <w:proofErr w:type="spellEnd"/>
      <w:r w:rsidRPr="00AE7CA8">
        <w:rPr>
          <w:sz w:val="20"/>
          <w:szCs w:val="20"/>
        </w:rPr>
        <w:t xml:space="preserve"> </w:t>
      </w:r>
      <w:proofErr w:type="spellStart"/>
      <w:r w:rsidRPr="00AE7CA8">
        <w:rPr>
          <w:sz w:val="20"/>
          <w:szCs w:val="20"/>
        </w:rPr>
        <w:t>results</w:t>
      </w:r>
      <w:proofErr w:type="spellEnd"/>
      <w:r w:rsidRPr="00AE7CA8">
        <w:rPr>
          <w:sz w:val="20"/>
          <w:szCs w:val="20"/>
        </w:rPr>
        <w:t xml:space="preserve"> </w:t>
      </w:r>
      <w:proofErr w:type="spellStart"/>
      <w:r w:rsidRPr="00AE7CA8">
        <w:rPr>
          <w:sz w:val="20"/>
          <w:szCs w:val="20"/>
        </w:rPr>
        <w:t>of</w:t>
      </w:r>
      <w:proofErr w:type="spellEnd"/>
      <w:r w:rsidRPr="00AE7CA8">
        <w:rPr>
          <w:sz w:val="20"/>
          <w:szCs w:val="20"/>
        </w:rPr>
        <w:t xml:space="preserve"> a </w:t>
      </w:r>
      <w:proofErr w:type="spellStart"/>
      <w:r w:rsidRPr="00AE7CA8">
        <w:rPr>
          <w:sz w:val="20"/>
          <w:szCs w:val="20"/>
        </w:rPr>
        <w:t>deductive</w:t>
      </w:r>
      <w:proofErr w:type="spellEnd"/>
      <w:r w:rsidRPr="00AE7CA8">
        <w:rPr>
          <w:sz w:val="20"/>
          <w:szCs w:val="20"/>
        </w:rPr>
        <w:t xml:space="preserve"> </w:t>
      </w:r>
      <w:proofErr w:type="spellStart"/>
      <w:r w:rsidRPr="00AE7CA8">
        <w:rPr>
          <w:sz w:val="20"/>
          <w:szCs w:val="20"/>
        </w:rPr>
        <w:t>classification</w:t>
      </w:r>
      <w:proofErr w:type="spellEnd"/>
      <w:r w:rsidRPr="00AE7CA8">
        <w:rPr>
          <w:sz w:val="20"/>
          <w:szCs w:val="20"/>
        </w:rPr>
        <w:t xml:space="preserve">. Health Policy [Internet]. 2013 dez [acesso em 25 maio 2018]; 113(3): 258-69. Disponível em: </w:t>
      </w:r>
      <w:hyperlink r:id="rId6" w:history="1">
        <w:proofErr w:type="gramStart"/>
        <w:r w:rsidRPr="00AE7CA8">
          <w:rPr>
            <w:rStyle w:val="Hyperlink"/>
            <w:sz w:val="20"/>
            <w:szCs w:val="20"/>
          </w:rPr>
          <w:t>https://www.sciencedirect.com/science/article/pii/S0168851013002285</w:t>
        </w:r>
      </w:hyperlink>
      <w:r w:rsidRPr="00AE7CA8">
        <w:rPr>
          <w:sz w:val="20"/>
          <w:szCs w:val="20"/>
        </w:rPr>
        <w:t xml:space="preserve">  </w:t>
      </w:r>
      <w:hyperlink r:id="rId7" w:history="1">
        <w:r w:rsidRPr="00AE7CA8">
          <w:rPr>
            <w:rStyle w:val="Hyperlink"/>
            <w:sz w:val="20"/>
            <w:szCs w:val="20"/>
          </w:rPr>
          <w:t>https://doi.org/10.1016/j.healthpol.12.013</w:t>
        </w:r>
        <w:proofErr w:type="gramEnd"/>
      </w:hyperlink>
      <w:r w:rsidRPr="00AE7CA8">
        <w:rPr>
          <w:sz w:val="20"/>
          <w:szCs w:val="20"/>
        </w:rPr>
        <w:t xml:space="preserve"> </w:t>
      </w:r>
    </w:p>
    <w:p w:rsidR="00FF710D" w:rsidRPr="00AE7CA8" w:rsidRDefault="00FF710D" w:rsidP="00FF710D">
      <w:pPr>
        <w:spacing w:before="100" w:beforeAutospacing="1" w:after="100" w:afterAutospacing="1" w:line="240" w:lineRule="auto"/>
        <w:outlineLvl w:val="0"/>
        <w:rPr>
          <w:sz w:val="20"/>
          <w:szCs w:val="20"/>
        </w:rPr>
      </w:pPr>
      <w:proofErr w:type="spellStart"/>
      <w:r w:rsidRPr="00AE7CA8">
        <w:rPr>
          <w:sz w:val="20"/>
          <w:szCs w:val="20"/>
        </w:rPr>
        <w:t>Franken</w:t>
      </w:r>
      <w:proofErr w:type="spellEnd"/>
      <w:r w:rsidRPr="00AE7CA8">
        <w:rPr>
          <w:sz w:val="20"/>
          <w:szCs w:val="20"/>
        </w:rPr>
        <w:t xml:space="preserve"> M, </w:t>
      </w:r>
      <w:proofErr w:type="spellStart"/>
      <w:r w:rsidRPr="00AE7CA8">
        <w:rPr>
          <w:sz w:val="20"/>
          <w:szCs w:val="20"/>
        </w:rPr>
        <w:t>Hoolman</w:t>
      </w:r>
      <w:proofErr w:type="spellEnd"/>
      <w:r w:rsidRPr="00AE7CA8">
        <w:rPr>
          <w:sz w:val="20"/>
          <w:szCs w:val="20"/>
        </w:rPr>
        <w:t xml:space="preserve"> X.  Health system </w:t>
      </w:r>
      <w:proofErr w:type="spellStart"/>
      <w:r w:rsidRPr="00AE7CA8">
        <w:rPr>
          <w:sz w:val="20"/>
          <w:szCs w:val="20"/>
        </w:rPr>
        <w:t>goals</w:t>
      </w:r>
      <w:proofErr w:type="spellEnd"/>
      <w:r w:rsidRPr="00AE7CA8">
        <w:rPr>
          <w:sz w:val="20"/>
          <w:szCs w:val="20"/>
        </w:rPr>
        <w:t xml:space="preserve">: a </w:t>
      </w:r>
      <w:proofErr w:type="spellStart"/>
      <w:r w:rsidRPr="00AE7CA8">
        <w:rPr>
          <w:sz w:val="20"/>
          <w:szCs w:val="20"/>
        </w:rPr>
        <w:t>discrete</w:t>
      </w:r>
      <w:proofErr w:type="spellEnd"/>
      <w:r w:rsidRPr="00AE7CA8">
        <w:rPr>
          <w:sz w:val="20"/>
          <w:szCs w:val="20"/>
        </w:rPr>
        <w:t xml:space="preserve"> </w:t>
      </w:r>
      <w:proofErr w:type="spellStart"/>
      <w:r w:rsidRPr="00AE7CA8">
        <w:rPr>
          <w:sz w:val="20"/>
          <w:szCs w:val="20"/>
        </w:rPr>
        <w:t>choice</w:t>
      </w:r>
      <w:proofErr w:type="spellEnd"/>
      <w:r w:rsidRPr="00AE7CA8">
        <w:rPr>
          <w:sz w:val="20"/>
          <w:szCs w:val="20"/>
        </w:rPr>
        <w:t xml:space="preserve"> </w:t>
      </w:r>
      <w:proofErr w:type="spellStart"/>
      <w:r w:rsidRPr="00AE7CA8">
        <w:rPr>
          <w:sz w:val="20"/>
          <w:szCs w:val="20"/>
        </w:rPr>
        <w:t>experiment</w:t>
      </w:r>
      <w:proofErr w:type="spellEnd"/>
      <w:r w:rsidRPr="00AE7CA8">
        <w:rPr>
          <w:sz w:val="20"/>
          <w:szCs w:val="20"/>
        </w:rPr>
        <w:t xml:space="preserve"> </w:t>
      </w:r>
      <w:proofErr w:type="spellStart"/>
      <w:r w:rsidRPr="00AE7CA8">
        <w:rPr>
          <w:sz w:val="20"/>
          <w:szCs w:val="20"/>
        </w:rPr>
        <w:t>to</w:t>
      </w:r>
      <w:proofErr w:type="spellEnd"/>
      <w:r w:rsidRPr="00AE7CA8">
        <w:rPr>
          <w:sz w:val="20"/>
          <w:szCs w:val="20"/>
        </w:rPr>
        <w:t xml:space="preserve"> </w:t>
      </w:r>
      <w:proofErr w:type="spellStart"/>
      <w:r w:rsidRPr="00AE7CA8">
        <w:rPr>
          <w:sz w:val="20"/>
          <w:szCs w:val="20"/>
        </w:rPr>
        <w:t>obtain</w:t>
      </w:r>
      <w:proofErr w:type="spellEnd"/>
      <w:r w:rsidRPr="00AE7CA8">
        <w:rPr>
          <w:sz w:val="20"/>
          <w:szCs w:val="20"/>
        </w:rPr>
        <w:t xml:space="preserve"> societal </w:t>
      </w:r>
      <w:proofErr w:type="spellStart"/>
      <w:r w:rsidRPr="00AE7CA8">
        <w:rPr>
          <w:sz w:val="20"/>
          <w:szCs w:val="20"/>
        </w:rPr>
        <w:t>valuations</w:t>
      </w:r>
      <w:proofErr w:type="spellEnd"/>
      <w:r w:rsidRPr="00AE7CA8">
        <w:rPr>
          <w:sz w:val="20"/>
          <w:szCs w:val="20"/>
        </w:rPr>
        <w:t xml:space="preserve">. Health Policy [Internet]. 2013 set [acesso em 25 maio 2018]; 12(1-2):28-34. Disponível em:  </w:t>
      </w:r>
      <w:hyperlink r:id="rId8" w:history="1">
        <w:r w:rsidRPr="00AE7CA8">
          <w:rPr>
            <w:rStyle w:val="Hyperlink"/>
            <w:sz w:val="20"/>
            <w:szCs w:val="20"/>
          </w:rPr>
          <w:t>https://www.sciencedirect.com/science/article/pii/S0168851012003405?via%3Dihub</w:t>
        </w:r>
      </w:hyperlink>
      <w:r w:rsidRPr="00AE7CA8">
        <w:rPr>
          <w:sz w:val="20"/>
          <w:szCs w:val="20"/>
        </w:rPr>
        <w:t xml:space="preserve"> </w:t>
      </w:r>
      <w:hyperlink r:id="rId9" w:tgtFrame="_blank" w:tooltip="Persistent link using digital object identifier" w:history="1">
        <w:r w:rsidRPr="00AE7CA8">
          <w:rPr>
            <w:rStyle w:val="Hyperlink"/>
            <w:sz w:val="20"/>
            <w:szCs w:val="20"/>
          </w:rPr>
          <w:t>https://doi.org/10.1016/j.healthpol.2012.12.013</w:t>
        </w:r>
      </w:hyperlink>
    </w:p>
    <w:p w:rsidR="00FF710D" w:rsidRPr="00AE7CA8" w:rsidRDefault="00FF710D" w:rsidP="00FF710D">
      <w:pPr>
        <w:spacing w:before="100" w:beforeAutospacing="1" w:after="100" w:afterAutospacing="1" w:line="240" w:lineRule="auto"/>
        <w:outlineLvl w:val="0"/>
        <w:rPr>
          <w:sz w:val="20"/>
          <w:szCs w:val="20"/>
        </w:rPr>
      </w:pPr>
      <w:proofErr w:type="spellStart"/>
      <w:r w:rsidRPr="00AE7CA8">
        <w:rPr>
          <w:sz w:val="20"/>
          <w:szCs w:val="20"/>
        </w:rPr>
        <w:t>Toth</w:t>
      </w:r>
      <w:proofErr w:type="spellEnd"/>
      <w:r w:rsidRPr="00AE7CA8">
        <w:rPr>
          <w:sz w:val="20"/>
          <w:szCs w:val="20"/>
        </w:rPr>
        <w:t xml:space="preserve"> F. </w:t>
      </w:r>
      <w:proofErr w:type="spellStart"/>
      <w:r w:rsidRPr="00AE7CA8">
        <w:rPr>
          <w:sz w:val="20"/>
          <w:szCs w:val="20"/>
        </w:rPr>
        <w:t>Classification</w:t>
      </w:r>
      <w:proofErr w:type="spellEnd"/>
      <w:r w:rsidRPr="00AE7CA8">
        <w:rPr>
          <w:sz w:val="20"/>
          <w:szCs w:val="20"/>
        </w:rPr>
        <w:t xml:space="preserve"> </w:t>
      </w:r>
      <w:proofErr w:type="spellStart"/>
      <w:r w:rsidRPr="00AE7CA8">
        <w:rPr>
          <w:sz w:val="20"/>
          <w:szCs w:val="20"/>
        </w:rPr>
        <w:t>of</w:t>
      </w:r>
      <w:proofErr w:type="spellEnd"/>
      <w:r w:rsidRPr="00AE7CA8">
        <w:rPr>
          <w:sz w:val="20"/>
          <w:szCs w:val="20"/>
        </w:rPr>
        <w:t xml:space="preserve"> </w:t>
      </w:r>
      <w:proofErr w:type="spellStart"/>
      <w:r w:rsidRPr="00AE7CA8">
        <w:rPr>
          <w:sz w:val="20"/>
          <w:szCs w:val="20"/>
        </w:rPr>
        <w:t>healthcare</w:t>
      </w:r>
      <w:proofErr w:type="spellEnd"/>
      <w:r w:rsidRPr="00AE7CA8">
        <w:rPr>
          <w:sz w:val="20"/>
          <w:szCs w:val="20"/>
        </w:rPr>
        <w:t xml:space="preserve"> systems: </w:t>
      </w:r>
      <w:proofErr w:type="spellStart"/>
      <w:r w:rsidRPr="00AE7CA8">
        <w:rPr>
          <w:sz w:val="20"/>
          <w:szCs w:val="20"/>
        </w:rPr>
        <w:t>can</w:t>
      </w:r>
      <w:proofErr w:type="spellEnd"/>
      <w:r w:rsidRPr="00AE7CA8">
        <w:rPr>
          <w:sz w:val="20"/>
          <w:szCs w:val="20"/>
        </w:rPr>
        <w:t xml:space="preserve"> </w:t>
      </w:r>
      <w:proofErr w:type="spellStart"/>
      <w:r w:rsidRPr="00AE7CA8">
        <w:rPr>
          <w:sz w:val="20"/>
          <w:szCs w:val="20"/>
        </w:rPr>
        <w:t>we</w:t>
      </w:r>
      <w:proofErr w:type="spellEnd"/>
      <w:r w:rsidRPr="00AE7CA8">
        <w:rPr>
          <w:sz w:val="20"/>
          <w:szCs w:val="20"/>
        </w:rPr>
        <w:t xml:space="preserve"> go </w:t>
      </w:r>
      <w:proofErr w:type="spellStart"/>
      <w:r w:rsidRPr="00AE7CA8">
        <w:rPr>
          <w:sz w:val="20"/>
          <w:szCs w:val="20"/>
        </w:rPr>
        <w:t>further</w:t>
      </w:r>
      <w:proofErr w:type="spellEnd"/>
      <w:r w:rsidRPr="00AE7CA8">
        <w:rPr>
          <w:sz w:val="20"/>
          <w:szCs w:val="20"/>
        </w:rPr>
        <w:t xml:space="preserve">? Health Policy [Internet]. 2016 maio [acesso em 25 maio 2018]; 120(5): 535-43. Disponível em: </w:t>
      </w:r>
      <w:hyperlink r:id="rId10" w:history="1">
        <w:r w:rsidRPr="00AE7CA8">
          <w:rPr>
            <w:rStyle w:val="Hyperlink"/>
            <w:sz w:val="20"/>
            <w:szCs w:val="20"/>
          </w:rPr>
          <w:t>https://www.sciencedirect.com/science/article/pii/S0168851016300562?via%3Dihub</w:t>
        </w:r>
      </w:hyperlink>
      <w:r w:rsidRPr="00AE7CA8">
        <w:rPr>
          <w:sz w:val="20"/>
          <w:szCs w:val="20"/>
        </w:rPr>
        <w:t xml:space="preserve"> </w:t>
      </w:r>
      <w:hyperlink r:id="rId11" w:history="1">
        <w:r w:rsidRPr="00AE7CA8">
          <w:rPr>
            <w:rStyle w:val="Hyperlink"/>
            <w:sz w:val="20"/>
            <w:szCs w:val="20"/>
          </w:rPr>
          <w:t>https://ac.els-cdn.com/S0168851016300562/dx.doi.org/10.1016/j.healthpol.2016.03.011</w:t>
        </w:r>
      </w:hyperlink>
      <w:r w:rsidRPr="00AE7CA8">
        <w:rPr>
          <w:sz w:val="20"/>
          <w:szCs w:val="20"/>
        </w:rPr>
        <w:t xml:space="preserve"> </w:t>
      </w:r>
    </w:p>
    <w:p w:rsidR="00FF710D" w:rsidRPr="00AE7CA8" w:rsidRDefault="00FF710D" w:rsidP="00FF710D">
      <w:pPr>
        <w:spacing w:after="0" w:line="240" w:lineRule="auto"/>
        <w:rPr>
          <w:sz w:val="20"/>
          <w:szCs w:val="20"/>
        </w:rPr>
      </w:pPr>
      <w:proofErr w:type="spellStart"/>
      <w:r w:rsidRPr="00AE7CA8">
        <w:rPr>
          <w:sz w:val="20"/>
          <w:szCs w:val="20"/>
        </w:rPr>
        <w:t>Rothgang</w:t>
      </w:r>
      <w:proofErr w:type="spellEnd"/>
      <w:r w:rsidRPr="00AE7CA8">
        <w:rPr>
          <w:sz w:val="20"/>
          <w:szCs w:val="20"/>
        </w:rPr>
        <w:t xml:space="preserve"> H, </w:t>
      </w:r>
      <w:proofErr w:type="spellStart"/>
      <w:r w:rsidRPr="00AE7CA8">
        <w:rPr>
          <w:sz w:val="20"/>
          <w:szCs w:val="20"/>
        </w:rPr>
        <w:t>Cacace</w:t>
      </w:r>
      <w:proofErr w:type="spellEnd"/>
      <w:r w:rsidRPr="00AE7CA8">
        <w:rPr>
          <w:sz w:val="20"/>
          <w:szCs w:val="20"/>
        </w:rPr>
        <w:t xml:space="preserve"> M, </w:t>
      </w:r>
      <w:proofErr w:type="spellStart"/>
      <w:r w:rsidRPr="00AE7CA8">
        <w:rPr>
          <w:sz w:val="20"/>
          <w:szCs w:val="20"/>
        </w:rPr>
        <w:t>Grimmeisen</w:t>
      </w:r>
      <w:proofErr w:type="spellEnd"/>
      <w:r w:rsidRPr="00AE7CA8">
        <w:rPr>
          <w:sz w:val="20"/>
          <w:szCs w:val="20"/>
        </w:rPr>
        <w:t xml:space="preserve"> S, </w:t>
      </w:r>
      <w:proofErr w:type="spellStart"/>
      <w:r w:rsidRPr="00AE7CA8">
        <w:rPr>
          <w:sz w:val="20"/>
          <w:szCs w:val="20"/>
        </w:rPr>
        <w:t>Wendt</w:t>
      </w:r>
      <w:proofErr w:type="spellEnd"/>
      <w:r w:rsidRPr="00AE7CA8">
        <w:rPr>
          <w:sz w:val="20"/>
          <w:szCs w:val="20"/>
        </w:rPr>
        <w:t xml:space="preserve"> C.  The </w:t>
      </w:r>
      <w:proofErr w:type="spellStart"/>
      <w:r w:rsidRPr="00AE7CA8">
        <w:rPr>
          <w:sz w:val="20"/>
          <w:szCs w:val="20"/>
        </w:rPr>
        <w:t>changing</w:t>
      </w:r>
      <w:proofErr w:type="spellEnd"/>
      <w:r w:rsidRPr="00AE7CA8">
        <w:rPr>
          <w:sz w:val="20"/>
          <w:szCs w:val="20"/>
        </w:rPr>
        <w:t xml:space="preserve"> role </w:t>
      </w:r>
      <w:proofErr w:type="spellStart"/>
      <w:r w:rsidRPr="00AE7CA8">
        <w:rPr>
          <w:sz w:val="20"/>
          <w:szCs w:val="20"/>
        </w:rPr>
        <w:t>of</w:t>
      </w:r>
      <w:proofErr w:type="spellEnd"/>
      <w:r w:rsidRPr="00AE7CA8">
        <w:rPr>
          <w:sz w:val="20"/>
          <w:szCs w:val="20"/>
        </w:rPr>
        <w:t xml:space="preserve"> </w:t>
      </w:r>
      <w:proofErr w:type="spellStart"/>
      <w:r w:rsidRPr="00AE7CA8">
        <w:rPr>
          <w:sz w:val="20"/>
          <w:szCs w:val="20"/>
        </w:rPr>
        <w:t>the</w:t>
      </w:r>
      <w:proofErr w:type="spellEnd"/>
      <w:r w:rsidRPr="00AE7CA8">
        <w:rPr>
          <w:sz w:val="20"/>
          <w:szCs w:val="20"/>
        </w:rPr>
        <w:t xml:space="preserve"> </w:t>
      </w:r>
      <w:proofErr w:type="spellStart"/>
      <w:r w:rsidRPr="00AE7CA8">
        <w:rPr>
          <w:sz w:val="20"/>
          <w:szCs w:val="20"/>
        </w:rPr>
        <w:t>State</w:t>
      </w:r>
      <w:proofErr w:type="spellEnd"/>
      <w:r w:rsidRPr="00AE7CA8">
        <w:rPr>
          <w:sz w:val="20"/>
          <w:szCs w:val="20"/>
        </w:rPr>
        <w:t xml:space="preserve"> in </w:t>
      </w:r>
      <w:proofErr w:type="spellStart"/>
      <w:r w:rsidRPr="00AE7CA8">
        <w:rPr>
          <w:sz w:val="20"/>
          <w:szCs w:val="20"/>
        </w:rPr>
        <w:t>Healthcare</w:t>
      </w:r>
      <w:proofErr w:type="spellEnd"/>
      <w:r w:rsidRPr="00AE7CA8">
        <w:rPr>
          <w:sz w:val="20"/>
          <w:szCs w:val="20"/>
        </w:rPr>
        <w:t xml:space="preserve"> systems. </w:t>
      </w:r>
      <w:proofErr w:type="spellStart"/>
      <w:r w:rsidRPr="00AE7CA8">
        <w:rPr>
          <w:sz w:val="20"/>
          <w:szCs w:val="20"/>
        </w:rPr>
        <w:t>European</w:t>
      </w:r>
      <w:proofErr w:type="spellEnd"/>
      <w:r w:rsidRPr="00AE7CA8">
        <w:rPr>
          <w:sz w:val="20"/>
          <w:szCs w:val="20"/>
        </w:rPr>
        <w:t xml:space="preserve"> </w:t>
      </w:r>
      <w:proofErr w:type="spellStart"/>
      <w:r w:rsidRPr="00AE7CA8">
        <w:rPr>
          <w:sz w:val="20"/>
          <w:szCs w:val="20"/>
        </w:rPr>
        <w:t>Review</w:t>
      </w:r>
      <w:proofErr w:type="spellEnd"/>
      <w:r w:rsidRPr="00AE7CA8">
        <w:rPr>
          <w:sz w:val="20"/>
          <w:szCs w:val="20"/>
        </w:rPr>
        <w:t>, 2005; 13(S1): 187-212</w:t>
      </w:r>
    </w:p>
    <w:p w:rsidR="009373D9" w:rsidRDefault="009373D9" w:rsidP="00477123">
      <w:pPr>
        <w:spacing w:line="360" w:lineRule="auto"/>
        <w:jc w:val="both"/>
        <w:sectPr w:rsidR="009373D9">
          <w:pgSz w:w="11906" w:h="16838"/>
          <w:pgMar w:top="1417" w:right="1701" w:bottom="1417" w:left="1701" w:header="708" w:footer="708" w:gutter="0"/>
          <w:cols w:space="708"/>
          <w:docGrid w:linePitch="360"/>
        </w:sectPr>
      </w:pPr>
    </w:p>
    <w:p w:rsidR="009373D9" w:rsidRDefault="00C35254" w:rsidP="00477123">
      <w:pPr>
        <w:spacing w:line="360" w:lineRule="auto"/>
        <w:jc w:val="both"/>
      </w:pPr>
      <w:r w:rsidRPr="006D2218">
        <w:rPr>
          <w:b/>
        </w:rPr>
        <w:lastRenderedPageBreak/>
        <w:t>Tabela 1</w:t>
      </w:r>
      <w:r>
        <w:t xml:space="preserve"> - </w:t>
      </w:r>
      <w:r w:rsidR="003630D8">
        <w:t xml:space="preserve">Tipologia dos Sistemas de Saúde, </w:t>
      </w:r>
      <w:r w:rsidR="00C018B0">
        <w:t xml:space="preserve">segundo os países, </w:t>
      </w:r>
      <w:r w:rsidR="003630D8">
        <w:t>características</w:t>
      </w:r>
      <w:r w:rsidR="00C018B0">
        <w:t xml:space="preserve"> e atores responsáveis pela regulação, financiamento e provisão de serviços.</w:t>
      </w:r>
    </w:p>
    <w:tbl>
      <w:tblPr>
        <w:tblW w:w="0" w:type="auto"/>
        <w:tblCellMar>
          <w:left w:w="0" w:type="dxa"/>
          <w:right w:w="0" w:type="dxa"/>
        </w:tblCellMar>
        <w:tblLook w:val="0420" w:firstRow="1" w:lastRow="0" w:firstColumn="0" w:lastColumn="0" w:noHBand="0" w:noVBand="1"/>
      </w:tblPr>
      <w:tblGrid>
        <w:gridCol w:w="2400"/>
        <w:gridCol w:w="2552"/>
        <w:gridCol w:w="5083"/>
        <w:gridCol w:w="1142"/>
        <w:gridCol w:w="1522"/>
        <w:gridCol w:w="1003"/>
      </w:tblGrid>
      <w:tr w:rsidR="009373D9" w:rsidRPr="004464DD" w:rsidTr="00335AB0">
        <w:trPr>
          <w:trHeight w:val="636"/>
        </w:trPr>
        <w:tc>
          <w:tcPr>
            <w:tcW w:w="2400" w:type="dxa"/>
            <w:tcBorders>
              <w:top w:val="single" w:sz="8" w:space="0" w:color="FFFFFF"/>
              <w:left w:val="single" w:sz="8" w:space="0" w:color="FFFFFF"/>
              <w:bottom w:val="single" w:sz="4" w:space="0" w:color="auto"/>
              <w:right w:val="single" w:sz="8" w:space="0" w:color="FFFFFF"/>
            </w:tcBorders>
            <w:shd w:val="clear" w:color="auto" w:fill="BF8F00" w:themeFill="accent4" w:themeFillShade="BF"/>
            <w:tcMar>
              <w:top w:w="72" w:type="dxa"/>
              <w:left w:w="144" w:type="dxa"/>
              <w:bottom w:w="72" w:type="dxa"/>
              <w:right w:w="144" w:type="dxa"/>
            </w:tcMar>
            <w:hideMark/>
          </w:tcPr>
          <w:p w:rsidR="009373D9" w:rsidRPr="004464DD" w:rsidRDefault="009373D9" w:rsidP="009373D9">
            <w:pPr>
              <w:spacing w:line="360" w:lineRule="auto"/>
              <w:rPr>
                <w:sz w:val="20"/>
                <w:szCs w:val="20"/>
              </w:rPr>
            </w:pPr>
            <w:r w:rsidRPr="004464DD">
              <w:rPr>
                <w:b/>
                <w:bCs/>
                <w:sz w:val="20"/>
                <w:szCs w:val="20"/>
              </w:rPr>
              <w:t>Tipo</w:t>
            </w:r>
          </w:p>
        </w:tc>
        <w:tc>
          <w:tcPr>
            <w:tcW w:w="2552" w:type="dxa"/>
            <w:tcBorders>
              <w:top w:val="single" w:sz="8" w:space="0" w:color="FFFFFF"/>
              <w:left w:val="single" w:sz="8" w:space="0" w:color="FFFFFF"/>
              <w:bottom w:val="single" w:sz="4" w:space="0" w:color="auto"/>
              <w:right w:val="single" w:sz="8" w:space="0" w:color="FFFFFF"/>
            </w:tcBorders>
            <w:shd w:val="clear" w:color="auto" w:fill="BF8F00" w:themeFill="accent4" w:themeFillShade="BF"/>
          </w:tcPr>
          <w:p w:rsidR="009373D9" w:rsidRPr="004464DD" w:rsidRDefault="009373D9" w:rsidP="00B32088">
            <w:pPr>
              <w:spacing w:line="360" w:lineRule="auto"/>
              <w:rPr>
                <w:b/>
                <w:bCs/>
                <w:sz w:val="20"/>
                <w:szCs w:val="20"/>
              </w:rPr>
            </w:pPr>
            <w:r w:rsidRPr="004464DD">
              <w:rPr>
                <w:b/>
                <w:bCs/>
                <w:sz w:val="20"/>
                <w:szCs w:val="20"/>
              </w:rPr>
              <w:t>Países</w:t>
            </w:r>
          </w:p>
        </w:tc>
        <w:tc>
          <w:tcPr>
            <w:tcW w:w="5083" w:type="dxa"/>
            <w:tcBorders>
              <w:top w:val="single" w:sz="8" w:space="0" w:color="FFFFFF"/>
              <w:left w:val="single" w:sz="8" w:space="0" w:color="FFFFFF"/>
              <w:bottom w:val="single" w:sz="4" w:space="0" w:color="auto"/>
              <w:right w:val="single" w:sz="8" w:space="0" w:color="FFFFFF"/>
            </w:tcBorders>
            <w:shd w:val="clear" w:color="auto" w:fill="BF8F00" w:themeFill="accent4" w:themeFillShade="BF"/>
            <w:tcMar>
              <w:top w:w="72" w:type="dxa"/>
              <w:left w:w="144" w:type="dxa"/>
              <w:bottom w:w="72" w:type="dxa"/>
              <w:right w:w="144" w:type="dxa"/>
            </w:tcMar>
            <w:hideMark/>
          </w:tcPr>
          <w:p w:rsidR="009373D9" w:rsidRPr="004464DD" w:rsidRDefault="009373D9" w:rsidP="009373D9">
            <w:pPr>
              <w:spacing w:line="360" w:lineRule="auto"/>
              <w:rPr>
                <w:sz w:val="20"/>
                <w:szCs w:val="20"/>
              </w:rPr>
            </w:pPr>
            <w:r w:rsidRPr="004464DD">
              <w:rPr>
                <w:b/>
                <w:bCs/>
                <w:sz w:val="20"/>
                <w:szCs w:val="20"/>
              </w:rPr>
              <w:t>Características</w:t>
            </w:r>
          </w:p>
        </w:tc>
        <w:tc>
          <w:tcPr>
            <w:tcW w:w="0" w:type="auto"/>
            <w:tcBorders>
              <w:top w:val="single" w:sz="8" w:space="0" w:color="FFFFFF"/>
              <w:left w:val="single" w:sz="8" w:space="0" w:color="FFFFFF"/>
              <w:bottom w:val="single" w:sz="4" w:space="0" w:color="auto"/>
              <w:right w:val="single" w:sz="8" w:space="0" w:color="FFFFFF"/>
            </w:tcBorders>
            <w:shd w:val="clear" w:color="auto" w:fill="BF8F00" w:themeFill="accent4" w:themeFillShade="BF"/>
            <w:tcMar>
              <w:top w:w="72" w:type="dxa"/>
              <w:left w:w="144" w:type="dxa"/>
              <w:bottom w:w="72" w:type="dxa"/>
              <w:right w:w="144" w:type="dxa"/>
            </w:tcMar>
            <w:hideMark/>
          </w:tcPr>
          <w:p w:rsidR="009373D9" w:rsidRPr="004464DD" w:rsidRDefault="009373D9" w:rsidP="009373D9">
            <w:pPr>
              <w:spacing w:line="360" w:lineRule="auto"/>
              <w:jc w:val="center"/>
              <w:rPr>
                <w:sz w:val="20"/>
                <w:szCs w:val="20"/>
              </w:rPr>
            </w:pPr>
            <w:r w:rsidRPr="004464DD">
              <w:rPr>
                <w:b/>
                <w:bCs/>
                <w:sz w:val="20"/>
                <w:szCs w:val="20"/>
              </w:rPr>
              <w:t>Regulação</w:t>
            </w:r>
          </w:p>
        </w:tc>
        <w:tc>
          <w:tcPr>
            <w:tcW w:w="0" w:type="auto"/>
            <w:tcBorders>
              <w:top w:val="single" w:sz="8" w:space="0" w:color="FFFFFF"/>
              <w:left w:val="single" w:sz="8" w:space="0" w:color="FFFFFF"/>
              <w:bottom w:val="single" w:sz="4" w:space="0" w:color="auto"/>
              <w:right w:val="single" w:sz="8" w:space="0" w:color="FFFFFF"/>
            </w:tcBorders>
            <w:shd w:val="clear" w:color="auto" w:fill="BF8F00" w:themeFill="accent4" w:themeFillShade="BF"/>
            <w:tcMar>
              <w:top w:w="72" w:type="dxa"/>
              <w:left w:w="144" w:type="dxa"/>
              <w:bottom w:w="72" w:type="dxa"/>
              <w:right w:w="144" w:type="dxa"/>
            </w:tcMar>
            <w:hideMark/>
          </w:tcPr>
          <w:p w:rsidR="009373D9" w:rsidRPr="004464DD" w:rsidRDefault="009373D9" w:rsidP="009373D9">
            <w:pPr>
              <w:spacing w:line="360" w:lineRule="auto"/>
              <w:jc w:val="center"/>
              <w:rPr>
                <w:sz w:val="20"/>
                <w:szCs w:val="20"/>
              </w:rPr>
            </w:pPr>
            <w:r w:rsidRPr="004464DD">
              <w:rPr>
                <w:b/>
                <w:bCs/>
                <w:sz w:val="20"/>
                <w:szCs w:val="20"/>
              </w:rPr>
              <w:t>Financiamento</w:t>
            </w:r>
          </w:p>
        </w:tc>
        <w:tc>
          <w:tcPr>
            <w:tcW w:w="0" w:type="auto"/>
            <w:tcBorders>
              <w:top w:val="single" w:sz="8" w:space="0" w:color="FFFFFF"/>
              <w:left w:val="single" w:sz="8" w:space="0" w:color="FFFFFF"/>
              <w:bottom w:val="single" w:sz="4" w:space="0" w:color="auto"/>
              <w:right w:val="single" w:sz="8" w:space="0" w:color="FFFFFF"/>
            </w:tcBorders>
            <w:shd w:val="clear" w:color="auto" w:fill="BF8F00" w:themeFill="accent4" w:themeFillShade="BF"/>
            <w:tcMar>
              <w:top w:w="72" w:type="dxa"/>
              <w:left w:w="144" w:type="dxa"/>
              <w:bottom w:w="72" w:type="dxa"/>
              <w:right w:w="144" w:type="dxa"/>
            </w:tcMar>
            <w:hideMark/>
          </w:tcPr>
          <w:p w:rsidR="009373D9" w:rsidRPr="004464DD" w:rsidRDefault="009373D9" w:rsidP="009373D9">
            <w:pPr>
              <w:spacing w:line="360" w:lineRule="auto"/>
              <w:jc w:val="center"/>
              <w:rPr>
                <w:sz w:val="20"/>
                <w:szCs w:val="20"/>
              </w:rPr>
            </w:pPr>
            <w:r w:rsidRPr="004464DD">
              <w:rPr>
                <w:b/>
                <w:bCs/>
                <w:sz w:val="20"/>
                <w:szCs w:val="20"/>
              </w:rPr>
              <w:t>Provisão</w:t>
            </w:r>
          </w:p>
        </w:tc>
      </w:tr>
      <w:tr w:rsidR="009373D9" w:rsidRPr="004464DD" w:rsidTr="00335AB0">
        <w:trPr>
          <w:trHeight w:val="584"/>
        </w:trPr>
        <w:tc>
          <w:tcPr>
            <w:tcW w:w="24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Serviço Nacional de Saúde</w:t>
            </w:r>
          </w:p>
        </w:tc>
        <w:tc>
          <w:tcPr>
            <w:tcW w:w="2552" w:type="dxa"/>
            <w:tcBorders>
              <w:top w:val="single" w:sz="4" w:space="0" w:color="auto"/>
              <w:left w:val="single" w:sz="4" w:space="0" w:color="auto"/>
              <w:bottom w:val="single" w:sz="4" w:space="0" w:color="auto"/>
              <w:right w:val="single" w:sz="4" w:space="0" w:color="auto"/>
            </w:tcBorders>
          </w:tcPr>
          <w:p w:rsidR="009373D9" w:rsidRPr="004464DD" w:rsidRDefault="007017D7" w:rsidP="00B32088">
            <w:pPr>
              <w:spacing w:line="360" w:lineRule="auto"/>
              <w:rPr>
                <w:sz w:val="20"/>
                <w:szCs w:val="20"/>
              </w:rPr>
            </w:pPr>
            <w:r w:rsidRPr="004464DD">
              <w:rPr>
                <w:sz w:val="20"/>
                <w:szCs w:val="20"/>
              </w:rPr>
              <w:t>Reino Unido, Países Nórdicos. Península Ibérica</w:t>
            </w:r>
          </w:p>
        </w:tc>
        <w:tc>
          <w:tcPr>
            <w:tcW w:w="5083"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C018B0" w:rsidP="009373D9">
            <w:pPr>
              <w:spacing w:line="360" w:lineRule="auto"/>
              <w:jc w:val="both"/>
              <w:rPr>
                <w:sz w:val="20"/>
                <w:szCs w:val="20"/>
              </w:rPr>
            </w:pPr>
            <w:r w:rsidRPr="004464DD">
              <w:rPr>
                <w:sz w:val="20"/>
                <w:szCs w:val="20"/>
              </w:rPr>
              <w:t>Sistema universal</w:t>
            </w:r>
          </w:p>
          <w:p w:rsidR="009373D9" w:rsidRPr="004464DD" w:rsidRDefault="00C018B0" w:rsidP="009373D9">
            <w:pPr>
              <w:spacing w:line="360" w:lineRule="auto"/>
              <w:jc w:val="both"/>
              <w:rPr>
                <w:sz w:val="20"/>
                <w:szCs w:val="20"/>
              </w:rPr>
            </w:pPr>
            <w:r w:rsidRPr="004464DD">
              <w:rPr>
                <w:sz w:val="20"/>
                <w:szCs w:val="20"/>
              </w:rPr>
              <w:t>Financiamento por impostos</w:t>
            </w:r>
          </w:p>
          <w:p w:rsidR="009373D9" w:rsidRPr="004464DD" w:rsidRDefault="009373D9" w:rsidP="009373D9">
            <w:pPr>
              <w:spacing w:line="360" w:lineRule="auto"/>
              <w:jc w:val="both"/>
              <w:rPr>
                <w:sz w:val="20"/>
                <w:szCs w:val="20"/>
              </w:rPr>
            </w:pPr>
            <w:r w:rsidRPr="004464DD">
              <w:rPr>
                <w:sz w:val="20"/>
                <w:szCs w:val="20"/>
              </w:rPr>
              <w:t>Serviços podem ser públicos (sistema inte</w:t>
            </w:r>
            <w:r w:rsidR="00C018B0" w:rsidRPr="004464DD">
              <w:rPr>
                <w:sz w:val="20"/>
                <w:szCs w:val="20"/>
              </w:rPr>
              <w:t>grado) ou privados (segmentado)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Estado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Estado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Estado</w:t>
            </w:r>
          </w:p>
        </w:tc>
      </w:tr>
      <w:tr w:rsidR="009373D9" w:rsidRPr="004464DD" w:rsidTr="00335AB0">
        <w:trPr>
          <w:trHeight w:val="584"/>
        </w:trPr>
        <w:tc>
          <w:tcPr>
            <w:tcW w:w="24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Seguro Saúde Nacional</w:t>
            </w:r>
          </w:p>
        </w:tc>
        <w:tc>
          <w:tcPr>
            <w:tcW w:w="2552" w:type="dxa"/>
            <w:tcBorders>
              <w:top w:val="single" w:sz="4" w:space="0" w:color="auto"/>
              <w:left w:val="single" w:sz="4" w:space="0" w:color="auto"/>
              <w:bottom w:val="single" w:sz="4" w:space="0" w:color="auto"/>
              <w:right w:val="single" w:sz="4" w:space="0" w:color="auto"/>
            </w:tcBorders>
          </w:tcPr>
          <w:p w:rsidR="009373D9" w:rsidRPr="004464DD" w:rsidRDefault="007017D7" w:rsidP="00B32088">
            <w:pPr>
              <w:spacing w:line="360" w:lineRule="auto"/>
              <w:rPr>
                <w:sz w:val="20"/>
                <w:szCs w:val="20"/>
              </w:rPr>
            </w:pPr>
            <w:r w:rsidRPr="004464DD">
              <w:rPr>
                <w:sz w:val="20"/>
                <w:szCs w:val="20"/>
              </w:rPr>
              <w:t>Austrália, Nova Zelândia, Canadá, Irlanda e Itália</w:t>
            </w:r>
          </w:p>
        </w:tc>
        <w:tc>
          <w:tcPr>
            <w:tcW w:w="50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73D9" w:rsidRPr="004464DD" w:rsidRDefault="009373D9" w:rsidP="009373D9">
            <w:pPr>
              <w:spacing w:line="360" w:lineRule="auto"/>
              <w:jc w:val="both"/>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Estado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Estado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Privado</w:t>
            </w:r>
          </w:p>
        </w:tc>
      </w:tr>
      <w:tr w:rsidR="009373D9" w:rsidRPr="004464DD" w:rsidTr="00335AB0">
        <w:trPr>
          <w:trHeight w:val="584"/>
        </w:trPr>
        <w:tc>
          <w:tcPr>
            <w:tcW w:w="24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Seguro Saúde Social Estatal</w:t>
            </w:r>
          </w:p>
        </w:tc>
        <w:tc>
          <w:tcPr>
            <w:tcW w:w="2552" w:type="dxa"/>
            <w:tcBorders>
              <w:top w:val="single" w:sz="4" w:space="0" w:color="auto"/>
              <w:left w:val="single" w:sz="4" w:space="0" w:color="auto"/>
              <w:bottom w:val="single" w:sz="4" w:space="0" w:color="auto"/>
              <w:right w:val="single" w:sz="4" w:space="0" w:color="auto"/>
            </w:tcBorders>
          </w:tcPr>
          <w:p w:rsidR="009373D9" w:rsidRPr="004464DD" w:rsidRDefault="00896E7E" w:rsidP="00B32088">
            <w:pPr>
              <w:spacing w:line="360" w:lineRule="auto"/>
              <w:rPr>
                <w:sz w:val="20"/>
                <w:szCs w:val="20"/>
              </w:rPr>
            </w:pPr>
            <w:r w:rsidRPr="004464DD">
              <w:rPr>
                <w:sz w:val="20"/>
                <w:szCs w:val="20"/>
              </w:rPr>
              <w:t>Bélgica, França, Países do Leste Europeu, Holanda, Israel, Coréia do Sul e Japão</w:t>
            </w:r>
          </w:p>
        </w:tc>
        <w:tc>
          <w:tcPr>
            <w:tcW w:w="5083"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Obrigatório para determ</w:t>
            </w:r>
            <w:r w:rsidR="00C018B0" w:rsidRPr="004464DD">
              <w:rPr>
                <w:sz w:val="20"/>
                <w:szCs w:val="20"/>
              </w:rPr>
              <w:t>inadas categorias profissionais</w:t>
            </w:r>
          </w:p>
          <w:p w:rsidR="009373D9" w:rsidRPr="004464DD" w:rsidRDefault="009373D9" w:rsidP="009373D9">
            <w:pPr>
              <w:spacing w:line="360" w:lineRule="auto"/>
              <w:jc w:val="both"/>
              <w:rPr>
                <w:sz w:val="20"/>
                <w:szCs w:val="20"/>
              </w:rPr>
            </w:pPr>
            <w:r w:rsidRPr="004464DD">
              <w:rPr>
                <w:sz w:val="20"/>
                <w:szCs w:val="20"/>
              </w:rPr>
              <w:t>Compart</w:t>
            </w:r>
            <w:r w:rsidR="00C018B0" w:rsidRPr="004464DD">
              <w:rPr>
                <w:sz w:val="20"/>
                <w:szCs w:val="20"/>
              </w:rPr>
              <w:t>ilhado entre patrão e empregado</w:t>
            </w:r>
          </w:p>
          <w:p w:rsidR="009373D9" w:rsidRPr="004464DD" w:rsidRDefault="009373D9" w:rsidP="009373D9">
            <w:pPr>
              <w:spacing w:line="360" w:lineRule="auto"/>
              <w:jc w:val="both"/>
              <w:rPr>
                <w:sz w:val="20"/>
                <w:szCs w:val="20"/>
              </w:rPr>
            </w:pPr>
            <w:r w:rsidRPr="004464DD">
              <w:rPr>
                <w:sz w:val="20"/>
                <w:szCs w:val="20"/>
              </w:rPr>
              <w:t>Contribuição a fundos, geridos pelo Estado ou por o</w:t>
            </w:r>
            <w:r w:rsidR="00C018B0" w:rsidRPr="004464DD">
              <w:rPr>
                <w:sz w:val="20"/>
                <w:szCs w:val="20"/>
              </w:rPr>
              <w:t>rganizações sem fins lucrativos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Estado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Sociedade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Privado</w:t>
            </w:r>
          </w:p>
        </w:tc>
      </w:tr>
      <w:tr w:rsidR="009373D9" w:rsidRPr="004464DD" w:rsidTr="00335AB0">
        <w:trPr>
          <w:trHeight w:val="584"/>
        </w:trPr>
        <w:tc>
          <w:tcPr>
            <w:tcW w:w="24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Seguro Saúde Social</w:t>
            </w:r>
          </w:p>
        </w:tc>
        <w:tc>
          <w:tcPr>
            <w:tcW w:w="2552" w:type="dxa"/>
            <w:tcBorders>
              <w:top w:val="single" w:sz="4" w:space="0" w:color="auto"/>
              <w:left w:val="single" w:sz="4" w:space="0" w:color="auto"/>
              <w:bottom w:val="single" w:sz="4" w:space="0" w:color="auto"/>
              <w:right w:val="single" w:sz="4" w:space="0" w:color="auto"/>
            </w:tcBorders>
          </w:tcPr>
          <w:p w:rsidR="009373D9" w:rsidRPr="004464DD" w:rsidRDefault="00B32088" w:rsidP="00B32088">
            <w:pPr>
              <w:spacing w:line="360" w:lineRule="auto"/>
              <w:rPr>
                <w:sz w:val="20"/>
                <w:szCs w:val="20"/>
              </w:rPr>
            </w:pPr>
            <w:r w:rsidRPr="004464DD">
              <w:rPr>
                <w:sz w:val="20"/>
                <w:szCs w:val="20"/>
              </w:rPr>
              <w:t>Alemanha, Áustria, Luxemburgo e Suíça</w:t>
            </w:r>
          </w:p>
        </w:tc>
        <w:tc>
          <w:tcPr>
            <w:tcW w:w="50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73D9" w:rsidRPr="004464DD" w:rsidRDefault="009373D9" w:rsidP="009373D9">
            <w:pPr>
              <w:spacing w:line="360" w:lineRule="auto"/>
              <w:jc w:val="both"/>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Sociedade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Sociedade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Privado</w:t>
            </w:r>
          </w:p>
        </w:tc>
      </w:tr>
      <w:tr w:rsidR="009373D9" w:rsidRPr="004464DD" w:rsidTr="00335AB0">
        <w:trPr>
          <w:trHeight w:val="584"/>
        </w:trPr>
        <w:tc>
          <w:tcPr>
            <w:tcW w:w="24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Sistema Privado de Saúde</w:t>
            </w:r>
          </w:p>
        </w:tc>
        <w:tc>
          <w:tcPr>
            <w:tcW w:w="2552" w:type="dxa"/>
            <w:tcBorders>
              <w:top w:val="single" w:sz="4" w:space="0" w:color="auto"/>
              <w:left w:val="single" w:sz="4" w:space="0" w:color="auto"/>
              <w:bottom w:val="single" w:sz="4" w:space="0" w:color="auto"/>
              <w:right w:val="single" w:sz="4" w:space="0" w:color="auto"/>
            </w:tcBorders>
          </w:tcPr>
          <w:p w:rsidR="009373D9" w:rsidRPr="004464DD" w:rsidRDefault="00896E7E" w:rsidP="00B32088">
            <w:pPr>
              <w:spacing w:line="360" w:lineRule="auto"/>
              <w:rPr>
                <w:sz w:val="20"/>
                <w:szCs w:val="20"/>
              </w:rPr>
            </w:pPr>
            <w:r>
              <w:rPr>
                <w:sz w:val="20"/>
                <w:szCs w:val="20"/>
              </w:rPr>
              <w:t>Estados Unidos</w:t>
            </w:r>
          </w:p>
        </w:tc>
        <w:tc>
          <w:tcPr>
            <w:tcW w:w="50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C018B0" w:rsidP="009373D9">
            <w:pPr>
              <w:spacing w:line="360" w:lineRule="auto"/>
              <w:jc w:val="both"/>
              <w:rPr>
                <w:sz w:val="20"/>
                <w:szCs w:val="20"/>
              </w:rPr>
            </w:pPr>
            <w:r w:rsidRPr="004464DD">
              <w:rPr>
                <w:sz w:val="20"/>
                <w:szCs w:val="20"/>
              </w:rPr>
              <w:t>Liberdade de escolha</w:t>
            </w:r>
          </w:p>
          <w:p w:rsidR="009373D9" w:rsidRPr="004464DD" w:rsidRDefault="00C018B0" w:rsidP="009373D9">
            <w:pPr>
              <w:spacing w:line="360" w:lineRule="auto"/>
              <w:jc w:val="both"/>
              <w:rPr>
                <w:sz w:val="20"/>
                <w:szCs w:val="20"/>
              </w:rPr>
            </w:pPr>
            <w:r w:rsidRPr="004464DD">
              <w:rPr>
                <w:sz w:val="20"/>
                <w:szCs w:val="20"/>
              </w:rPr>
              <w:t>Natureza privada</w:t>
            </w:r>
          </w:p>
          <w:p w:rsidR="009373D9" w:rsidRPr="004464DD" w:rsidRDefault="00C018B0" w:rsidP="009373D9">
            <w:pPr>
              <w:spacing w:line="360" w:lineRule="auto"/>
              <w:jc w:val="both"/>
              <w:rPr>
                <w:sz w:val="20"/>
                <w:szCs w:val="20"/>
              </w:rPr>
            </w:pPr>
            <w:r w:rsidRPr="004464DD">
              <w:rPr>
                <w:sz w:val="20"/>
                <w:szCs w:val="20"/>
              </w:rPr>
              <w:t>Concorrência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Privado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Privado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73D9" w:rsidRPr="004464DD" w:rsidRDefault="009373D9" w:rsidP="009373D9">
            <w:pPr>
              <w:spacing w:line="360" w:lineRule="auto"/>
              <w:jc w:val="both"/>
              <w:rPr>
                <w:sz w:val="20"/>
                <w:szCs w:val="20"/>
              </w:rPr>
            </w:pPr>
            <w:r w:rsidRPr="004464DD">
              <w:rPr>
                <w:sz w:val="20"/>
                <w:szCs w:val="20"/>
              </w:rPr>
              <w:t>Privado</w:t>
            </w:r>
          </w:p>
        </w:tc>
      </w:tr>
    </w:tbl>
    <w:p w:rsidR="009373D9" w:rsidRDefault="004464DD" w:rsidP="00477123">
      <w:pPr>
        <w:spacing w:line="360" w:lineRule="auto"/>
        <w:jc w:val="both"/>
        <w:rPr>
          <w:sz w:val="20"/>
          <w:szCs w:val="20"/>
        </w:rPr>
      </w:pPr>
      <w:r w:rsidRPr="004464DD">
        <w:rPr>
          <w:b/>
          <w:sz w:val="20"/>
          <w:szCs w:val="20"/>
        </w:rPr>
        <w:t>Fonte:</w:t>
      </w:r>
      <w:r w:rsidR="00D23297">
        <w:rPr>
          <w:sz w:val="20"/>
          <w:szCs w:val="20"/>
        </w:rPr>
        <w:t xml:space="preserve"> BOHM</w:t>
      </w:r>
      <w:r>
        <w:rPr>
          <w:sz w:val="20"/>
          <w:szCs w:val="20"/>
        </w:rPr>
        <w:t xml:space="preserve"> </w:t>
      </w:r>
      <w:proofErr w:type="spellStart"/>
      <w:r>
        <w:rPr>
          <w:sz w:val="20"/>
          <w:szCs w:val="20"/>
        </w:rPr>
        <w:t>at</w:t>
      </w:r>
      <w:proofErr w:type="spellEnd"/>
      <w:r>
        <w:rPr>
          <w:sz w:val="20"/>
          <w:szCs w:val="20"/>
        </w:rPr>
        <w:t xml:space="preserve"> al., 2013.</w:t>
      </w:r>
    </w:p>
    <w:p w:rsidR="00335AB0" w:rsidRDefault="00335AB0" w:rsidP="00477123">
      <w:pPr>
        <w:spacing w:line="360" w:lineRule="auto"/>
        <w:jc w:val="both"/>
        <w:rPr>
          <w:sz w:val="20"/>
          <w:szCs w:val="20"/>
        </w:rPr>
      </w:pPr>
    </w:p>
    <w:p w:rsidR="00335AB0" w:rsidRDefault="00335AB0" w:rsidP="00477123">
      <w:pPr>
        <w:spacing w:line="360" w:lineRule="auto"/>
        <w:jc w:val="both"/>
        <w:sectPr w:rsidR="00335AB0" w:rsidSect="009373D9">
          <w:pgSz w:w="16838" w:h="11906" w:orient="landscape"/>
          <w:pgMar w:top="1701" w:right="1418" w:bottom="1701" w:left="1418" w:header="709" w:footer="709" w:gutter="0"/>
          <w:cols w:space="708"/>
          <w:docGrid w:linePitch="360"/>
        </w:sectPr>
      </w:pPr>
    </w:p>
    <w:p w:rsidR="00ED63B1" w:rsidRPr="00BA33F3" w:rsidRDefault="00F04099" w:rsidP="00F04099">
      <w:pPr>
        <w:spacing w:line="360" w:lineRule="auto"/>
        <w:jc w:val="both"/>
        <w:rPr>
          <w:b/>
          <w:sz w:val="20"/>
          <w:szCs w:val="20"/>
        </w:rPr>
      </w:pPr>
      <w:r w:rsidRPr="00BA33F3">
        <w:rPr>
          <w:b/>
          <w:sz w:val="20"/>
          <w:szCs w:val="20"/>
        </w:rPr>
        <w:lastRenderedPageBreak/>
        <w:t>EXERCÍCIOS:</w:t>
      </w:r>
    </w:p>
    <w:p w:rsidR="00ED63B1" w:rsidRPr="00BA33F3" w:rsidRDefault="00ED63B1" w:rsidP="00895E33">
      <w:pPr>
        <w:spacing w:line="360" w:lineRule="auto"/>
        <w:jc w:val="both"/>
        <w:rPr>
          <w:sz w:val="20"/>
          <w:szCs w:val="20"/>
        </w:rPr>
      </w:pPr>
      <w:r w:rsidRPr="00BA33F3">
        <w:rPr>
          <w:sz w:val="20"/>
          <w:szCs w:val="20"/>
        </w:rPr>
        <w:t xml:space="preserve">Analise as tabelas abaixo, de acordo com dados extraídos </w:t>
      </w:r>
      <w:r w:rsidR="007006D5" w:rsidRPr="00BA33F3">
        <w:rPr>
          <w:sz w:val="20"/>
          <w:szCs w:val="20"/>
        </w:rPr>
        <w:t xml:space="preserve">principalmente </w:t>
      </w:r>
      <w:r w:rsidRPr="00BA33F3">
        <w:rPr>
          <w:sz w:val="20"/>
          <w:szCs w:val="20"/>
        </w:rPr>
        <w:t xml:space="preserve">dos sites da OMS </w:t>
      </w:r>
      <w:hyperlink r:id="rId12" w:history="1">
        <w:r w:rsidRPr="00BA33F3">
          <w:rPr>
            <w:rStyle w:val="Hyperlink"/>
            <w:sz w:val="20"/>
            <w:szCs w:val="20"/>
          </w:rPr>
          <w:t>http://apps.who.int/gho/data/node.imr</w:t>
        </w:r>
      </w:hyperlink>
      <w:r w:rsidRPr="00BA33F3">
        <w:rPr>
          <w:sz w:val="20"/>
          <w:szCs w:val="20"/>
        </w:rPr>
        <w:t xml:space="preserve"> e OCDE </w:t>
      </w:r>
      <w:hyperlink r:id="rId13" w:history="1">
        <w:r w:rsidRPr="00BA33F3">
          <w:rPr>
            <w:rStyle w:val="Hyperlink"/>
            <w:sz w:val="20"/>
            <w:szCs w:val="20"/>
          </w:rPr>
          <w:t>https://stats.oecd.org/</w:t>
        </w:r>
      </w:hyperlink>
      <w:r w:rsidR="00B547C0" w:rsidRPr="00BA33F3">
        <w:rPr>
          <w:sz w:val="20"/>
          <w:szCs w:val="20"/>
        </w:rPr>
        <w:t>.</w:t>
      </w:r>
      <w:r w:rsidR="007006D5" w:rsidRPr="00BA33F3">
        <w:rPr>
          <w:sz w:val="20"/>
          <w:szCs w:val="20"/>
        </w:rPr>
        <w:t xml:space="preserve"> Há também dados das Comunidades das Nações</w:t>
      </w:r>
      <w:r w:rsidR="00E83662">
        <w:rPr>
          <w:sz w:val="20"/>
          <w:szCs w:val="20"/>
        </w:rPr>
        <w:t xml:space="preserve"> </w:t>
      </w:r>
      <w:r w:rsidR="007006D5" w:rsidRPr="00BA33F3">
        <w:rPr>
          <w:sz w:val="20"/>
          <w:szCs w:val="20"/>
        </w:rPr>
        <w:t xml:space="preserve">  </w:t>
      </w:r>
      <w:hyperlink r:id="rId14" w:history="1">
        <w:r w:rsidR="007006D5" w:rsidRPr="00BA33F3">
          <w:rPr>
            <w:rStyle w:val="Hyperlink"/>
            <w:sz w:val="20"/>
            <w:szCs w:val="20"/>
          </w:rPr>
          <w:t>https://international.commonwealthfund.org/stats</w:t>
        </w:r>
      </w:hyperlink>
      <w:r w:rsidR="007006D5" w:rsidRPr="00BA33F3">
        <w:rPr>
          <w:sz w:val="20"/>
          <w:szCs w:val="20"/>
        </w:rPr>
        <w:t xml:space="preserve"> e das Nações Unidas </w:t>
      </w:r>
      <w:hyperlink r:id="rId15" w:history="1">
        <w:r w:rsidR="007006D5" w:rsidRPr="00BA33F3">
          <w:rPr>
            <w:rStyle w:val="Hyperlink"/>
            <w:sz w:val="20"/>
            <w:szCs w:val="20"/>
          </w:rPr>
          <w:t>http://hdr.undp.org/en/data</w:t>
        </w:r>
      </w:hyperlink>
      <w:r w:rsidR="007006D5" w:rsidRPr="00BA33F3">
        <w:rPr>
          <w:sz w:val="20"/>
          <w:szCs w:val="20"/>
        </w:rPr>
        <w:t>.</w:t>
      </w:r>
      <w:r w:rsidR="00E51FE4">
        <w:rPr>
          <w:sz w:val="20"/>
          <w:szCs w:val="20"/>
        </w:rPr>
        <w:t xml:space="preserve"> Há um glossário das variáveis utilizadas no final do exercício, para consulta.</w:t>
      </w:r>
    </w:p>
    <w:p w:rsidR="00ED63B1" w:rsidRPr="00895E33" w:rsidRDefault="00895E33" w:rsidP="00895E33">
      <w:pPr>
        <w:spacing w:line="360" w:lineRule="auto"/>
        <w:jc w:val="both"/>
        <w:rPr>
          <w:sz w:val="20"/>
          <w:szCs w:val="20"/>
        </w:rPr>
      </w:pPr>
      <w:r>
        <w:rPr>
          <w:sz w:val="20"/>
          <w:szCs w:val="20"/>
        </w:rPr>
        <w:t>1.1. Compare</w:t>
      </w:r>
      <w:r w:rsidR="00B547C0" w:rsidRPr="00895E33">
        <w:rPr>
          <w:sz w:val="20"/>
          <w:szCs w:val="20"/>
        </w:rPr>
        <w:t xml:space="preserve"> as diferentes regiões da OMS</w:t>
      </w:r>
      <w:r w:rsidR="00F10602" w:rsidRPr="00895E33">
        <w:rPr>
          <w:sz w:val="20"/>
          <w:szCs w:val="20"/>
        </w:rPr>
        <w:t>*</w:t>
      </w:r>
      <w:r w:rsidR="00B547C0" w:rsidRPr="00895E33">
        <w:rPr>
          <w:sz w:val="20"/>
          <w:szCs w:val="20"/>
        </w:rPr>
        <w:t xml:space="preserve"> com relação </w:t>
      </w:r>
      <w:r w:rsidR="00FA1340" w:rsidRPr="00895E33">
        <w:rPr>
          <w:sz w:val="20"/>
          <w:szCs w:val="20"/>
        </w:rPr>
        <w:t>às fontes e os esquemas de financiamento.</w:t>
      </w:r>
      <w:r w:rsidR="00DE502F" w:rsidRPr="00895E33">
        <w:rPr>
          <w:sz w:val="20"/>
          <w:szCs w:val="20"/>
        </w:rPr>
        <w:t xml:space="preserve"> Qual região apresenta maior gasto em saúde per capita? E em relação ao PIB? Quais as proporções de recursos públicos e privados dos gastos em saúde? Qual região apresenta maior proporção de gastos por desembolso direto?</w:t>
      </w:r>
    </w:p>
    <w:p w:rsidR="00373C9B" w:rsidRPr="00373C9B" w:rsidRDefault="00373C9B" w:rsidP="00373C9B">
      <w:pPr>
        <w:spacing w:line="360" w:lineRule="auto"/>
        <w:jc w:val="both"/>
        <w:rPr>
          <w:sz w:val="20"/>
          <w:szCs w:val="20"/>
        </w:rPr>
      </w:pPr>
      <w:r w:rsidRPr="00373C9B">
        <w:rPr>
          <w:b/>
          <w:sz w:val="20"/>
          <w:szCs w:val="20"/>
        </w:rPr>
        <w:t>Tabela 2</w:t>
      </w:r>
      <w:r>
        <w:rPr>
          <w:sz w:val="20"/>
          <w:szCs w:val="20"/>
        </w:rPr>
        <w:t xml:space="preserve"> – Recursos financeiros, segundo fontes e esquemas de financiamento, para as regiões da OMS, médias dos valores de 2010 e 2015.</w:t>
      </w:r>
    </w:p>
    <w:tbl>
      <w:tblPr>
        <w:tblW w:w="0" w:type="auto"/>
        <w:tblCellMar>
          <w:left w:w="70" w:type="dxa"/>
          <w:right w:w="70" w:type="dxa"/>
        </w:tblCellMar>
        <w:tblLook w:val="04A0" w:firstRow="1" w:lastRow="0" w:firstColumn="1" w:lastColumn="0" w:noHBand="0" w:noVBand="1"/>
      </w:tblPr>
      <w:tblGrid>
        <w:gridCol w:w="2310"/>
        <w:gridCol w:w="1195"/>
        <w:gridCol w:w="894"/>
        <w:gridCol w:w="1068"/>
        <w:gridCol w:w="594"/>
        <w:gridCol w:w="1354"/>
        <w:gridCol w:w="1299"/>
        <w:gridCol w:w="1886"/>
        <w:gridCol w:w="1167"/>
        <w:gridCol w:w="1204"/>
        <w:gridCol w:w="1033"/>
      </w:tblGrid>
      <w:tr w:rsidR="00B547C0" w:rsidRPr="00B547C0" w:rsidTr="00B547C0">
        <w:trPr>
          <w:trHeight w:val="270"/>
        </w:trPr>
        <w:tc>
          <w:tcPr>
            <w:tcW w:w="0" w:type="auto"/>
            <w:tcBorders>
              <w:top w:val="nil"/>
              <w:left w:val="nil"/>
              <w:bottom w:val="nil"/>
              <w:right w:val="nil"/>
            </w:tcBorders>
            <w:shd w:val="clear" w:color="auto" w:fill="auto"/>
            <w:noWrap/>
            <w:vAlign w:val="bottom"/>
            <w:hideMark/>
          </w:tcPr>
          <w:p w:rsidR="00B547C0" w:rsidRPr="00373C9B" w:rsidRDefault="00373C9B" w:rsidP="00B547C0">
            <w:pPr>
              <w:spacing w:after="0" w:line="240" w:lineRule="auto"/>
              <w:rPr>
                <w:rFonts w:ascii="Arial" w:eastAsia="Times New Roman" w:hAnsi="Arial" w:cs="Arial"/>
                <w:sz w:val="16"/>
                <w:szCs w:val="16"/>
                <w:lang w:eastAsia="pt-BR"/>
              </w:rPr>
            </w:pPr>
            <w:r w:rsidRPr="00373C9B">
              <w:rPr>
                <w:rFonts w:ascii="Arial" w:eastAsia="Times New Roman" w:hAnsi="Arial" w:cs="Arial"/>
                <w:sz w:val="16"/>
                <w:szCs w:val="16"/>
                <w:lang w:eastAsia="pt-BR"/>
              </w:rPr>
              <w:t>Regiões da OMS</w:t>
            </w:r>
          </w:p>
        </w:tc>
        <w:tc>
          <w:tcPr>
            <w:tcW w:w="0" w:type="auto"/>
            <w:gridSpan w:val="10"/>
            <w:tcBorders>
              <w:top w:val="nil"/>
              <w:left w:val="nil"/>
              <w:bottom w:val="nil"/>
              <w:right w:val="nil"/>
            </w:tcBorders>
            <w:shd w:val="clear" w:color="000000" w:fill="FFF2CC"/>
            <w:noWrap/>
            <w:vAlign w:val="bottom"/>
            <w:hideMark/>
          </w:tcPr>
          <w:p w:rsidR="00B547C0" w:rsidRPr="00B547C0" w:rsidRDefault="00B547C0" w:rsidP="00B547C0">
            <w:pPr>
              <w:spacing w:after="0" w:line="240" w:lineRule="auto"/>
              <w:jc w:val="center"/>
              <w:rPr>
                <w:rFonts w:ascii="Arial" w:eastAsia="Times New Roman" w:hAnsi="Arial" w:cs="Arial"/>
                <w:b/>
                <w:bCs/>
                <w:sz w:val="16"/>
                <w:szCs w:val="16"/>
                <w:lang w:eastAsia="pt-BR"/>
              </w:rPr>
            </w:pPr>
            <w:r w:rsidRPr="00B547C0">
              <w:rPr>
                <w:rFonts w:ascii="Arial" w:eastAsia="Times New Roman" w:hAnsi="Arial" w:cs="Arial"/>
                <w:b/>
                <w:bCs/>
                <w:sz w:val="16"/>
                <w:szCs w:val="16"/>
                <w:lang w:eastAsia="pt-BR"/>
              </w:rPr>
              <w:t>Recursos financeiros</w:t>
            </w:r>
            <w:r>
              <w:rPr>
                <w:rFonts w:ascii="Arial" w:eastAsia="Times New Roman" w:hAnsi="Arial" w:cs="Arial"/>
                <w:b/>
                <w:bCs/>
                <w:sz w:val="16"/>
                <w:szCs w:val="16"/>
                <w:lang w:eastAsia="pt-BR"/>
              </w:rPr>
              <w:t xml:space="preserve"> – fontes e esquemas de financiamento</w:t>
            </w:r>
          </w:p>
        </w:tc>
      </w:tr>
      <w:tr w:rsidR="000B469A" w:rsidRPr="00B547C0" w:rsidTr="000B469A">
        <w:trPr>
          <w:trHeight w:val="835"/>
        </w:trPr>
        <w:tc>
          <w:tcPr>
            <w:tcW w:w="0" w:type="auto"/>
            <w:tcBorders>
              <w:top w:val="nil"/>
              <w:left w:val="nil"/>
              <w:bottom w:val="nil"/>
              <w:right w:val="nil"/>
            </w:tcBorders>
            <w:shd w:val="clear" w:color="auto" w:fill="auto"/>
            <w:noWrap/>
            <w:vAlign w:val="bottom"/>
            <w:hideMark/>
          </w:tcPr>
          <w:p w:rsidR="00406C96" w:rsidRPr="00B547C0" w:rsidRDefault="00373C9B" w:rsidP="00373C9B">
            <w:pPr>
              <w:spacing w:after="0" w:line="240" w:lineRule="auto"/>
              <w:rPr>
                <w:rFonts w:ascii="Arial" w:eastAsia="Times New Roman" w:hAnsi="Arial" w:cs="Arial"/>
                <w:sz w:val="16"/>
                <w:szCs w:val="16"/>
                <w:lang w:eastAsia="pt-BR"/>
              </w:rPr>
            </w:pPr>
            <w:r>
              <w:rPr>
                <w:rFonts w:ascii="Arial" w:eastAsia="Times New Roman" w:hAnsi="Arial" w:cs="Arial"/>
                <w:sz w:val="16"/>
                <w:szCs w:val="16"/>
                <w:lang w:eastAsia="pt-BR"/>
              </w:rPr>
              <w:t>Grupos de países</w:t>
            </w:r>
          </w:p>
        </w:tc>
        <w:tc>
          <w:tcPr>
            <w:tcW w:w="0" w:type="auto"/>
            <w:tcBorders>
              <w:top w:val="nil"/>
              <w:left w:val="nil"/>
              <w:bottom w:val="nil"/>
              <w:right w:val="nil"/>
            </w:tcBorders>
            <w:shd w:val="clear" w:color="000000" w:fill="FFF2CC"/>
            <w:vAlign w:val="bottom"/>
            <w:hideMark/>
          </w:tcPr>
          <w:p w:rsidR="00406C96" w:rsidRPr="00B547C0" w:rsidRDefault="00406C96" w:rsidP="00406C96">
            <w:pPr>
              <w:spacing w:after="0" w:line="240" w:lineRule="auto"/>
              <w:jc w:val="center"/>
              <w:rPr>
                <w:rFonts w:ascii="Arial" w:eastAsia="Times New Roman" w:hAnsi="Arial" w:cs="Arial"/>
                <w:b/>
                <w:bCs/>
                <w:sz w:val="16"/>
                <w:szCs w:val="16"/>
                <w:lang w:eastAsia="pt-BR"/>
              </w:rPr>
            </w:pPr>
            <w:r w:rsidRPr="00B547C0">
              <w:rPr>
                <w:rFonts w:ascii="Arial" w:eastAsia="Times New Roman" w:hAnsi="Arial" w:cs="Arial"/>
                <w:b/>
                <w:bCs/>
                <w:sz w:val="16"/>
                <w:szCs w:val="16"/>
                <w:lang w:eastAsia="pt-BR"/>
              </w:rPr>
              <w:t>Gasto em saúde per capita</w:t>
            </w:r>
            <w:r>
              <w:rPr>
                <w:rFonts w:ascii="Arial" w:eastAsia="Times New Roman" w:hAnsi="Arial" w:cs="Arial"/>
                <w:b/>
                <w:bCs/>
                <w:sz w:val="16"/>
                <w:szCs w:val="16"/>
                <w:lang w:eastAsia="pt-BR"/>
              </w:rPr>
              <w:t xml:space="preserve"> (PPP)</w:t>
            </w:r>
          </w:p>
        </w:tc>
        <w:tc>
          <w:tcPr>
            <w:tcW w:w="0" w:type="auto"/>
            <w:tcBorders>
              <w:top w:val="nil"/>
              <w:left w:val="nil"/>
              <w:bottom w:val="nil"/>
              <w:right w:val="nil"/>
            </w:tcBorders>
            <w:shd w:val="clear" w:color="000000" w:fill="FFF2CC"/>
            <w:vAlign w:val="bottom"/>
            <w:hideMark/>
          </w:tcPr>
          <w:p w:rsidR="00406C96" w:rsidRPr="00B547C0" w:rsidRDefault="00406C96" w:rsidP="00406C96">
            <w:pPr>
              <w:spacing w:after="0" w:line="240" w:lineRule="auto"/>
              <w:jc w:val="center"/>
              <w:rPr>
                <w:rFonts w:ascii="Arial" w:eastAsia="Times New Roman" w:hAnsi="Arial" w:cs="Arial"/>
                <w:b/>
                <w:bCs/>
                <w:sz w:val="16"/>
                <w:szCs w:val="16"/>
                <w:lang w:eastAsia="pt-BR"/>
              </w:rPr>
            </w:pPr>
            <w:r w:rsidRPr="00B547C0">
              <w:rPr>
                <w:rFonts w:ascii="Arial" w:eastAsia="Times New Roman" w:hAnsi="Arial" w:cs="Arial"/>
                <w:b/>
                <w:bCs/>
                <w:sz w:val="16"/>
                <w:szCs w:val="16"/>
                <w:lang w:eastAsia="pt-BR"/>
              </w:rPr>
              <w:t>Gasto em saúde % PIB</w:t>
            </w:r>
          </w:p>
        </w:tc>
        <w:tc>
          <w:tcPr>
            <w:tcW w:w="0" w:type="auto"/>
            <w:tcBorders>
              <w:top w:val="nil"/>
              <w:left w:val="nil"/>
              <w:bottom w:val="nil"/>
              <w:right w:val="nil"/>
            </w:tcBorders>
            <w:shd w:val="clear" w:color="000000" w:fill="FFF2CC"/>
            <w:vAlign w:val="bottom"/>
            <w:hideMark/>
          </w:tcPr>
          <w:p w:rsidR="00406C96" w:rsidRPr="00B547C0" w:rsidRDefault="00406C96" w:rsidP="00406C96">
            <w:pPr>
              <w:spacing w:after="0" w:line="240" w:lineRule="auto"/>
              <w:jc w:val="center"/>
              <w:rPr>
                <w:rFonts w:ascii="Arial" w:eastAsia="Times New Roman" w:hAnsi="Arial" w:cs="Arial"/>
                <w:b/>
                <w:bCs/>
                <w:sz w:val="16"/>
                <w:szCs w:val="16"/>
                <w:lang w:eastAsia="pt-BR"/>
              </w:rPr>
            </w:pPr>
            <w:r w:rsidRPr="00B547C0">
              <w:rPr>
                <w:rFonts w:ascii="Arial" w:eastAsia="Times New Roman" w:hAnsi="Arial" w:cs="Arial"/>
                <w:b/>
                <w:bCs/>
                <w:sz w:val="16"/>
                <w:szCs w:val="16"/>
                <w:lang w:eastAsia="pt-BR"/>
              </w:rPr>
              <w:t xml:space="preserve">Gasto em saúde % gastos </w:t>
            </w:r>
            <w:proofErr w:type="spellStart"/>
            <w:r w:rsidRPr="00B547C0">
              <w:rPr>
                <w:rFonts w:ascii="Arial" w:eastAsia="Times New Roman" w:hAnsi="Arial" w:cs="Arial"/>
                <w:b/>
                <w:bCs/>
                <w:sz w:val="16"/>
                <w:szCs w:val="16"/>
                <w:lang w:eastAsia="pt-BR"/>
              </w:rPr>
              <w:t>gov</w:t>
            </w:r>
            <w:proofErr w:type="spellEnd"/>
          </w:p>
        </w:tc>
        <w:tc>
          <w:tcPr>
            <w:tcW w:w="0" w:type="auto"/>
            <w:tcBorders>
              <w:top w:val="nil"/>
              <w:left w:val="nil"/>
              <w:bottom w:val="nil"/>
              <w:right w:val="nil"/>
            </w:tcBorders>
            <w:shd w:val="clear" w:color="000000" w:fill="FFF2CC"/>
            <w:vAlign w:val="bottom"/>
            <w:hideMark/>
          </w:tcPr>
          <w:p w:rsidR="00406C96" w:rsidRDefault="00406C96" w:rsidP="00406C96">
            <w:pPr>
              <w:spacing w:after="0" w:line="240" w:lineRule="auto"/>
              <w:jc w:val="center"/>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Taxas</w:t>
            </w:r>
          </w:p>
          <w:p w:rsidR="00406C96" w:rsidRPr="00AB58B9" w:rsidRDefault="00406C96" w:rsidP="00406C96">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w:t>
            </w:r>
          </w:p>
        </w:tc>
        <w:tc>
          <w:tcPr>
            <w:tcW w:w="0" w:type="auto"/>
            <w:tcBorders>
              <w:top w:val="nil"/>
              <w:left w:val="nil"/>
              <w:bottom w:val="nil"/>
              <w:right w:val="nil"/>
            </w:tcBorders>
            <w:shd w:val="clear" w:color="000000" w:fill="FFF2CC"/>
            <w:vAlign w:val="bottom"/>
            <w:hideMark/>
          </w:tcPr>
          <w:p w:rsidR="00554E6C" w:rsidRDefault="00554E6C" w:rsidP="00554E6C">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Seguro saúde compulsório</w:t>
            </w:r>
          </w:p>
          <w:p w:rsidR="00406C96" w:rsidRPr="00AB58B9" w:rsidRDefault="00554E6C" w:rsidP="00554E6C">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w:t>
            </w:r>
            <w:proofErr w:type="spellStart"/>
            <w:proofErr w:type="gramStart"/>
            <w:r>
              <w:rPr>
                <w:rFonts w:ascii="Arial" w:eastAsia="Times New Roman" w:hAnsi="Arial" w:cs="Arial"/>
                <w:b/>
                <w:bCs/>
                <w:sz w:val="16"/>
                <w:szCs w:val="16"/>
                <w:lang w:eastAsia="pt-BR"/>
              </w:rPr>
              <w:t>seg</w:t>
            </w:r>
            <w:proofErr w:type="spellEnd"/>
            <w:proofErr w:type="gramEnd"/>
            <w:r>
              <w:rPr>
                <w:rFonts w:ascii="Arial" w:eastAsia="Times New Roman" w:hAnsi="Arial" w:cs="Arial"/>
                <w:b/>
                <w:bCs/>
                <w:sz w:val="16"/>
                <w:szCs w:val="16"/>
                <w:lang w:eastAsia="pt-BR"/>
              </w:rPr>
              <w:t xml:space="preserve"> </w:t>
            </w:r>
            <w:r w:rsidRPr="00AB58B9">
              <w:rPr>
                <w:rFonts w:ascii="Arial" w:eastAsia="Times New Roman" w:hAnsi="Arial" w:cs="Arial"/>
                <w:b/>
                <w:bCs/>
                <w:sz w:val="16"/>
                <w:szCs w:val="16"/>
                <w:lang w:eastAsia="pt-BR"/>
              </w:rPr>
              <w:t>social</w:t>
            </w:r>
            <w:r>
              <w:rPr>
                <w:rFonts w:ascii="Arial" w:eastAsia="Times New Roman" w:hAnsi="Arial" w:cs="Arial"/>
                <w:b/>
                <w:bCs/>
                <w:sz w:val="16"/>
                <w:szCs w:val="16"/>
                <w:lang w:eastAsia="pt-BR"/>
              </w:rPr>
              <w:t xml:space="preserve"> %)</w:t>
            </w:r>
          </w:p>
        </w:tc>
        <w:tc>
          <w:tcPr>
            <w:tcW w:w="1299" w:type="dxa"/>
            <w:tcBorders>
              <w:top w:val="nil"/>
              <w:left w:val="nil"/>
              <w:bottom w:val="nil"/>
              <w:right w:val="nil"/>
            </w:tcBorders>
            <w:shd w:val="clear" w:color="000000" w:fill="FFF2CC"/>
            <w:vAlign w:val="bottom"/>
            <w:hideMark/>
          </w:tcPr>
          <w:p w:rsidR="00406C96" w:rsidRDefault="00406C96" w:rsidP="00406C96">
            <w:pPr>
              <w:spacing w:after="0" w:line="240" w:lineRule="auto"/>
              <w:jc w:val="center"/>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Recursos públicos</w:t>
            </w:r>
            <w:r w:rsidR="000B469A">
              <w:rPr>
                <w:rFonts w:ascii="Arial" w:eastAsia="Times New Roman" w:hAnsi="Arial" w:cs="Arial"/>
                <w:b/>
                <w:bCs/>
                <w:sz w:val="16"/>
                <w:szCs w:val="16"/>
                <w:lang w:eastAsia="pt-BR"/>
              </w:rPr>
              <w:t xml:space="preserve"> (</w:t>
            </w:r>
            <w:proofErr w:type="spellStart"/>
            <w:r w:rsidR="000B469A">
              <w:rPr>
                <w:rFonts w:ascii="Arial" w:eastAsia="Times New Roman" w:hAnsi="Arial" w:cs="Arial"/>
                <w:b/>
                <w:bCs/>
                <w:sz w:val="16"/>
                <w:szCs w:val="16"/>
                <w:lang w:eastAsia="pt-BR"/>
              </w:rPr>
              <w:t>desp</w:t>
            </w:r>
            <w:proofErr w:type="spellEnd"/>
            <w:r w:rsidR="000B469A">
              <w:rPr>
                <w:rFonts w:ascii="Arial" w:eastAsia="Times New Roman" w:hAnsi="Arial" w:cs="Arial"/>
                <w:b/>
                <w:bCs/>
                <w:sz w:val="16"/>
                <w:szCs w:val="16"/>
                <w:lang w:eastAsia="pt-BR"/>
              </w:rPr>
              <w:t xml:space="preserve"> compulsórias)</w:t>
            </w:r>
          </w:p>
          <w:p w:rsidR="00406C96" w:rsidRPr="00AB58B9" w:rsidRDefault="00406C96" w:rsidP="00406C96">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w:t>
            </w:r>
          </w:p>
        </w:tc>
        <w:tc>
          <w:tcPr>
            <w:tcW w:w="1886" w:type="dxa"/>
            <w:tcBorders>
              <w:top w:val="nil"/>
              <w:left w:val="nil"/>
              <w:bottom w:val="nil"/>
              <w:right w:val="nil"/>
            </w:tcBorders>
            <w:shd w:val="clear" w:color="000000" w:fill="FFF2CC"/>
            <w:vAlign w:val="bottom"/>
            <w:hideMark/>
          </w:tcPr>
          <w:p w:rsidR="00406C96" w:rsidRDefault="00406C96" w:rsidP="00406C96">
            <w:pPr>
              <w:spacing w:after="0" w:line="240" w:lineRule="auto"/>
              <w:jc w:val="center"/>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Contribuições voluntárias</w:t>
            </w:r>
          </w:p>
          <w:p w:rsidR="00406C96" w:rsidRPr="00AB58B9" w:rsidRDefault="00406C96" w:rsidP="00406C96">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w:t>
            </w:r>
          </w:p>
        </w:tc>
        <w:tc>
          <w:tcPr>
            <w:tcW w:w="0" w:type="auto"/>
            <w:tcBorders>
              <w:top w:val="nil"/>
              <w:left w:val="nil"/>
              <w:bottom w:val="nil"/>
              <w:right w:val="nil"/>
            </w:tcBorders>
            <w:shd w:val="clear" w:color="000000" w:fill="FFF2CC"/>
            <w:vAlign w:val="bottom"/>
            <w:hideMark/>
          </w:tcPr>
          <w:p w:rsidR="00406C96" w:rsidRDefault="00406C96" w:rsidP="00406C96">
            <w:pPr>
              <w:spacing w:after="0" w:line="240" w:lineRule="auto"/>
              <w:jc w:val="center"/>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Seguro saúde voluntário</w:t>
            </w:r>
          </w:p>
          <w:p w:rsidR="00406C96" w:rsidRPr="00AB58B9" w:rsidRDefault="00406C96" w:rsidP="00406C96">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w:t>
            </w:r>
          </w:p>
        </w:tc>
        <w:tc>
          <w:tcPr>
            <w:tcW w:w="0" w:type="auto"/>
            <w:tcBorders>
              <w:top w:val="nil"/>
              <w:left w:val="nil"/>
              <w:bottom w:val="nil"/>
              <w:right w:val="nil"/>
            </w:tcBorders>
            <w:shd w:val="clear" w:color="000000" w:fill="FFF2CC"/>
            <w:vAlign w:val="bottom"/>
            <w:hideMark/>
          </w:tcPr>
          <w:p w:rsidR="00406C96" w:rsidRDefault="00406C96" w:rsidP="00406C96">
            <w:pPr>
              <w:spacing w:after="0" w:line="240" w:lineRule="auto"/>
              <w:jc w:val="center"/>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Desembolso direto</w:t>
            </w:r>
          </w:p>
          <w:p w:rsidR="00406C96" w:rsidRPr="00AB58B9" w:rsidRDefault="00406C96" w:rsidP="00406C96">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(5)</w:t>
            </w:r>
          </w:p>
        </w:tc>
        <w:tc>
          <w:tcPr>
            <w:tcW w:w="0" w:type="auto"/>
            <w:tcBorders>
              <w:top w:val="nil"/>
              <w:left w:val="nil"/>
              <w:bottom w:val="nil"/>
              <w:right w:val="nil"/>
            </w:tcBorders>
            <w:shd w:val="clear" w:color="000000" w:fill="FFF2CC"/>
            <w:vAlign w:val="bottom"/>
            <w:hideMark/>
          </w:tcPr>
          <w:p w:rsidR="00406C96" w:rsidRDefault="00406C96" w:rsidP="00406C96">
            <w:pPr>
              <w:spacing w:after="0" w:line="240" w:lineRule="auto"/>
              <w:jc w:val="center"/>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Recursos privados</w:t>
            </w:r>
          </w:p>
          <w:p w:rsidR="00406C96" w:rsidRPr="00AB58B9" w:rsidRDefault="00406C96" w:rsidP="00406C96">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w:t>
            </w:r>
          </w:p>
        </w:tc>
      </w:tr>
      <w:tr w:rsidR="000B469A" w:rsidRPr="00B547C0" w:rsidTr="000B469A">
        <w:trPr>
          <w:trHeight w:val="450"/>
        </w:trPr>
        <w:tc>
          <w:tcPr>
            <w:tcW w:w="0" w:type="auto"/>
            <w:tcBorders>
              <w:top w:val="nil"/>
              <w:left w:val="nil"/>
              <w:bottom w:val="nil"/>
              <w:right w:val="nil"/>
            </w:tcBorders>
            <w:shd w:val="clear" w:color="auto" w:fill="auto"/>
            <w:noWrap/>
            <w:vAlign w:val="bottom"/>
            <w:hideMark/>
          </w:tcPr>
          <w:p w:rsidR="00B547C0" w:rsidRPr="00B547C0" w:rsidRDefault="00B547C0" w:rsidP="00B547C0">
            <w:pPr>
              <w:spacing w:after="0" w:line="240" w:lineRule="auto"/>
              <w:rPr>
                <w:rFonts w:ascii="Arial" w:eastAsia="Times New Roman" w:hAnsi="Arial" w:cs="Arial"/>
                <w:sz w:val="16"/>
                <w:szCs w:val="16"/>
                <w:lang w:eastAsia="pt-BR"/>
              </w:rPr>
            </w:pPr>
            <w:r w:rsidRPr="00B547C0">
              <w:rPr>
                <w:rFonts w:ascii="Arial" w:eastAsia="Times New Roman" w:hAnsi="Arial" w:cs="Arial"/>
                <w:sz w:val="16"/>
                <w:szCs w:val="16"/>
                <w:lang w:eastAsia="pt-BR"/>
              </w:rPr>
              <w:t>AFRO - África Subsaariana</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249,19</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5,89</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6,72</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41,00</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3,46</w:t>
            </w:r>
          </w:p>
        </w:tc>
        <w:tc>
          <w:tcPr>
            <w:tcW w:w="1299" w:type="dxa"/>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44,46</w:t>
            </w:r>
          </w:p>
        </w:tc>
        <w:tc>
          <w:tcPr>
            <w:tcW w:w="1886" w:type="dxa"/>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18,09</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4,98</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36,46</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54,55</w:t>
            </w:r>
          </w:p>
        </w:tc>
      </w:tr>
      <w:tr w:rsidR="000B469A" w:rsidRPr="00B547C0" w:rsidTr="000B469A">
        <w:trPr>
          <w:trHeight w:val="780"/>
        </w:trPr>
        <w:tc>
          <w:tcPr>
            <w:tcW w:w="0" w:type="auto"/>
            <w:tcBorders>
              <w:top w:val="nil"/>
              <w:left w:val="nil"/>
              <w:bottom w:val="nil"/>
              <w:right w:val="nil"/>
            </w:tcBorders>
            <w:shd w:val="clear" w:color="auto" w:fill="auto"/>
            <w:noWrap/>
            <w:vAlign w:val="bottom"/>
            <w:hideMark/>
          </w:tcPr>
          <w:p w:rsidR="00B547C0" w:rsidRPr="00B547C0" w:rsidRDefault="00B547C0" w:rsidP="00B547C0">
            <w:pPr>
              <w:spacing w:after="0" w:line="240" w:lineRule="auto"/>
              <w:rPr>
                <w:rFonts w:ascii="Arial" w:eastAsia="Times New Roman" w:hAnsi="Arial" w:cs="Arial"/>
                <w:sz w:val="16"/>
                <w:szCs w:val="16"/>
                <w:lang w:eastAsia="pt-BR"/>
              </w:rPr>
            </w:pPr>
            <w:r w:rsidRPr="00B547C0">
              <w:rPr>
                <w:rFonts w:ascii="Arial" w:eastAsia="Times New Roman" w:hAnsi="Arial" w:cs="Arial"/>
                <w:sz w:val="16"/>
                <w:szCs w:val="16"/>
                <w:lang w:eastAsia="pt-BR"/>
              </w:rPr>
              <w:t>EMRO - Mediterrâneo Oriental</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1.026,89</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5,01</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7,88</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46,03</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6,62</w:t>
            </w:r>
          </w:p>
        </w:tc>
        <w:tc>
          <w:tcPr>
            <w:tcW w:w="1299" w:type="dxa"/>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52,64</w:t>
            </w:r>
          </w:p>
        </w:tc>
        <w:tc>
          <w:tcPr>
            <w:tcW w:w="1886" w:type="dxa"/>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6,74</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3,95</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40,57</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42,80</w:t>
            </w:r>
          </w:p>
        </w:tc>
      </w:tr>
      <w:tr w:rsidR="000B469A" w:rsidRPr="00B547C0" w:rsidTr="000B469A">
        <w:trPr>
          <w:trHeight w:val="510"/>
        </w:trPr>
        <w:tc>
          <w:tcPr>
            <w:tcW w:w="0" w:type="auto"/>
            <w:tcBorders>
              <w:top w:val="nil"/>
              <w:left w:val="nil"/>
              <w:bottom w:val="nil"/>
              <w:right w:val="nil"/>
            </w:tcBorders>
            <w:shd w:val="clear" w:color="auto" w:fill="auto"/>
            <w:noWrap/>
            <w:vAlign w:val="bottom"/>
            <w:hideMark/>
          </w:tcPr>
          <w:p w:rsidR="00B547C0" w:rsidRPr="00B547C0" w:rsidRDefault="00B547C0" w:rsidP="00B547C0">
            <w:pPr>
              <w:spacing w:after="0" w:line="240" w:lineRule="auto"/>
              <w:rPr>
                <w:rFonts w:ascii="Arial" w:eastAsia="Times New Roman" w:hAnsi="Arial" w:cs="Arial"/>
                <w:sz w:val="16"/>
                <w:szCs w:val="16"/>
                <w:lang w:eastAsia="pt-BR"/>
              </w:rPr>
            </w:pPr>
            <w:r w:rsidRPr="00B547C0">
              <w:rPr>
                <w:rFonts w:ascii="Arial" w:eastAsia="Times New Roman" w:hAnsi="Arial" w:cs="Arial"/>
                <w:sz w:val="16"/>
                <w:szCs w:val="16"/>
                <w:lang w:eastAsia="pt-BR"/>
              </w:rPr>
              <w:t>EURO - Europa</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2.447,90</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7,79</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12,01</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32,18</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32,94</w:t>
            </w:r>
          </w:p>
        </w:tc>
        <w:tc>
          <w:tcPr>
            <w:tcW w:w="1299" w:type="dxa"/>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65,12</w:t>
            </w:r>
          </w:p>
        </w:tc>
        <w:tc>
          <w:tcPr>
            <w:tcW w:w="1886" w:type="dxa"/>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4,49</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3,04</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30,29</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34,72</w:t>
            </w:r>
          </w:p>
        </w:tc>
      </w:tr>
      <w:tr w:rsidR="000B469A" w:rsidRPr="00B547C0" w:rsidTr="000B469A">
        <w:trPr>
          <w:trHeight w:val="525"/>
        </w:trPr>
        <w:tc>
          <w:tcPr>
            <w:tcW w:w="0" w:type="auto"/>
            <w:tcBorders>
              <w:top w:val="nil"/>
              <w:left w:val="nil"/>
              <w:bottom w:val="nil"/>
              <w:right w:val="nil"/>
            </w:tcBorders>
            <w:shd w:val="clear" w:color="auto" w:fill="auto"/>
            <w:noWrap/>
            <w:vAlign w:val="bottom"/>
            <w:hideMark/>
          </w:tcPr>
          <w:p w:rsidR="00B547C0" w:rsidRPr="00B547C0" w:rsidRDefault="00B547C0" w:rsidP="00B547C0">
            <w:pPr>
              <w:spacing w:after="0" w:line="240" w:lineRule="auto"/>
              <w:rPr>
                <w:rFonts w:ascii="Arial" w:eastAsia="Times New Roman" w:hAnsi="Arial" w:cs="Arial"/>
                <w:sz w:val="16"/>
                <w:szCs w:val="16"/>
                <w:lang w:eastAsia="pt-BR"/>
              </w:rPr>
            </w:pPr>
            <w:r w:rsidRPr="00B547C0">
              <w:rPr>
                <w:rFonts w:ascii="Arial" w:eastAsia="Times New Roman" w:hAnsi="Arial" w:cs="Arial"/>
                <w:sz w:val="16"/>
                <w:szCs w:val="16"/>
                <w:lang w:eastAsia="pt-BR"/>
              </w:rPr>
              <w:t>PAHO - Américas</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1.178,90</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6,91</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12,96</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37,86</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17,96</w:t>
            </w:r>
          </w:p>
        </w:tc>
        <w:tc>
          <w:tcPr>
            <w:tcW w:w="1299" w:type="dxa"/>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55,83</w:t>
            </w:r>
          </w:p>
        </w:tc>
        <w:tc>
          <w:tcPr>
            <w:tcW w:w="1886" w:type="dxa"/>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10,56</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7,74</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33,71</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44,27</w:t>
            </w:r>
          </w:p>
        </w:tc>
      </w:tr>
      <w:tr w:rsidR="000B469A" w:rsidRPr="00B547C0" w:rsidTr="000B469A">
        <w:trPr>
          <w:trHeight w:val="780"/>
        </w:trPr>
        <w:tc>
          <w:tcPr>
            <w:tcW w:w="0" w:type="auto"/>
            <w:tcBorders>
              <w:top w:val="nil"/>
              <w:left w:val="nil"/>
              <w:bottom w:val="nil"/>
              <w:right w:val="nil"/>
            </w:tcBorders>
            <w:shd w:val="clear" w:color="auto" w:fill="auto"/>
            <w:noWrap/>
            <w:vAlign w:val="bottom"/>
            <w:hideMark/>
          </w:tcPr>
          <w:p w:rsidR="00B547C0" w:rsidRPr="00B547C0" w:rsidRDefault="00B547C0" w:rsidP="00B547C0">
            <w:pPr>
              <w:spacing w:after="0" w:line="240" w:lineRule="auto"/>
              <w:rPr>
                <w:rFonts w:ascii="Arial" w:eastAsia="Times New Roman" w:hAnsi="Arial" w:cs="Arial"/>
                <w:sz w:val="16"/>
                <w:szCs w:val="16"/>
                <w:lang w:eastAsia="pt-BR"/>
              </w:rPr>
            </w:pPr>
            <w:r w:rsidRPr="00B547C0">
              <w:rPr>
                <w:rFonts w:ascii="Arial" w:eastAsia="Times New Roman" w:hAnsi="Arial" w:cs="Arial"/>
                <w:sz w:val="16"/>
                <w:szCs w:val="16"/>
                <w:lang w:eastAsia="pt-BR"/>
              </w:rPr>
              <w:t>SEARO - Sudeste Asiático</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231,68</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4,01</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7,13</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41,15</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5,05</w:t>
            </w:r>
          </w:p>
        </w:tc>
        <w:tc>
          <w:tcPr>
            <w:tcW w:w="1299" w:type="dxa"/>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46,20</w:t>
            </w:r>
          </w:p>
        </w:tc>
        <w:tc>
          <w:tcPr>
            <w:tcW w:w="1886" w:type="dxa"/>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7,95</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2,00</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43,80</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51,75</w:t>
            </w:r>
          </w:p>
        </w:tc>
      </w:tr>
      <w:tr w:rsidR="000B469A" w:rsidRPr="00B547C0" w:rsidTr="000B469A">
        <w:trPr>
          <w:trHeight w:val="525"/>
        </w:trPr>
        <w:tc>
          <w:tcPr>
            <w:tcW w:w="0" w:type="auto"/>
            <w:tcBorders>
              <w:top w:val="nil"/>
              <w:left w:val="nil"/>
              <w:bottom w:val="nil"/>
              <w:right w:val="nil"/>
            </w:tcBorders>
            <w:shd w:val="clear" w:color="auto" w:fill="auto"/>
            <w:noWrap/>
            <w:vAlign w:val="bottom"/>
            <w:hideMark/>
          </w:tcPr>
          <w:p w:rsidR="00B547C0" w:rsidRPr="00B547C0" w:rsidRDefault="00B547C0" w:rsidP="00B547C0">
            <w:pPr>
              <w:spacing w:after="0" w:line="240" w:lineRule="auto"/>
              <w:rPr>
                <w:rFonts w:ascii="Arial" w:eastAsia="Times New Roman" w:hAnsi="Arial" w:cs="Arial"/>
                <w:sz w:val="16"/>
                <w:szCs w:val="16"/>
                <w:lang w:eastAsia="pt-BR"/>
              </w:rPr>
            </w:pPr>
            <w:r w:rsidRPr="00B547C0">
              <w:rPr>
                <w:rFonts w:ascii="Arial" w:eastAsia="Times New Roman" w:hAnsi="Arial" w:cs="Arial"/>
                <w:sz w:val="16"/>
                <w:szCs w:val="16"/>
                <w:lang w:eastAsia="pt-BR"/>
              </w:rPr>
              <w:t>WPRO - Pacífico Ocidental</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1.034,40</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6,99</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9,36</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60,22</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9,64</w:t>
            </w:r>
          </w:p>
        </w:tc>
        <w:tc>
          <w:tcPr>
            <w:tcW w:w="1299" w:type="dxa"/>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70,01</w:t>
            </w:r>
          </w:p>
        </w:tc>
        <w:tc>
          <w:tcPr>
            <w:tcW w:w="1886" w:type="dxa"/>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6,83</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2,76</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19,64</w:t>
            </w:r>
          </w:p>
        </w:tc>
        <w:tc>
          <w:tcPr>
            <w:tcW w:w="0" w:type="auto"/>
            <w:tcBorders>
              <w:top w:val="nil"/>
              <w:left w:val="nil"/>
              <w:bottom w:val="nil"/>
              <w:right w:val="nil"/>
            </w:tcBorders>
            <w:shd w:val="clear" w:color="auto" w:fill="auto"/>
            <w:noWrap/>
            <w:vAlign w:val="center"/>
            <w:hideMark/>
          </w:tcPr>
          <w:p w:rsidR="00B547C0" w:rsidRPr="00B547C0" w:rsidRDefault="00B547C0" w:rsidP="00B547C0">
            <w:pPr>
              <w:spacing w:after="0" w:line="240" w:lineRule="auto"/>
              <w:jc w:val="center"/>
              <w:rPr>
                <w:rFonts w:ascii="Arial" w:eastAsia="Times New Roman" w:hAnsi="Arial" w:cs="Arial"/>
                <w:sz w:val="16"/>
                <w:szCs w:val="16"/>
                <w:lang w:eastAsia="pt-BR"/>
              </w:rPr>
            </w:pPr>
            <w:r w:rsidRPr="00B547C0">
              <w:rPr>
                <w:rFonts w:ascii="Arial" w:eastAsia="Times New Roman" w:hAnsi="Arial" w:cs="Arial"/>
                <w:sz w:val="16"/>
                <w:szCs w:val="16"/>
                <w:lang w:eastAsia="pt-BR"/>
              </w:rPr>
              <w:t>26,25</w:t>
            </w:r>
          </w:p>
        </w:tc>
      </w:tr>
    </w:tbl>
    <w:p w:rsidR="00895E33" w:rsidRDefault="00B547C0" w:rsidP="00895E33">
      <w:pPr>
        <w:spacing w:line="360" w:lineRule="auto"/>
        <w:ind w:left="360"/>
        <w:jc w:val="both"/>
        <w:rPr>
          <w:rStyle w:val="Hyperlink"/>
          <w:sz w:val="18"/>
          <w:szCs w:val="18"/>
        </w:rPr>
      </w:pPr>
      <w:r w:rsidRPr="00B547C0">
        <w:rPr>
          <w:sz w:val="16"/>
          <w:szCs w:val="16"/>
        </w:rPr>
        <w:t>Fonte: OMS, dados de 2010 e 2015</w:t>
      </w:r>
      <w:r w:rsidR="00E51FE4">
        <w:rPr>
          <w:sz w:val="16"/>
          <w:szCs w:val="16"/>
        </w:rPr>
        <w:t xml:space="preserve"> </w:t>
      </w:r>
      <w:r w:rsidR="00F10602" w:rsidRPr="00F10602">
        <w:rPr>
          <w:sz w:val="18"/>
          <w:szCs w:val="18"/>
        </w:rPr>
        <w:t>*</w:t>
      </w:r>
      <w:hyperlink r:id="rId16" w:history="1">
        <w:r w:rsidR="00F10602" w:rsidRPr="00F10602">
          <w:rPr>
            <w:rStyle w:val="Hyperlink"/>
            <w:sz w:val="18"/>
            <w:szCs w:val="18"/>
          </w:rPr>
          <w:t>https://www.who.int/choice/demography/by_country/en/</w:t>
        </w:r>
      </w:hyperlink>
      <w:r w:rsidR="00895E33">
        <w:rPr>
          <w:rStyle w:val="Hyperlink"/>
          <w:sz w:val="18"/>
          <w:szCs w:val="18"/>
        </w:rPr>
        <w:t xml:space="preserve">  </w:t>
      </w:r>
      <w:r w:rsidR="00895E33">
        <w:rPr>
          <w:rStyle w:val="Hyperlink"/>
          <w:sz w:val="18"/>
          <w:szCs w:val="18"/>
        </w:rPr>
        <w:br w:type="page"/>
      </w:r>
    </w:p>
    <w:p w:rsidR="00B547C0" w:rsidRPr="00BA33F3" w:rsidRDefault="00DE502F" w:rsidP="00895E33">
      <w:pPr>
        <w:spacing w:line="360" w:lineRule="auto"/>
        <w:jc w:val="both"/>
        <w:rPr>
          <w:sz w:val="20"/>
          <w:szCs w:val="20"/>
        </w:rPr>
      </w:pPr>
      <w:r w:rsidRPr="00BA33F3">
        <w:rPr>
          <w:sz w:val="20"/>
          <w:szCs w:val="20"/>
        </w:rPr>
        <w:lastRenderedPageBreak/>
        <w:t>1</w:t>
      </w:r>
      <w:r w:rsidR="0098698A" w:rsidRPr="00BA33F3">
        <w:rPr>
          <w:sz w:val="20"/>
          <w:szCs w:val="20"/>
        </w:rPr>
        <w:t xml:space="preserve">.2 </w:t>
      </w:r>
      <w:r w:rsidRPr="00BA33F3">
        <w:rPr>
          <w:sz w:val="20"/>
          <w:szCs w:val="20"/>
        </w:rPr>
        <w:t>. Vamos agora observar alguns países, representantes das diferentes tipologias de sistemas de saúde.</w:t>
      </w:r>
      <w:r w:rsidR="00807562" w:rsidRPr="00BA33F3">
        <w:rPr>
          <w:sz w:val="20"/>
          <w:szCs w:val="20"/>
        </w:rPr>
        <w:t xml:space="preserve"> Analise a tabela abaixo, relacionando os dados às características dos diferentes tipos de sistemas de saúde.</w:t>
      </w:r>
      <w:r w:rsidR="004C1724">
        <w:rPr>
          <w:sz w:val="20"/>
          <w:szCs w:val="20"/>
        </w:rPr>
        <w:t xml:space="preserve"> Compare com os valores encontrados no Brasil.</w:t>
      </w:r>
    </w:p>
    <w:p w:rsidR="00373C9B" w:rsidRPr="00373C9B" w:rsidRDefault="00373C9B" w:rsidP="00373C9B">
      <w:pPr>
        <w:spacing w:line="360" w:lineRule="auto"/>
        <w:jc w:val="both"/>
        <w:rPr>
          <w:sz w:val="20"/>
          <w:szCs w:val="20"/>
        </w:rPr>
      </w:pPr>
      <w:r w:rsidRPr="00373C9B">
        <w:rPr>
          <w:b/>
          <w:sz w:val="20"/>
          <w:szCs w:val="20"/>
        </w:rPr>
        <w:t xml:space="preserve">Tabela </w:t>
      </w:r>
      <w:r>
        <w:rPr>
          <w:b/>
          <w:sz w:val="20"/>
          <w:szCs w:val="20"/>
        </w:rPr>
        <w:t>3</w:t>
      </w:r>
      <w:r>
        <w:rPr>
          <w:sz w:val="20"/>
          <w:szCs w:val="20"/>
        </w:rPr>
        <w:t xml:space="preserve"> – Recursos financeiros, segundo fontes e esquemas de financiamento, para países selecionados por tipos de sistema de saúde, valores de 2015.</w:t>
      </w:r>
    </w:p>
    <w:tbl>
      <w:tblPr>
        <w:tblW w:w="0" w:type="auto"/>
        <w:tblCellMar>
          <w:left w:w="70" w:type="dxa"/>
          <w:right w:w="70" w:type="dxa"/>
        </w:tblCellMar>
        <w:tblLook w:val="04A0" w:firstRow="1" w:lastRow="0" w:firstColumn="1" w:lastColumn="0" w:noHBand="0" w:noVBand="1"/>
      </w:tblPr>
      <w:tblGrid>
        <w:gridCol w:w="2408"/>
        <w:gridCol w:w="1113"/>
        <w:gridCol w:w="839"/>
        <w:gridCol w:w="989"/>
        <w:gridCol w:w="594"/>
        <w:gridCol w:w="1674"/>
        <w:gridCol w:w="1492"/>
        <w:gridCol w:w="1591"/>
        <w:gridCol w:w="1119"/>
        <w:gridCol w:w="1183"/>
        <w:gridCol w:w="1002"/>
      </w:tblGrid>
      <w:tr w:rsidR="00AC6ADE" w:rsidRPr="00AB58B9" w:rsidTr="004F7380">
        <w:trPr>
          <w:trHeight w:val="885"/>
        </w:trPr>
        <w:tc>
          <w:tcPr>
            <w:tcW w:w="0" w:type="auto"/>
            <w:tcBorders>
              <w:top w:val="nil"/>
              <w:left w:val="nil"/>
              <w:bottom w:val="nil"/>
              <w:right w:val="nil"/>
            </w:tcBorders>
            <w:shd w:val="clear" w:color="auto" w:fill="auto"/>
            <w:noWrap/>
            <w:vAlign w:val="bottom"/>
            <w:hideMark/>
          </w:tcPr>
          <w:p w:rsidR="00AB58B9" w:rsidRPr="00AB58B9" w:rsidRDefault="00AB58B9" w:rsidP="00AB58B9">
            <w:pPr>
              <w:spacing w:after="0" w:line="240" w:lineRule="auto"/>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Países selecionados</w:t>
            </w:r>
          </w:p>
        </w:tc>
        <w:tc>
          <w:tcPr>
            <w:tcW w:w="0" w:type="auto"/>
            <w:tcBorders>
              <w:top w:val="nil"/>
              <w:left w:val="nil"/>
              <w:bottom w:val="nil"/>
              <w:right w:val="nil"/>
            </w:tcBorders>
            <w:shd w:val="clear" w:color="000000" w:fill="FFF2CC"/>
            <w:vAlign w:val="bottom"/>
            <w:hideMark/>
          </w:tcPr>
          <w:p w:rsidR="00AB58B9" w:rsidRPr="00AB58B9" w:rsidRDefault="00AB58B9" w:rsidP="00AB58B9">
            <w:pPr>
              <w:spacing w:after="0" w:line="240" w:lineRule="auto"/>
              <w:jc w:val="center"/>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Gasto em saúde per capita</w:t>
            </w:r>
            <w:r w:rsidR="006D2218">
              <w:rPr>
                <w:rFonts w:ascii="Arial" w:eastAsia="Times New Roman" w:hAnsi="Arial" w:cs="Arial"/>
                <w:b/>
                <w:bCs/>
                <w:sz w:val="16"/>
                <w:szCs w:val="16"/>
                <w:lang w:eastAsia="pt-BR"/>
              </w:rPr>
              <w:t xml:space="preserve"> (PPP)</w:t>
            </w:r>
          </w:p>
        </w:tc>
        <w:tc>
          <w:tcPr>
            <w:tcW w:w="0" w:type="auto"/>
            <w:tcBorders>
              <w:top w:val="nil"/>
              <w:left w:val="nil"/>
              <w:bottom w:val="nil"/>
              <w:right w:val="nil"/>
            </w:tcBorders>
            <w:shd w:val="clear" w:color="000000" w:fill="FFF2CC"/>
            <w:vAlign w:val="bottom"/>
            <w:hideMark/>
          </w:tcPr>
          <w:p w:rsidR="00AB58B9" w:rsidRPr="00AB58B9" w:rsidRDefault="00AB58B9" w:rsidP="00AB58B9">
            <w:pPr>
              <w:spacing w:after="0" w:line="240" w:lineRule="auto"/>
              <w:jc w:val="center"/>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Gasto em saúde % PIB</w:t>
            </w:r>
          </w:p>
        </w:tc>
        <w:tc>
          <w:tcPr>
            <w:tcW w:w="0" w:type="auto"/>
            <w:tcBorders>
              <w:top w:val="nil"/>
              <w:left w:val="nil"/>
              <w:bottom w:val="nil"/>
              <w:right w:val="nil"/>
            </w:tcBorders>
            <w:shd w:val="clear" w:color="000000" w:fill="FFF2CC"/>
            <w:vAlign w:val="bottom"/>
            <w:hideMark/>
          </w:tcPr>
          <w:p w:rsidR="00AB58B9" w:rsidRPr="00AB58B9" w:rsidRDefault="00AB58B9" w:rsidP="00AB58B9">
            <w:pPr>
              <w:spacing w:after="0" w:line="240" w:lineRule="auto"/>
              <w:jc w:val="center"/>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 xml:space="preserve">Gasto em saúde % gastos </w:t>
            </w:r>
            <w:proofErr w:type="spellStart"/>
            <w:r w:rsidRPr="00AB58B9">
              <w:rPr>
                <w:rFonts w:ascii="Arial" w:eastAsia="Times New Roman" w:hAnsi="Arial" w:cs="Arial"/>
                <w:b/>
                <w:bCs/>
                <w:sz w:val="16"/>
                <w:szCs w:val="16"/>
                <w:lang w:eastAsia="pt-BR"/>
              </w:rPr>
              <w:t>gov</w:t>
            </w:r>
            <w:proofErr w:type="spellEnd"/>
          </w:p>
        </w:tc>
        <w:tc>
          <w:tcPr>
            <w:tcW w:w="0" w:type="auto"/>
            <w:tcBorders>
              <w:top w:val="nil"/>
              <w:left w:val="nil"/>
              <w:bottom w:val="nil"/>
              <w:right w:val="nil"/>
            </w:tcBorders>
            <w:shd w:val="clear" w:color="000000" w:fill="FFF2CC"/>
            <w:vAlign w:val="bottom"/>
            <w:hideMark/>
          </w:tcPr>
          <w:p w:rsidR="00AB58B9" w:rsidRDefault="00AB58B9" w:rsidP="00AB58B9">
            <w:pPr>
              <w:spacing w:after="0" w:line="240" w:lineRule="auto"/>
              <w:jc w:val="center"/>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Taxas</w:t>
            </w:r>
          </w:p>
          <w:p w:rsidR="00406C96" w:rsidRPr="00AB58B9" w:rsidRDefault="00406C96" w:rsidP="00AB58B9">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w:t>
            </w:r>
          </w:p>
        </w:tc>
        <w:tc>
          <w:tcPr>
            <w:tcW w:w="0" w:type="auto"/>
            <w:tcBorders>
              <w:top w:val="nil"/>
              <w:left w:val="nil"/>
              <w:bottom w:val="nil"/>
              <w:right w:val="nil"/>
            </w:tcBorders>
            <w:shd w:val="clear" w:color="000000" w:fill="FFF2CC"/>
            <w:vAlign w:val="bottom"/>
            <w:hideMark/>
          </w:tcPr>
          <w:p w:rsidR="000B469A" w:rsidRDefault="000B469A" w:rsidP="000B469A">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Seguro saúde compulsório</w:t>
            </w:r>
          </w:p>
          <w:p w:rsidR="00406C96" w:rsidRPr="00AB58B9" w:rsidRDefault="000B469A" w:rsidP="000B469A">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w:t>
            </w:r>
            <w:proofErr w:type="spellStart"/>
            <w:proofErr w:type="gramStart"/>
            <w:r w:rsidR="00AC6ADE">
              <w:rPr>
                <w:rFonts w:ascii="Arial" w:eastAsia="Times New Roman" w:hAnsi="Arial" w:cs="Arial"/>
                <w:b/>
                <w:bCs/>
                <w:sz w:val="16"/>
                <w:szCs w:val="16"/>
                <w:lang w:eastAsia="pt-BR"/>
              </w:rPr>
              <w:t>seg</w:t>
            </w:r>
            <w:proofErr w:type="spellEnd"/>
            <w:proofErr w:type="gramEnd"/>
            <w:r w:rsidR="00AC6ADE">
              <w:rPr>
                <w:rFonts w:ascii="Arial" w:eastAsia="Times New Roman" w:hAnsi="Arial" w:cs="Arial"/>
                <w:b/>
                <w:bCs/>
                <w:sz w:val="16"/>
                <w:szCs w:val="16"/>
                <w:lang w:eastAsia="pt-BR"/>
              </w:rPr>
              <w:t xml:space="preserve"> </w:t>
            </w:r>
            <w:r w:rsidR="00AB58B9" w:rsidRPr="00AB58B9">
              <w:rPr>
                <w:rFonts w:ascii="Arial" w:eastAsia="Times New Roman" w:hAnsi="Arial" w:cs="Arial"/>
                <w:b/>
                <w:bCs/>
                <w:sz w:val="16"/>
                <w:szCs w:val="16"/>
                <w:lang w:eastAsia="pt-BR"/>
              </w:rPr>
              <w:t>social</w:t>
            </w:r>
            <w:r>
              <w:rPr>
                <w:rFonts w:ascii="Arial" w:eastAsia="Times New Roman" w:hAnsi="Arial" w:cs="Arial"/>
                <w:b/>
                <w:bCs/>
                <w:sz w:val="16"/>
                <w:szCs w:val="16"/>
                <w:lang w:eastAsia="pt-BR"/>
              </w:rPr>
              <w:t xml:space="preserve"> </w:t>
            </w:r>
            <w:r w:rsidR="00406C96">
              <w:rPr>
                <w:rFonts w:ascii="Arial" w:eastAsia="Times New Roman" w:hAnsi="Arial" w:cs="Arial"/>
                <w:b/>
                <w:bCs/>
                <w:sz w:val="16"/>
                <w:szCs w:val="16"/>
                <w:lang w:eastAsia="pt-BR"/>
              </w:rPr>
              <w:t>%)</w:t>
            </w:r>
          </w:p>
        </w:tc>
        <w:tc>
          <w:tcPr>
            <w:tcW w:w="1492" w:type="dxa"/>
            <w:tcBorders>
              <w:top w:val="nil"/>
              <w:left w:val="nil"/>
              <w:bottom w:val="nil"/>
              <w:right w:val="nil"/>
            </w:tcBorders>
            <w:shd w:val="clear" w:color="000000" w:fill="FFF2CC"/>
            <w:vAlign w:val="bottom"/>
            <w:hideMark/>
          </w:tcPr>
          <w:p w:rsidR="00AB58B9" w:rsidRDefault="00AB58B9" w:rsidP="00AB58B9">
            <w:pPr>
              <w:spacing w:after="0" w:line="240" w:lineRule="auto"/>
              <w:jc w:val="center"/>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Recursos públicos</w:t>
            </w:r>
            <w:r w:rsidR="004F7380">
              <w:rPr>
                <w:rFonts w:ascii="Arial" w:eastAsia="Times New Roman" w:hAnsi="Arial" w:cs="Arial"/>
                <w:b/>
                <w:bCs/>
                <w:sz w:val="16"/>
                <w:szCs w:val="16"/>
                <w:lang w:eastAsia="pt-BR"/>
              </w:rPr>
              <w:t xml:space="preserve"> (</w:t>
            </w:r>
            <w:proofErr w:type="spellStart"/>
            <w:r w:rsidR="004F7380">
              <w:rPr>
                <w:rFonts w:ascii="Arial" w:eastAsia="Times New Roman" w:hAnsi="Arial" w:cs="Arial"/>
                <w:b/>
                <w:bCs/>
                <w:sz w:val="16"/>
                <w:szCs w:val="16"/>
                <w:lang w:eastAsia="pt-BR"/>
              </w:rPr>
              <w:t>desp</w:t>
            </w:r>
            <w:proofErr w:type="spellEnd"/>
            <w:r w:rsidR="004F7380">
              <w:rPr>
                <w:rFonts w:ascii="Arial" w:eastAsia="Times New Roman" w:hAnsi="Arial" w:cs="Arial"/>
                <w:b/>
                <w:bCs/>
                <w:sz w:val="16"/>
                <w:szCs w:val="16"/>
                <w:lang w:eastAsia="pt-BR"/>
              </w:rPr>
              <w:t xml:space="preserve"> </w:t>
            </w:r>
            <w:r w:rsidR="00AC6ADE">
              <w:rPr>
                <w:rFonts w:ascii="Arial" w:eastAsia="Times New Roman" w:hAnsi="Arial" w:cs="Arial"/>
                <w:b/>
                <w:bCs/>
                <w:sz w:val="16"/>
                <w:szCs w:val="16"/>
                <w:lang w:eastAsia="pt-BR"/>
              </w:rPr>
              <w:t>compulsó</w:t>
            </w:r>
            <w:r w:rsidR="004F7380">
              <w:rPr>
                <w:rFonts w:ascii="Arial" w:eastAsia="Times New Roman" w:hAnsi="Arial" w:cs="Arial"/>
                <w:b/>
                <w:bCs/>
                <w:sz w:val="16"/>
                <w:szCs w:val="16"/>
                <w:lang w:eastAsia="pt-BR"/>
              </w:rPr>
              <w:t>rias)</w:t>
            </w:r>
          </w:p>
          <w:p w:rsidR="00406C96" w:rsidRPr="00AB58B9" w:rsidRDefault="00406C96" w:rsidP="00AB58B9">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w:t>
            </w:r>
          </w:p>
        </w:tc>
        <w:tc>
          <w:tcPr>
            <w:tcW w:w="1591" w:type="dxa"/>
            <w:tcBorders>
              <w:top w:val="nil"/>
              <w:left w:val="nil"/>
              <w:bottom w:val="nil"/>
              <w:right w:val="nil"/>
            </w:tcBorders>
            <w:shd w:val="clear" w:color="000000" w:fill="FFF2CC"/>
            <w:vAlign w:val="bottom"/>
            <w:hideMark/>
          </w:tcPr>
          <w:p w:rsidR="00AB58B9" w:rsidRDefault="00AB58B9" w:rsidP="00AB58B9">
            <w:pPr>
              <w:spacing w:after="0" w:line="240" w:lineRule="auto"/>
              <w:jc w:val="center"/>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Contribuições voluntárias</w:t>
            </w:r>
          </w:p>
          <w:p w:rsidR="00406C96" w:rsidRPr="00AB58B9" w:rsidRDefault="00406C96" w:rsidP="00AB58B9">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w:t>
            </w:r>
          </w:p>
        </w:tc>
        <w:tc>
          <w:tcPr>
            <w:tcW w:w="0" w:type="auto"/>
            <w:tcBorders>
              <w:top w:val="nil"/>
              <w:left w:val="nil"/>
              <w:bottom w:val="nil"/>
              <w:right w:val="nil"/>
            </w:tcBorders>
            <w:shd w:val="clear" w:color="000000" w:fill="FFF2CC"/>
            <w:vAlign w:val="bottom"/>
            <w:hideMark/>
          </w:tcPr>
          <w:p w:rsidR="00AB58B9" w:rsidRDefault="00AB58B9" w:rsidP="00AB58B9">
            <w:pPr>
              <w:spacing w:after="0" w:line="240" w:lineRule="auto"/>
              <w:jc w:val="center"/>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Seguro saúde voluntário</w:t>
            </w:r>
          </w:p>
          <w:p w:rsidR="00406C96" w:rsidRPr="00AB58B9" w:rsidRDefault="00406C96" w:rsidP="00AB58B9">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w:t>
            </w:r>
          </w:p>
        </w:tc>
        <w:tc>
          <w:tcPr>
            <w:tcW w:w="0" w:type="auto"/>
            <w:tcBorders>
              <w:top w:val="nil"/>
              <w:left w:val="nil"/>
              <w:bottom w:val="nil"/>
              <w:right w:val="nil"/>
            </w:tcBorders>
            <w:shd w:val="clear" w:color="000000" w:fill="FFF2CC"/>
            <w:vAlign w:val="bottom"/>
            <w:hideMark/>
          </w:tcPr>
          <w:p w:rsidR="00AB58B9" w:rsidRDefault="00AB58B9" w:rsidP="00AB58B9">
            <w:pPr>
              <w:spacing w:after="0" w:line="240" w:lineRule="auto"/>
              <w:jc w:val="center"/>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Desembolso direto</w:t>
            </w:r>
          </w:p>
          <w:p w:rsidR="00406C96" w:rsidRPr="00AB58B9" w:rsidRDefault="00406C96" w:rsidP="00AB58B9">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(5)</w:t>
            </w:r>
          </w:p>
        </w:tc>
        <w:tc>
          <w:tcPr>
            <w:tcW w:w="0" w:type="auto"/>
            <w:tcBorders>
              <w:top w:val="nil"/>
              <w:left w:val="nil"/>
              <w:bottom w:val="nil"/>
              <w:right w:val="nil"/>
            </w:tcBorders>
            <w:shd w:val="clear" w:color="000000" w:fill="FFF2CC"/>
            <w:vAlign w:val="bottom"/>
            <w:hideMark/>
          </w:tcPr>
          <w:p w:rsidR="00AB58B9" w:rsidRDefault="00AB58B9" w:rsidP="00AB58B9">
            <w:pPr>
              <w:spacing w:after="0" w:line="240" w:lineRule="auto"/>
              <w:jc w:val="center"/>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Recursos privados</w:t>
            </w:r>
          </w:p>
          <w:p w:rsidR="00406C96" w:rsidRPr="00AB58B9" w:rsidRDefault="00406C96" w:rsidP="00AB58B9">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w:t>
            </w:r>
          </w:p>
        </w:tc>
      </w:tr>
      <w:tr w:rsidR="00AC6ADE" w:rsidRPr="00920E8B" w:rsidTr="004F7380">
        <w:trPr>
          <w:trHeight w:val="660"/>
        </w:trPr>
        <w:tc>
          <w:tcPr>
            <w:tcW w:w="0" w:type="auto"/>
            <w:tcBorders>
              <w:top w:val="nil"/>
              <w:left w:val="nil"/>
              <w:bottom w:val="nil"/>
              <w:right w:val="nil"/>
            </w:tcBorders>
            <w:shd w:val="clear" w:color="auto" w:fill="auto"/>
            <w:noWrap/>
            <w:vAlign w:val="bottom"/>
            <w:hideMark/>
          </w:tcPr>
          <w:p w:rsidR="00053E0C" w:rsidRDefault="00AB58B9" w:rsidP="00AB58B9">
            <w:pPr>
              <w:spacing w:after="0" w:line="240" w:lineRule="auto"/>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Reino Unido</w:t>
            </w:r>
            <w:r w:rsidR="00053E0C">
              <w:rPr>
                <w:rFonts w:ascii="Arial" w:eastAsia="Times New Roman" w:hAnsi="Arial" w:cs="Arial"/>
                <w:b/>
                <w:bCs/>
                <w:sz w:val="16"/>
                <w:szCs w:val="16"/>
                <w:lang w:eastAsia="pt-BR"/>
              </w:rPr>
              <w:t xml:space="preserve"> </w:t>
            </w:r>
          </w:p>
          <w:p w:rsidR="00AB58B9" w:rsidRPr="00AB58B9" w:rsidRDefault="00053E0C" w:rsidP="00AB58B9">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(Serviço Nacional de Saúde)</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4</w:t>
            </w:r>
            <w:r w:rsidR="002D4FD8">
              <w:rPr>
                <w:rFonts w:ascii="Arial" w:eastAsia="Times New Roman" w:hAnsi="Arial" w:cs="Arial"/>
                <w:sz w:val="16"/>
                <w:szCs w:val="16"/>
                <w:lang w:eastAsia="pt-BR"/>
              </w:rPr>
              <w:t>.</w:t>
            </w:r>
            <w:r w:rsidRPr="00920E8B">
              <w:rPr>
                <w:rFonts w:ascii="Arial" w:eastAsia="Times New Roman" w:hAnsi="Arial" w:cs="Arial"/>
                <w:sz w:val="16"/>
                <w:szCs w:val="16"/>
                <w:lang w:eastAsia="pt-BR"/>
              </w:rPr>
              <w:t>144,60</w:t>
            </w: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9,79</w:t>
            </w: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18,55</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80,00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0,00</w:t>
            </w:r>
          </w:p>
        </w:tc>
        <w:tc>
          <w:tcPr>
            <w:tcW w:w="1492"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80,00</w:t>
            </w:r>
          </w:p>
        </w:tc>
        <w:tc>
          <w:tcPr>
            <w:tcW w:w="1591"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5,00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3,00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15,00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20,00</w:t>
            </w:r>
          </w:p>
        </w:tc>
      </w:tr>
      <w:tr w:rsidR="00AC6ADE" w:rsidRPr="00920E8B" w:rsidTr="004F7380">
        <w:trPr>
          <w:trHeight w:val="240"/>
        </w:trPr>
        <w:tc>
          <w:tcPr>
            <w:tcW w:w="0" w:type="auto"/>
            <w:tcBorders>
              <w:top w:val="nil"/>
              <w:left w:val="nil"/>
              <w:bottom w:val="nil"/>
              <w:right w:val="nil"/>
            </w:tcBorders>
            <w:shd w:val="clear" w:color="auto" w:fill="auto"/>
            <w:noWrap/>
            <w:vAlign w:val="bottom"/>
            <w:hideMark/>
          </w:tcPr>
          <w:p w:rsidR="00AB58B9" w:rsidRPr="00AB58B9" w:rsidRDefault="00AB58B9" w:rsidP="00AB58B9">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1492"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1591"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r>
      <w:tr w:rsidR="00AC6ADE" w:rsidRPr="00920E8B" w:rsidTr="004F7380">
        <w:trPr>
          <w:trHeight w:val="600"/>
        </w:trPr>
        <w:tc>
          <w:tcPr>
            <w:tcW w:w="0" w:type="auto"/>
            <w:tcBorders>
              <w:top w:val="nil"/>
              <w:left w:val="nil"/>
              <w:bottom w:val="nil"/>
              <w:right w:val="nil"/>
            </w:tcBorders>
            <w:shd w:val="clear" w:color="auto" w:fill="auto"/>
            <w:noWrap/>
            <w:vAlign w:val="bottom"/>
            <w:hideMark/>
          </w:tcPr>
          <w:p w:rsidR="00AB58B9" w:rsidRDefault="00AB58B9" w:rsidP="00AB58B9">
            <w:pPr>
              <w:spacing w:after="0" w:line="240" w:lineRule="auto"/>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Canadá</w:t>
            </w:r>
          </w:p>
          <w:p w:rsidR="00053E0C" w:rsidRPr="00AB58B9" w:rsidRDefault="00053E0C" w:rsidP="00AB58B9">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(Seguro Saúde Nacional)</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4</w:t>
            </w:r>
            <w:r w:rsidR="002D4FD8">
              <w:rPr>
                <w:rFonts w:ascii="Arial" w:eastAsia="Times New Roman" w:hAnsi="Arial" w:cs="Arial"/>
                <w:sz w:val="16"/>
                <w:szCs w:val="16"/>
                <w:lang w:eastAsia="pt-BR"/>
              </w:rPr>
              <w:t>.</w:t>
            </w:r>
            <w:r w:rsidRPr="00920E8B">
              <w:rPr>
                <w:rFonts w:ascii="Arial" w:eastAsia="Times New Roman" w:hAnsi="Arial" w:cs="Arial"/>
                <w:sz w:val="16"/>
                <w:szCs w:val="16"/>
                <w:lang w:eastAsia="pt-BR"/>
              </w:rPr>
              <w:t>600,09</w:t>
            </w: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10,38</w:t>
            </w: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19,16</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69,00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1,50</w:t>
            </w:r>
          </w:p>
        </w:tc>
        <w:tc>
          <w:tcPr>
            <w:tcW w:w="1492"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70,50</w:t>
            </w:r>
          </w:p>
        </w:tc>
        <w:tc>
          <w:tcPr>
            <w:tcW w:w="1591"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15,00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13,00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14,50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29,50</w:t>
            </w:r>
          </w:p>
        </w:tc>
      </w:tr>
      <w:tr w:rsidR="00AC6ADE" w:rsidRPr="00920E8B" w:rsidTr="004F7380">
        <w:trPr>
          <w:trHeight w:val="255"/>
        </w:trPr>
        <w:tc>
          <w:tcPr>
            <w:tcW w:w="0" w:type="auto"/>
            <w:tcBorders>
              <w:top w:val="nil"/>
              <w:left w:val="nil"/>
              <w:bottom w:val="nil"/>
              <w:right w:val="nil"/>
            </w:tcBorders>
            <w:shd w:val="clear" w:color="auto" w:fill="auto"/>
            <w:noWrap/>
            <w:vAlign w:val="bottom"/>
            <w:hideMark/>
          </w:tcPr>
          <w:p w:rsidR="00AB58B9" w:rsidRPr="00AB58B9" w:rsidRDefault="00AB58B9" w:rsidP="00AB58B9">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1492"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1591"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r>
      <w:tr w:rsidR="00AC6ADE" w:rsidRPr="00920E8B" w:rsidTr="004F7380">
        <w:trPr>
          <w:trHeight w:val="435"/>
        </w:trPr>
        <w:tc>
          <w:tcPr>
            <w:tcW w:w="0" w:type="auto"/>
            <w:tcBorders>
              <w:top w:val="nil"/>
              <w:left w:val="nil"/>
              <w:bottom w:val="nil"/>
              <w:right w:val="nil"/>
            </w:tcBorders>
            <w:shd w:val="clear" w:color="auto" w:fill="auto"/>
            <w:noWrap/>
            <w:vAlign w:val="bottom"/>
            <w:hideMark/>
          </w:tcPr>
          <w:p w:rsidR="00AB58B9" w:rsidRDefault="00AB58B9" w:rsidP="00AB58B9">
            <w:pPr>
              <w:spacing w:after="0" w:line="240" w:lineRule="auto"/>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Estados Unidos</w:t>
            </w:r>
          </w:p>
          <w:p w:rsidR="00053E0C" w:rsidRPr="00AB58B9" w:rsidRDefault="00053E0C" w:rsidP="00AB58B9">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(Sistema privado de saúde)</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9</w:t>
            </w:r>
            <w:r w:rsidR="002D4FD8">
              <w:rPr>
                <w:rFonts w:ascii="Arial" w:eastAsia="Times New Roman" w:hAnsi="Arial" w:cs="Arial"/>
                <w:sz w:val="16"/>
                <w:szCs w:val="16"/>
                <w:lang w:eastAsia="pt-BR"/>
              </w:rPr>
              <w:t>.</w:t>
            </w:r>
            <w:r w:rsidRPr="00920E8B">
              <w:rPr>
                <w:rFonts w:ascii="Arial" w:eastAsia="Times New Roman" w:hAnsi="Arial" w:cs="Arial"/>
                <w:sz w:val="16"/>
                <w:szCs w:val="16"/>
                <w:lang w:eastAsia="pt-BR"/>
              </w:rPr>
              <w:t>535,95</w:t>
            </w: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16,82</w:t>
            </w: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36,64</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27,00</w:t>
            </w:r>
          </w:p>
        </w:tc>
        <w:tc>
          <w:tcPr>
            <w:tcW w:w="0" w:type="auto"/>
            <w:tcBorders>
              <w:top w:val="nil"/>
              <w:left w:val="nil"/>
              <w:bottom w:val="nil"/>
              <w:right w:val="nil"/>
            </w:tcBorders>
            <w:shd w:val="clear" w:color="auto" w:fill="auto"/>
            <w:noWrap/>
            <w:vAlign w:val="center"/>
            <w:hideMark/>
          </w:tcPr>
          <w:p w:rsidR="00AB58B9"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55,00</w:t>
            </w:r>
          </w:p>
          <w:p w:rsidR="00AC6ADE" w:rsidRPr="00920E8B" w:rsidRDefault="00AC6ADE" w:rsidP="00AB58B9">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(23% seguro social)</w:t>
            </w:r>
          </w:p>
        </w:tc>
        <w:tc>
          <w:tcPr>
            <w:tcW w:w="1492"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82,00</w:t>
            </w:r>
          </w:p>
        </w:tc>
        <w:tc>
          <w:tcPr>
            <w:tcW w:w="1591"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7,00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3,00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11,00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18,00</w:t>
            </w:r>
          </w:p>
        </w:tc>
      </w:tr>
      <w:tr w:rsidR="00AC6ADE" w:rsidRPr="00920E8B" w:rsidTr="004F7380">
        <w:trPr>
          <w:trHeight w:val="180"/>
        </w:trPr>
        <w:tc>
          <w:tcPr>
            <w:tcW w:w="0" w:type="auto"/>
            <w:tcBorders>
              <w:top w:val="nil"/>
              <w:left w:val="nil"/>
              <w:bottom w:val="nil"/>
              <w:right w:val="nil"/>
            </w:tcBorders>
            <w:shd w:val="clear" w:color="auto" w:fill="auto"/>
            <w:noWrap/>
            <w:vAlign w:val="bottom"/>
            <w:hideMark/>
          </w:tcPr>
          <w:p w:rsidR="00AB58B9" w:rsidRPr="00AB58B9" w:rsidRDefault="00AB58B9" w:rsidP="00AB58B9">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1492"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1591"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r>
      <w:tr w:rsidR="00AC6ADE" w:rsidRPr="00920E8B" w:rsidTr="004F7380">
        <w:trPr>
          <w:trHeight w:val="570"/>
        </w:trPr>
        <w:tc>
          <w:tcPr>
            <w:tcW w:w="0" w:type="auto"/>
            <w:tcBorders>
              <w:top w:val="nil"/>
              <w:left w:val="nil"/>
              <w:bottom w:val="nil"/>
              <w:right w:val="nil"/>
            </w:tcBorders>
            <w:shd w:val="clear" w:color="auto" w:fill="auto"/>
            <w:noWrap/>
            <w:vAlign w:val="bottom"/>
            <w:hideMark/>
          </w:tcPr>
          <w:p w:rsidR="00AB58B9" w:rsidRDefault="00AB58B9" w:rsidP="00AB58B9">
            <w:pPr>
              <w:spacing w:after="0" w:line="240" w:lineRule="auto"/>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Alemanha</w:t>
            </w:r>
          </w:p>
          <w:p w:rsidR="00053E0C" w:rsidRPr="00AB58B9" w:rsidRDefault="00053E0C" w:rsidP="00AB58B9">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(Seguro Saúde Social)</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5</w:t>
            </w:r>
            <w:r w:rsidR="002D4FD8">
              <w:rPr>
                <w:rFonts w:ascii="Arial" w:eastAsia="Times New Roman" w:hAnsi="Arial" w:cs="Arial"/>
                <w:sz w:val="16"/>
                <w:szCs w:val="16"/>
                <w:lang w:eastAsia="pt-BR"/>
              </w:rPr>
              <w:t>.</w:t>
            </w:r>
            <w:r w:rsidRPr="00920E8B">
              <w:rPr>
                <w:rFonts w:ascii="Arial" w:eastAsia="Times New Roman" w:hAnsi="Arial" w:cs="Arial"/>
                <w:sz w:val="16"/>
                <w:szCs w:val="16"/>
                <w:lang w:eastAsia="pt-BR"/>
              </w:rPr>
              <w:t>356,81</w:t>
            </w: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11,08</w:t>
            </w: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21,30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7,00</w:t>
            </w:r>
          </w:p>
        </w:tc>
        <w:tc>
          <w:tcPr>
            <w:tcW w:w="0" w:type="auto"/>
            <w:tcBorders>
              <w:top w:val="nil"/>
              <w:left w:val="nil"/>
              <w:bottom w:val="nil"/>
              <w:right w:val="nil"/>
            </w:tcBorders>
            <w:shd w:val="clear" w:color="auto" w:fill="auto"/>
            <w:noWrap/>
            <w:vAlign w:val="center"/>
            <w:hideMark/>
          </w:tcPr>
          <w:p w:rsidR="00AB58B9"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77,50</w:t>
            </w:r>
          </w:p>
          <w:p w:rsidR="00E83662" w:rsidRPr="00920E8B" w:rsidRDefault="00E83662" w:rsidP="00AB58B9">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 xml:space="preserve">(70% </w:t>
            </w:r>
            <w:proofErr w:type="spellStart"/>
            <w:r>
              <w:rPr>
                <w:rFonts w:ascii="Arial" w:eastAsia="Times New Roman" w:hAnsi="Arial" w:cs="Arial"/>
                <w:sz w:val="16"/>
                <w:szCs w:val="16"/>
                <w:lang w:eastAsia="pt-BR"/>
              </w:rPr>
              <w:t>seg</w:t>
            </w:r>
            <w:proofErr w:type="spellEnd"/>
            <w:r>
              <w:rPr>
                <w:rFonts w:ascii="Arial" w:eastAsia="Times New Roman" w:hAnsi="Arial" w:cs="Arial"/>
                <w:sz w:val="16"/>
                <w:szCs w:val="16"/>
                <w:lang w:eastAsia="pt-BR"/>
              </w:rPr>
              <w:t xml:space="preserve"> social)</w:t>
            </w:r>
          </w:p>
        </w:tc>
        <w:tc>
          <w:tcPr>
            <w:tcW w:w="1492"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84,50</w:t>
            </w:r>
          </w:p>
        </w:tc>
        <w:tc>
          <w:tcPr>
            <w:tcW w:w="1591"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2,50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1,00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13,00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15,50</w:t>
            </w:r>
          </w:p>
        </w:tc>
      </w:tr>
      <w:tr w:rsidR="00AC6ADE" w:rsidRPr="00920E8B" w:rsidTr="004F7380">
        <w:trPr>
          <w:trHeight w:val="255"/>
        </w:trPr>
        <w:tc>
          <w:tcPr>
            <w:tcW w:w="0" w:type="auto"/>
            <w:tcBorders>
              <w:top w:val="nil"/>
              <w:left w:val="nil"/>
              <w:bottom w:val="nil"/>
              <w:right w:val="nil"/>
            </w:tcBorders>
            <w:shd w:val="clear" w:color="auto" w:fill="auto"/>
            <w:noWrap/>
            <w:vAlign w:val="bottom"/>
            <w:hideMark/>
          </w:tcPr>
          <w:p w:rsidR="00AB58B9" w:rsidRPr="00AB58B9" w:rsidRDefault="00AB58B9" w:rsidP="00AB58B9">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1492"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1591"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Times New Roman" w:eastAsia="Times New Roman" w:hAnsi="Times New Roman" w:cs="Times New Roman"/>
                <w:sz w:val="16"/>
                <w:szCs w:val="16"/>
                <w:lang w:eastAsia="pt-BR"/>
              </w:rPr>
            </w:pPr>
          </w:p>
        </w:tc>
      </w:tr>
      <w:tr w:rsidR="00AC6ADE" w:rsidRPr="00920E8B" w:rsidTr="004F7380">
        <w:trPr>
          <w:trHeight w:val="510"/>
        </w:trPr>
        <w:tc>
          <w:tcPr>
            <w:tcW w:w="0" w:type="auto"/>
            <w:tcBorders>
              <w:top w:val="nil"/>
              <w:left w:val="nil"/>
              <w:bottom w:val="nil"/>
              <w:right w:val="nil"/>
            </w:tcBorders>
            <w:shd w:val="clear" w:color="auto" w:fill="auto"/>
            <w:noWrap/>
            <w:vAlign w:val="bottom"/>
            <w:hideMark/>
          </w:tcPr>
          <w:p w:rsidR="00AB58B9" w:rsidRDefault="00AB58B9" w:rsidP="00AB58B9">
            <w:pPr>
              <w:spacing w:after="0" w:line="240" w:lineRule="auto"/>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França</w:t>
            </w:r>
          </w:p>
          <w:p w:rsidR="00053E0C" w:rsidRPr="00AB58B9" w:rsidRDefault="00053E0C" w:rsidP="00AB58B9">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(Seguro Saúde Social Estatal)</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4</w:t>
            </w:r>
            <w:r w:rsidR="002D4FD8">
              <w:rPr>
                <w:rFonts w:ascii="Arial" w:eastAsia="Times New Roman" w:hAnsi="Arial" w:cs="Arial"/>
                <w:sz w:val="16"/>
                <w:szCs w:val="16"/>
                <w:lang w:eastAsia="pt-BR"/>
              </w:rPr>
              <w:t>.</w:t>
            </w:r>
            <w:r w:rsidRPr="00920E8B">
              <w:rPr>
                <w:rFonts w:ascii="Arial" w:eastAsia="Times New Roman" w:hAnsi="Arial" w:cs="Arial"/>
                <w:sz w:val="16"/>
                <w:szCs w:val="16"/>
                <w:lang w:eastAsia="pt-BR"/>
              </w:rPr>
              <w:t>542,31</w:t>
            </w: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11,50</w:t>
            </w:r>
          </w:p>
        </w:tc>
        <w:tc>
          <w:tcPr>
            <w:tcW w:w="0" w:type="auto"/>
            <w:tcBorders>
              <w:top w:val="nil"/>
              <w:left w:val="nil"/>
              <w:bottom w:val="nil"/>
              <w:right w:val="nil"/>
            </w:tcBorders>
            <w:shd w:val="clear" w:color="auto" w:fill="auto"/>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15,54</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5,00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71,00</w:t>
            </w:r>
          </w:p>
        </w:tc>
        <w:tc>
          <w:tcPr>
            <w:tcW w:w="1492"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76,00</w:t>
            </w:r>
          </w:p>
        </w:tc>
        <w:tc>
          <w:tcPr>
            <w:tcW w:w="1591" w:type="dxa"/>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14,00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13,00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10,00</w:t>
            </w:r>
          </w:p>
        </w:tc>
        <w:tc>
          <w:tcPr>
            <w:tcW w:w="0" w:type="auto"/>
            <w:tcBorders>
              <w:top w:val="nil"/>
              <w:left w:val="nil"/>
              <w:bottom w:val="nil"/>
              <w:right w:val="nil"/>
            </w:tcBorders>
            <w:shd w:val="clear" w:color="auto" w:fill="auto"/>
            <w:noWrap/>
            <w:vAlign w:val="center"/>
            <w:hideMark/>
          </w:tcPr>
          <w:p w:rsidR="00AB58B9" w:rsidRPr="00920E8B" w:rsidRDefault="00AB58B9" w:rsidP="00AB58B9">
            <w:pPr>
              <w:spacing w:after="0" w:line="240" w:lineRule="auto"/>
              <w:jc w:val="center"/>
              <w:rPr>
                <w:rFonts w:ascii="Arial" w:eastAsia="Times New Roman" w:hAnsi="Arial" w:cs="Arial"/>
                <w:sz w:val="16"/>
                <w:szCs w:val="16"/>
                <w:lang w:eastAsia="pt-BR"/>
              </w:rPr>
            </w:pPr>
            <w:r w:rsidRPr="00920E8B">
              <w:rPr>
                <w:rFonts w:ascii="Arial" w:eastAsia="Times New Roman" w:hAnsi="Arial" w:cs="Arial"/>
                <w:sz w:val="16"/>
                <w:szCs w:val="16"/>
                <w:lang w:eastAsia="pt-BR"/>
              </w:rPr>
              <w:t>24,00</w:t>
            </w:r>
          </w:p>
        </w:tc>
      </w:tr>
      <w:tr w:rsidR="00AC6ADE" w:rsidRPr="00920E8B" w:rsidTr="004F7380">
        <w:trPr>
          <w:trHeight w:val="231"/>
        </w:trPr>
        <w:tc>
          <w:tcPr>
            <w:tcW w:w="0" w:type="auto"/>
            <w:tcBorders>
              <w:top w:val="nil"/>
              <w:left w:val="nil"/>
              <w:bottom w:val="nil"/>
              <w:right w:val="nil"/>
            </w:tcBorders>
            <w:shd w:val="clear" w:color="auto" w:fill="auto"/>
            <w:noWrap/>
            <w:vAlign w:val="bottom"/>
          </w:tcPr>
          <w:p w:rsidR="00E51FE4" w:rsidRPr="00AB58B9" w:rsidRDefault="00E51FE4" w:rsidP="00AB58B9">
            <w:pPr>
              <w:spacing w:after="0" w:line="240" w:lineRule="auto"/>
              <w:rPr>
                <w:rFonts w:ascii="Arial" w:eastAsia="Times New Roman" w:hAnsi="Arial" w:cs="Arial"/>
                <w:b/>
                <w:bCs/>
                <w:sz w:val="16"/>
                <w:szCs w:val="16"/>
                <w:lang w:eastAsia="pt-BR"/>
              </w:rPr>
            </w:pPr>
          </w:p>
        </w:tc>
        <w:tc>
          <w:tcPr>
            <w:tcW w:w="0" w:type="auto"/>
            <w:tcBorders>
              <w:top w:val="nil"/>
              <w:left w:val="nil"/>
              <w:bottom w:val="nil"/>
              <w:right w:val="nil"/>
            </w:tcBorders>
            <w:shd w:val="clear" w:color="auto" w:fill="auto"/>
            <w:noWrap/>
            <w:vAlign w:val="center"/>
          </w:tcPr>
          <w:p w:rsidR="00E51FE4" w:rsidRPr="00920E8B" w:rsidRDefault="00E51FE4" w:rsidP="00AB58B9">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vAlign w:val="center"/>
          </w:tcPr>
          <w:p w:rsidR="00E51FE4" w:rsidRPr="00920E8B" w:rsidRDefault="00E51FE4" w:rsidP="00AB58B9">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vAlign w:val="center"/>
          </w:tcPr>
          <w:p w:rsidR="00E51FE4" w:rsidRPr="00920E8B" w:rsidRDefault="00E51FE4" w:rsidP="00AB58B9">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tcPr>
          <w:p w:rsidR="00E51FE4" w:rsidRPr="00920E8B" w:rsidRDefault="00E51FE4" w:rsidP="00AB58B9">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tcPr>
          <w:p w:rsidR="00E51FE4" w:rsidRPr="00920E8B" w:rsidRDefault="00E51FE4" w:rsidP="00AB58B9">
            <w:pPr>
              <w:spacing w:after="0" w:line="240" w:lineRule="auto"/>
              <w:jc w:val="center"/>
              <w:rPr>
                <w:rFonts w:ascii="Arial" w:eastAsia="Times New Roman" w:hAnsi="Arial" w:cs="Arial"/>
                <w:sz w:val="16"/>
                <w:szCs w:val="16"/>
                <w:lang w:eastAsia="pt-BR"/>
              </w:rPr>
            </w:pPr>
          </w:p>
        </w:tc>
        <w:tc>
          <w:tcPr>
            <w:tcW w:w="1492" w:type="dxa"/>
            <w:tcBorders>
              <w:top w:val="nil"/>
              <w:left w:val="nil"/>
              <w:bottom w:val="nil"/>
              <w:right w:val="nil"/>
            </w:tcBorders>
            <w:shd w:val="clear" w:color="auto" w:fill="auto"/>
            <w:noWrap/>
            <w:vAlign w:val="center"/>
          </w:tcPr>
          <w:p w:rsidR="00E51FE4" w:rsidRPr="00920E8B" w:rsidRDefault="00E51FE4" w:rsidP="00AB58B9">
            <w:pPr>
              <w:spacing w:after="0" w:line="240" w:lineRule="auto"/>
              <w:jc w:val="center"/>
              <w:rPr>
                <w:rFonts w:ascii="Arial" w:eastAsia="Times New Roman" w:hAnsi="Arial" w:cs="Arial"/>
                <w:sz w:val="16"/>
                <w:szCs w:val="16"/>
                <w:lang w:eastAsia="pt-BR"/>
              </w:rPr>
            </w:pPr>
          </w:p>
        </w:tc>
        <w:tc>
          <w:tcPr>
            <w:tcW w:w="1591" w:type="dxa"/>
            <w:tcBorders>
              <w:top w:val="nil"/>
              <w:left w:val="nil"/>
              <w:bottom w:val="nil"/>
              <w:right w:val="nil"/>
            </w:tcBorders>
            <w:shd w:val="clear" w:color="auto" w:fill="auto"/>
            <w:noWrap/>
            <w:vAlign w:val="center"/>
          </w:tcPr>
          <w:p w:rsidR="00E51FE4" w:rsidRPr="00920E8B" w:rsidRDefault="00E51FE4" w:rsidP="00AB58B9">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tcPr>
          <w:p w:rsidR="00E51FE4" w:rsidRPr="00920E8B" w:rsidRDefault="00E51FE4" w:rsidP="00AB58B9">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tcPr>
          <w:p w:rsidR="00E51FE4" w:rsidRPr="00920E8B" w:rsidRDefault="00E51FE4" w:rsidP="00AB58B9">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tcPr>
          <w:p w:rsidR="00E51FE4" w:rsidRPr="00920E8B" w:rsidRDefault="00E51FE4" w:rsidP="00AB58B9">
            <w:pPr>
              <w:spacing w:after="0" w:line="240" w:lineRule="auto"/>
              <w:jc w:val="center"/>
              <w:rPr>
                <w:rFonts w:ascii="Arial" w:eastAsia="Times New Roman" w:hAnsi="Arial" w:cs="Arial"/>
                <w:sz w:val="16"/>
                <w:szCs w:val="16"/>
                <w:lang w:eastAsia="pt-BR"/>
              </w:rPr>
            </w:pPr>
          </w:p>
        </w:tc>
      </w:tr>
      <w:tr w:rsidR="00AC6ADE" w:rsidRPr="00920E8B" w:rsidTr="00E21D06">
        <w:trPr>
          <w:trHeight w:val="510"/>
        </w:trPr>
        <w:tc>
          <w:tcPr>
            <w:tcW w:w="0" w:type="auto"/>
            <w:tcBorders>
              <w:top w:val="nil"/>
              <w:left w:val="nil"/>
              <w:bottom w:val="nil"/>
              <w:right w:val="nil"/>
            </w:tcBorders>
            <w:shd w:val="clear" w:color="auto" w:fill="E2EFD9" w:themeFill="accent6" w:themeFillTint="33"/>
            <w:noWrap/>
            <w:vAlign w:val="bottom"/>
          </w:tcPr>
          <w:p w:rsidR="00E51FE4" w:rsidRPr="00AB58B9" w:rsidRDefault="004C1724" w:rsidP="004C1724">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BRASIL</w:t>
            </w:r>
          </w:p>
        </w:tc>
        <w:tc>
          <w:tcPr>
            <w:tcW w:w="0" w:type="auto"/>
            <w:tcBorders>
              <w:top w:val="nil"/>
              <w:left w:val="nil"/>
              <w:bottom w:val="nil"/>
              <w:right w:val="nil"/>
            </w:tcBorders>
            <w:shd w:val="clear" w:color="auto" w:fill="E2EFD9" w:themeFill="accent6" w:themeFillTint="33"/>
            <w:noWrap/>
            <w:vAlign w:val="center"/>
          </w:tcPr>
          <w:p w:rsidR="00E51FE4" w:rsidRPr="00920E8B" w:rsidRDefault="00E21D06" w:rsidP="00AB58B9">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1.391,52</w:t>
            </w:r>
          </w:p>
        </w:tc>
        <w:tc>
          <w:tcPr>
            <w:tcW w:w="0" w:type="auto"/>
            <w:tcBorders>
              <w:top w:val="nil"/>
              <w:left w:val="nil"/>
              <w:bottom w:val="nil"/>
              <w:right w:val="nil"/>
            </w:tcBorders>
            <w:shd w:val="clear" w:color="auto" w:fill="E2EFD9" w:themeFill="accent6" w:themeFillTint="33"/>
            <w:vAlign w:val="center"/>
          </w:tcPr>
          <w:p w:rsidR="00E51FE4" w:rsidRPr="00920E8B" w:rsidRDefault="00E21D06" w:rsidP="00AB58B9">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8,87</w:t>
            </w:r>
          </w:p>
        </w:tc>
        <w:tc>
          <w:tcPr>
            <w:tcW w:w="0" w:type="auto"/>
            <w:tcBorders>
              <w:top w:val="nil"/>
              <w:left w:val="nil"/>
              <w:bottom w:val="nil"/>
              <w:right w:val="nil"/>
            </w:tcBorders>
            <w:shd w:val="clear" w:color="auto" w:fill="E2EFD9" w:themeFill="accent6" w:themeFillTint="33"/>
            <w:vAlign w:val="center"/>
          </w:tcPr>
          <w:p w:rsidR="00E51FE4" w:rsidRPr="00920E8B" w:rsidRDefault="00E21D06" w:rsidP="00AB58B9">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9,74</w:t>
            </w:r>
          </w:p>
        </w:tc>
        <w:tc>
          <w:tcPr>
            <w:tcW w:w="0" w:type="auto"/>
            <w:tcBorders>
              <w:top w:val="nil"/>
              <w:left w:val="nil"/>
              <w:bottom w:val="nil"/>
              <w:right w:val="nil"/>
            </w:tcBorders>
            <w:shd w:val="clear" w:color="auto" w:fill="E2EFD9" w:themeFill="accent6" w:themeFillTint="33"/>
            <w:noWrap/>
            <w:vAlign w:val="center"/>
          </w:tcPr>
          <w:p w:rsidR="00E51FE4" w:rsidRPr="00920E8B" w:rsidRDefault="003E7443" w:rsidP="00AB58B9">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33,00</w:t>
            </w:r>
          </w:p>
        </w:tc>
        <w:tc>
          <w:tcPr>
            <w:tcW w:w="0" w:type="auto"/>
            <w:tcBorders>
              <w:top w:val="nil"/>
              <w:left w:val="nil"/>
              <w:bottom w:val="nil"/>
              <w:right w:val="nil"/>
            </w:tcBorders>
            <w:shd w:val="clear" w:color="auto" w:fill="E2EFD9" w:themeFill="accent6" w:themeFillTint="33"/>
            <w:noWrap/>
            <w:vAlign w:val="center"/>
          </w:tcPr>
          <w:p w:rsidR="00E51FE4" w:rsidRPr="00920E8B" w:rsidRDefault="004F7C1E" w:rsidP="003E7443">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0</w:t>
            </w:r>
          </w:p>
        </w:tc>
        <w:tc>
          <w:tcPr>
            <w:tcW w:w="1492" w:type="dxa"/>
            <w:tcBorders>
              <w:top w:val="nil"/>
              <w:left w:val="nil"/>
              <w:bottom w:val="nil"/>
              <w:right w:val="nil"/>
            </w:tcBorders>
            <w:shd w:val="clear" w:color="auto" w:fill="E2EFD9" w:themeFill="accent6" w:themeFillTint="33"/>
            <w:noWrap/>
            <w:vAlign w:val="center"/>
          </w:tcPr>
          <w:p w:rsidR="00E51FE4" w:rsidRPr="00920E8B" w:rsidRDefault="004F7C1E" w:rsidP="003E7443">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33,00</w:t>
            </w:r>
          </w:p>
        </w:tc>
        <w:tc>
          <w:tcPr>
            <w:tcW w:w="1591" w:type="dxa"/>
            <w:tcBorders>
              <w:top w:val="nil"/>
              <w:left w:val="nil"/>
              <w:bottom w:val="nil"/>
              <w:right w:val="nil"/>
            </w:tcBorders>
            <w:shd w:val="clear" w:color="auto" w:fill="E2EFD9" w:themeFill="accent6" w:themeFillTint="33"/>
            <w:noWrap/>
            <w:vAlign w:val="center"/>
          </w:tcPr>
          <w:p w:rsidR="00E51FE4" w:rsidRPr="00920E8B" w:rsidRDefault="004F7C1E" w:rsidP="003E7443">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22,00</w:t>
            </w:r>
          </w:p>
        </w:tc>
        <w:tc>
          <w:tcPr>
            <w:tcW w:w="0" w:type="auto"/>
            <w:tcBorders>
              <w:top w:val="nil"/>
              <w:left w:val="nil"/>
              <w:bottom w:val="nil"/>
              <w:right w:val="nil"/>
            </w:tcBorders>
            <w:shd w:val="clear" w:color="auto" w:fill="E2EFD9" w:themeFill="accent6" w:themeFillTint="33"/>
            <w:noWrap/>
            <w:vAlign w:val="center"/>
          </w:tcPr>
          <w:p w:rsidR="00E51FE4" w:rsidRPr="00920E8B" w:rsidRDefault="004F7C1E" w:rsidP="003E7443">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21,00</w:t>
            </w:r>
          </w:p>
        </w:tc>
        <w:tc>
          <w:tcPr>
            <w:tcW w:w="0" w:type="auto"/>
            <w:tcBorders>
              <w:top w:val="nil"/>
              <w:left w:val="nil"/>
              <w:bottom w:val="nil"/>
              <w:right w:val="nil"/>
            </w:tcBorders>
            <w:shd w:val="clear" w:color="auto" w:fill="E2EFD9" w:themeFill="accent6" w:themeFillTint="33"/>
            <w:noWrap/>
            <w:vAlign w:val="center"/>
          </w:tcPr>
          <w:p w:rsidR="00E51FE4" w:rsidRPr="00920E8B" w:rsidRDefault="004F7C1E" w:rsidP="003E7443">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45,00</w:t>
            </w:r>
          </w:p>
        </w:tc>
        <w:tc>
          <w:tcPr>
            <w:tcW w:w="0" w:type="auto"/>
            <w:tcBorders>
              <w:top w:val="nil"/>
              <w:left w:val="nil"/>
              <w:bottom w:val="nil"/>
              <w:right w:val="nil"/>
            </w:tcBorders>
            <w:shd w:val="clear" w:color="auto" w:fill="E2EFD9" w:themeFill="accent6" w:themeFillTint="33"/>
            <w:noWrap/>
            <w:vAlign w:val="center"/>
          </w:tcPr>
          <w:p w:rsidR="00E51FE4" w:rsidRPr="00920E8B" w:rsidRDefault="004F7C1E" w:rsidP="003E7443">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67,00</w:t>
            </w:r>
          </w:p>
        </w:tc>
      </w:tr>
    </w:tbl>
    <w:p w:rsidR="00BA33F3" w:rsidRDefault="00BA33F3" w:rsidP="00AB58B9">
      <w:pPr>
        <w:spacing w:line="360" w:lineRule="auto"/>
        <w:ind w:left="360"/>
        <w:jc w:val="both"/>
        <w:rPr>
          <w:sz w:val="16"/>
          <w:szCs w:val="16"/>
        </w:rPr>
      </w:pPr>
    </w:p>
    <w:p w:rsidR="00AB58B9" w:rsidRPr="00B547C0" w:rsidRDefault="00AB58B9" w:rsidP="00AB58B9">
      <w:pPr>
        <w:spacing w:line="360" w:lineRule="auto"/>
        <w:ind w:left="360"/>
        <w:jc w:val="both"/>
        <w:rPr>
          <w:sz w:val="16"/>
          <w:szCs w:val="16"/>
        </w:rPr>
      </w:pPr>
      <w:r w:rsidRPr="00B547C0">
        <w:rPr>
          <w:sz w:val="16"/>
          <w:szCs w:val="16"/>
        </w:rPr>
        <w:t>Fonte: OMS, dados de 2010 e 2015</w:t>
      </w:r>
    </w:p>
    <w:p w:rsidR="00DE502F" w:rsidRPr="00BA33F3" w:rsidRDefault="006D2218" w:rsidP="00D709AD">
      <w:pPr>
        <w:spacing w:line="360" w:lineRule="auto"/>
        <w:ind w:left="360"/>
        <w:jc w:val="both"/>
        <w:rPr>
          <w:sz w:val="20"/>
          <w:szCs w:val="20"/>
        </w:rPr>
      </w:pPr>
      <w:proofErr w:type="spellStart"/>
      <w:r w:rsidRPr="00BA33F3">
        <w:rPr>
          <w:sz w:val="20"/>
          <w:szCs w:val="20"/>
        </w:rPr>
        <w:t>Obs</w:t>
      </w:r>
      <w:proofErr w:type="spellEnd"/>
      <w:r w:rsidRPr="00BA33F3">
        <w:rPr>
          <w:sz w:val="20"/>
          <w:szCs w:val="20"/>
        </w:rPr>
        <w:t xml:space="preserve">: Quer saber mais sobre os sistemas de saúde dos países estudados? Acesse </w:t>
      </w:r>
      <w:hyperlink r:id="rId17" w:history="1">
        <w:r w:rsidRPr="00BA33F3">
          <w:rPr>
            <w:rStyle w:val="Hyperlink"/>
            <w:sz w:val="20"/>
            <w:szCs w:val="20"/>
          </w:rPr>
          <w:t>https://international.commonwealthfund.org/countries</w:t>
        </w:r>
      </w:hyperlink>
      <w:r w:rsidRPr="00BA33F3">
        <w:rPr>
          <w:sz w:val="20"/>
          <w:szCs w:val="20"/>
        </w:rPr>
        <w:t xml:space="preserve"> </w:t>
      </w:r>
    </w:p>
    <w:p w:rsidR="00895E33" w:rsidRDefault="00895E33">
      <w:r>
        <w:br w:type="page"/>
      </w:r>
    </w:p>
    <w:p w:rsidR="00406C61" w:rsidRPr="00895E33" w:rsidRDefault="00895E33" w:rsidP="00895E33">
      <w:pPr>
        <w:spacing w:line="360" w:lineRule="auto"/>
        <w:jc w:val="both"/>
        <w:rPr>
          <w:sz w:val="20"/>
          <w:szCs w:val="20"/>
        </w:rPr>
      </w:pPr>
      <w:r>
        <w:rPr>
          <w:sz w:val="20"/>
          <w:szCs w:val="20"/>
        </w:rPr>
        <w:lastRenderedPageBreak/>
        <w:t>2.1. Observe</w:t>
      </w:r>
      <w:r w:rsidR="00406C61" w:rsidRPr="00895E33">
        <w:rPr>
          <w:sz w:val="20"/>
          <w:szCs w:val="20"/>
        </w:rPr>
        <w:t xml:space="preserve"> agora as diferenças entre os recursos humanos e materiais e os resultados de atenção à saúde. Quais as principais diferenças encontradas?</w:t>
      </w:r>
    </w:p>
    <w:p w:rsidR="00A81C3C" w:rsidRDefault="00A81C3C" w:rsidP="00A81C3C">
      <w:pPr>
        <w:pStyle w:val="PargrafodaLista"/>
        <w:spacing w:line="360" w:lineRule="auto"/>
        <w:ind w:left="360"/>
        <w:jc w:val="both"/>
        <w:rPr>
          <w:b/>
          <w:sz w:val="20"/>
          <w:szCs w:val="20"/>
        </w:rPr>
      </w:pPr>
    </w:p>
    <w:p w:rsidR="00A81C3C" w:rsidRPr="00A708DE" w:rsidRDefault="00A81C3C" w:rsidP="00A708DE">
      <w:pPr>
        <w:spacing w:line="360" w:lineRule="auto"/>
        <w:jc w:val="both"/>
        <w:rPr>
          <w:sz w:val="20"/>
          <w:szCs w:val="20"/>
        </w:rPr>
      </w:pPr>
      <w:r w:rsidRPr="00A708DE">
        <w:rPr>
          <w:b/>
          <w:sz w:val="20"/>
          <w:szCs w:val="20"/>
        </w:rPr>
        <w:t>Tabela 4</w:t>
      </w:r>
      <w:r w:rsidRPr="00A708DE">
        <w:rPr>
          <w:sz w:val="20"/>
          <w:szCs w:val="20"/>
        </w:rPr>
        <w:t xml:space="preserve"> – Recursos humanos e materiais e resultados intermediários de saúde, para as regiões da OMS, m</w:t>
      </w:r>
      <w:r w:rsidR="00CF595B">
        <w:rPr>
          <w:sz w:val="20"/>
          <w:szCs w:val="20"/>
        </w:rPr>
        <w:t>e</w:t>
      </w:r>
      <w:r w:rsidRPr="00A708DE">
        <w:rPr>
          <w:sz w:val="20"/>
          <w:szCs w:val="20"/>
        </w:rPr>
        <w:t>dia</w:t>
      </w:r>
      <w:r w:rsidR="00CF595B">
        <w:rPr>
          <w:sz w:val="20"/>
          <w:szCs w:val="20"/>
        </w:rPr>
        <w:t>nas</w:t>
      </w:r>
      <w:r w:rsidRPr="00A708DE">
        <w:rPr>
          <w:sz w:val="20"/>
          <w:szCs w:val="20"/>
        </w:rPr>
        <w:t xml:space="preserve"> dos valores de 2010 e 2015.</w:t>
      </w:r>
    </w:p>
    <w:tbl>
      <w:tblPr>
        <w:tblW w:w="0" w:type="auto"/>
        <w:tblCellMar>
          <w:left w:w="70" w:type="dxa"/>
          <w:right w:w="70" w:type="dxa"/>
        </w:tblCellMar>
        <w:tblLook w:val="04A0" w:firstRow="1" w:lastRow="0" w:firstColumn="1" w:lastColumn="0" w:noHBand="0" w:noVBand="1"/>
      </w:tblPr>
      <w:tblGrid>
        <w:gridCol w:w="2310"/>
        <w:gridCol w:w="1004"/>
        <w:gridCol w:w="1118"/>
        <w:gridCol w:w="1139"/>
        <w:gridCol w:w="969"/>
        <w:gridCol w:w="1008"/>
        <w:gridCol w:w="1011"/>
        <w:gridCol w:w="1026"/>
        <w:gridCol w:w="1035"/>
        <w:gridCol w:w="1038"/>
        <w:gridCol w:w="1081"/>
        <w:gridCol w:w="1265"/>
      </w:tblGrid>
      <w:tr w:rsidR="00406C61" w:rsidRPr="00406C61" w:rsidTr="00406C61">
        <w:trPr>
          <w:trHeight w:val="270"/>
        </w:trPr>
        <w:tc>
          <w:tcPr>
            <w:tcW w:w="0" w:type="auto"/>
            <w:vMerge w:val="restart"/>
            <w:tcBorders>
              <w:top w:val="nil"/>
              <w:left w:val="nil"/>
              <w:bottom w:val="nil"/>
              <w:right w:val="nil"/>
            </w:tcBorders>
            <w:shd w:val="clear" w:color="auto" w:fill="auto"/>
            <w:noWrap/>
            <w:vAlign w:val="bottom"/>
            <w:hideMark/>
          </w:tcPr>
          <w:p w:rsidR="00406C61" w:rsidRPr="00406C61" w:rsidRDefault="00406C61" w:rsidP="00406C61">
            <w:pPr>
              <w:spacing w:after="0" w:line="240" w:lineRule="auto"/>
              <w:rPr>
                <w:rFonts w:ascii="Arial" w:eastAsia="Times New Roman" w:hAnsi="Arial" w:cs="Arial"/>
                <w:sz w:val="16"/>
                <w:szCs w:val="16"/>
                <w:lang w:eastAsia="pt-BR"/>
              </w:rPr>
            </w:pPr>
            <w:r w:rsidRPr="00406C61">
              <w:rPr>
                <w:rFonts w:ascii="Arial" w:eastAsia="Times New Roman" w:hAnsi="Arial" w:cs="Arial"/>
                <w:sz w:val="16"/>
                <w:szCs w:val="16"/>
                <w:lang w:eastAsia="pt-BR"/>
              </w:rPr>
              <w:t xml:space="preserve">Grupos de países </w:t>
            </w:r>
          </w:p>
        </w:tc>
        <w:tc>
          <w:tcPr>
            <w:tcW w:w="0" w:type="auto"/>
            <w:gridSpan w:val="6"/>
            <w:tcBorders>
              <w:top w:val="nil"/>
              <w:left w:val="nil"/>
              <w:bottom w:val="nil"/>
              <w:right w:val="nil"/>
            </w:tcBorders>
            <w:shd w:val="clear" w:color="000000" w:fill="FCE4D6"/>
            <w:vAlign w:val="bottom"/>
            <w:hideMark/>
          </w:tcPr>
          <w:p w:rsidR="00406C61" w:rsidRPr="00406C61" w:rsidRDefault="00406C61" w:rsidP="00406C61">
            <w:pPr>
              <w:spacing w:after="0" w:line="240" w:lineRule="auto"/>
              <w:jc w:val="center"/>
              <w:rPr>
                <w:rFonts w:ascii="Arial" w:eastAsia="Times New Roman" w:hAnsi="Arial" w:cs="Arial"/>
                <w:b/>
                <w:bCs/>
                <w:sz w:val="16"/>
                <w:szCs w:val="16"/>
                <w:lang w:eastAsia="pt-BR"/>
              </w:rPr>
            </w:pPr>
            <w:r w:rsidRPr="00406C61">
              <w:rPr>
                <w:rFonts w:ascii="Arial" w:eastAsia="Times New Roman" w:hAnsi="Arial" w:cs="Arial"/>
                <w:b/>
                <w:bCs/>
                <w:sz w:val="16"/>
                <w:szCs w:val="16"/>
                <w:lang w:eastAsia="pt-BR"/>
              </w:rPr>
              <w:t>Recursos humanos e materiais</w:t>
            </w:r>
          </w:p>
        </w:tc>
        <w:tc>
          <w:tcPr>
            <w:tcW w:w="0" w:type="auto"/>
            <w:gridSpan w:val="5"/>
            <w:tcBorders>
              <w:top w:val="nil"/>
              <w:left w:val="nil"/>
              <w:bottom w:val="nil"/>
              <w:right w:val="nil"/>
            </w:tcBorders>
            <w:shd w:val="clear" w:color="000000" w:fill="E2EFDA"/>
            <w:vAlign w:val="bottom"/>
            <w:hideMark/>
          </w:tcPr>
          <w:p w:rsidR="00406C61" w:rsidRPr="00406C61" w:rsidRDefault="00406C61" w:rsidP="00406C61">
            <w:pPr>
              <w:spacing w:after="0" w:line="240" w:lineRule="auto"/>
              <w:jc w:val="center"/>
              <w:rPr>
                <w:rFonts w:ascii="Arial" w:eastAsia="Times New Roman" w:hAnsi="Arial" w:cs="Arial"/>
                <w:b/>
                <w:bCs/>
                <w:sz w:val="16"/>
                <w:szCs w:val="16"/>
                <w:lang w:eastAsia="pt-BR"/>
              </w:rPr>
            </w:pPr>
            <w:r w:rsidRPr="00406C61">
              <w:rPr>
                <w:rFonts w:ascii="Arial" w:eastAsia="Times New Roman" w:hAnsi="Arial" w:cs="Arial"/>
                <w:b/>
                <w:bCs/>
                <w:sz w:val="16"/>
                <w:szCs w:val="16"/>
                <w:lang w:eastAsia="pt-BR"/>
              </w:rPr>
              <w:t>Resultados intermediários</w:t>
            </w:r>
          </w:p>
        </w:tc>
      </w:tr>
      <w:tr w:rsidR="00406C61" w:rsidRPr="00406C61" w:rsidTr="00406C61">
        <w:trPr>
          <w:trHeight w:val="1035"/>
        </w:trPr>
        <w:tc>
          <w:tcPr>
            <w:tcW w:w="0" w:type="auto"/>
            <w:vMerge/>
            <w:tcBorders>
              <w:top w:val="nil"/>
              <w:left w:val="nil"/>
              <w:bottom w:val="nil"/>
              <w:right w:val="nil"/>
            </w:tcBorders>
            <w:vAlign w:val="center"/>
            <w:hideMark/>
          </w:tcPr>
          <w:p w:rsidR="00406C61" w:rsidRPr="00406C61" w:rsidRDefault="00406C61" w:rsidP="00406C61">
            <w:pPr>
              <w:spacing w:after="0" w:line="240" w:lineRule="auto"/>
              <w:rPr>
                <w:rFonts w:ascii="Arial" w:eastAsia="Times New Roman" w:hAnsi="Arial" w:cs="Arial"/>
                <w:sz w:val="16"/>
                <w:szCs w:val="16"/>
                <w:lang w:eastAsia="pt-BR"/>
              </w:rPr>
            </w:pPr>
          </w:p>
        </w:tc>
        <w:tc>
          <w:tcPr>
            <w:tcW w:w="0" w:type="auto"/>
            <w:tcBorders>
              <w:top w:val="nil"/>
              <w:left w:val="nil"/>
              <w:bottom w:val="nil"/>
              <w:right w:val="nil"/>
            </w:tcBorders>
            <w:shd w:val="clear" w:color="000000" w:fill="FCE4D6"/>
            <w:vAlign w:val="bottom"/>
            <w:hideMark/>
          </w:tcPr>
          <w:p w:rsidR="00406C61" w:rsidRPr="00406C61" w:rsidRDefault="00406C61" w:rsidP="00406C61">
            <w:pPr>
              <w:spacing w:after="0" w:line="240" w:lineRule="auto"/>
              <w:jc w:val="center"/>
              <w:rPr>
                <w:rFonts w:ascii="Arial" w:eastAsia="Times New Roman" w:hAnsi="Arial" w:cs="Arial"/>
                <w:b/>
                <w:bCs/>
                <w:sz w:val="16"/>
                <w:szCs w:val="16"/>
                <w:lang w:eastAsia="pt-BR"/>
              </w:rPr>
            </w:pPr>
            <w:r w:rsidRPr="00406C61">
              <w:rPr>
                <w:rFonts w:ascii="Arial" w:eastAsia="Times New Roman" w:hAnsi="Arial" w:cs="Arial"/>
                <w:b/>
                <w:bCs/>
                <w:sz w:val="16"/>
                <w:szCs w:val="16"/>
                <w:lang w:eastAsia="pt-BR"/>
              </w:rPr>
              <w:t>Densidade médicos (10 mil)</w:t>
            </w:r>
          </w:p>
        </w:tc>
        <w:tc>
          <w:tcPr>
            <w:tcW w:w="0" w:type="auto"/>
            <w:tcBorders>
              <w:top w:val="nil"/>
              <w:left w:val="nil"/>
              <w:bottom w:val="nil"/>
              <w:right w:val="nil"/>
            </w:tcBorders>
            <w:shd w:val="clear" w:color="000000" w:fill="FCE4D6"/>
            <w:vAlign w:val="bottom"/>
            <w:hideMark/>
          </w:tcPr>
          <w:p w:rsidR="00406C61" w:rsidRPr="00406C61" w:rsidRDefault="00406C61" w:rsidP="00406C61">
            <w:pPr>
              <w:spacing w:after="0" w:line="240" w:lineRule="auto"/>
              <w:jc w:val="center"/>
              <w:rPr>
                <w:rFonts w:ascii="Arial" w:eastAsia="Times New Roman" w:hAnsi="Arial" w:cs="Arial"/>
                <w:b/>
                <w:bCs/>
                <w:sz w:val="16"/>
                <w:szCs w:val="16"/>
                <w:lang w:eastAsia="pt-BR"/>
              </w:rPr>
            </w:pPr>
            <w:r w:rsidRPr="00406C61">
              <w:rPr>
                <w:rFonts w:ascii="Arial" w:eastAsia="Times New Roman" w:hAnsi="Arial" w:cs="Arial"/>
                <w:b/>
                <w:bCs/>
                <w:sz w:val="16"/>
                <w:szCs w:val="16"/>
                <w:lang w:eastAsia="pt-BR"/>
              </w:rPr>
              <w:t xml:space="preserve">Densidade </w:t>
            </w:r>
            <w:r w:rsidR="00BA33F3" w:rsidRPr="00406C61">
              <w:rPr>
                <w:rFonts w:ascii="Arial" w:eastAsia="Times New Roman" w:hAnsi="Arial" w:cs="Arial"/>
                <w:b/>
                <w:bCs/>
                <w:sz w:val="16"/>
                <w:szCs w:val="16"/>
                <w:lang w:eastAsia="pt-BR"/>
              </w:rPr>
              <w:t>enfermeiros (</w:t>
            </w:r>
            <w:r w:rsidRPr="00406C61">
              <w:rPr>
                <w:rFonts w:ascii="Arial" w:eastAsia="Times New Roman" w:hAnsi="Arial" w:cs="Arial"/>
                <w:b/>
                <w:bCs/>
                <w:sz w:val="16"/>
                <w:szCs w:val="16"/>
                <w:lang w:eastAsia="pt-BR"/>
              </w:rPr>
              <w:t>10 mil)</w:t>
            </w:r>
          </w:p>
        </w:tc>
        <w:tc>
          <w:tcPr>
            <w:tcW w:w="0" w:type="auto"/>
            <w:tcBorders>
              <w:top w:val="nil"/>
              <w:left w:val="nil"/>
              <w:bottom w:val="nil"/>
              <w:right w:val="nil"/>
            </w:tcBorders>
            <w:shd w:val="clear" w:color="000000" w:fill="FCE4D6"/>
            <w:vAlign w:val="bottom"/>
            <w:hideMark/>
          </w:tcPr>
          <w:p w:rsidR="00406C61" w:rsidRPr="00406C61" w:rsidRDefault="00406C61" w:rsidP="00715B5C">
            <w:pPr>
              <w:spacing w:after="0" w:line="240" w:lineRule="auto"/>
              <w:jc w:val="center"/>
              <w:rPr>
                <w:rFonts w:ascii="Arial" w:eastAsia="Times New Roman" w:hAnsi="Arial" w:cs="Arial"/>
                <w:b/>
                <w:bCs/>
                <w:sz w:val="16"/>
                <w:szCs w:val="16"/>
                <w:lang w:eastAsia="pt-BR"/>
              </w:rPr>
            </w:pPr>
            <w:r w:rsidRPr="00406C61">
              <w:rPr>
                <w:rFonts w:ascii="Arial" w:eastAsia="Times New Roman" w:hAnsi="Arial" w:cs="Arial"/>
                <w:b/>
                <w:bCs/>
                <w:sz w:val="16"/>
                <w:szCs w:val="16"/>
                <w:lang w:eastAsia="pt-BR"/>
              </w:rPr>
              <w:t xml:space="preserve">Densidade leitos hospitalares </w:t>
            </w:r>
            <w:r w:rsidRPr="00406C61">
              <w:rPr>
                <w:rFonts w:ascii="Arial" w:eastAsia="Times New Roman" w:hAnsi="Arial" w:cs="Arial"/>
                <w:b/>
                <w:bCs/>
                <w:sz w:val="16"/>
                <w:szCs w:val="16"/>
                <w:lang w:eastAsia="pt-BR"/>
              </w:rPr>
              <w:br/>
              <w:t>(10 mil)</w:t>
            </w:r>
          </w:p>
        </w:tc>
        <w:tc>
          <w:tcPr>
            <w:tcW w:w="0" w:type="auto"/>
            <w:tcBorders>
              <w:top w:val="nil"/>
              <w:left w:val="nil"/>
              <w:bottom w:val="nil"/>
              <w:right w:val="nil"/>
            </w:tcBorders>
            <w:shd w:val="clear" w:color="000000" w:fill="FCE4D6"/>
            <w:vAlign w:val="bottom"/>
            <w:hideMark/>
          </w:tcPr>
          <w:p w:rsidR="00BA33F3" w:rsidRDefault="00406C61" w:rsidP="00406C61">
            <w:pPr>
              <w:spacing w:after="0" w:line="240" w:lineRule="auto"/>
              <w:jc w:val="center"/>
              <w:rPr>
                <w:rFonts w:ascii="Arial" w:eastAsia="Times New Roman" w:hAnsi="Arial" w:cs="Arial"/>
                <w:b/>
                <w:bCs/>
                <w:sz w:val="16"/>
                <w:szCs w:val="16"/>
                <w:lang w:eastAsia="pt-BR"/>
              </w:rPr>
            </w:pPr>
            <w:r w:rsidRPr="00406C61">
              <w:rPr>
                <w:rFonts w:ascii="Arial" w:eastAsia="Times New Roman" w:hAnsi="Arial" w:cs="Arial"/>
                <w:b/>
                <w:bCs/>
                <w:sz w:val="16"/>
                <w:szCs w:val="16"/>
                <w:lang w:eastAsia="pt-BR"/>
              </w:rPr>
              <w:t xml:space="preserve">Densidade </w:t>
            </w:r>
            <w:r w:rsidRPr="00406C61">
              <w:rPr>
                <w:rFonts w:ascii="Arial" w:eastAsia="Times New Roman" w:hAnsi="Arial" w:cs="Arial"/>
                <w:b/>
                <w:bCs/>
                <w:sz w:val="16"/>
                <w:szCs w:val="16"/>
                <w:lang w:eastAsia="pt-BR"/>
              </w:rPr>
              <w:br/>
              <w:t xml:space="preserve">postos de </w:t>
            </w:r>
            <w:r w:rsidR="00BA33F3" w:rsidRPr="00406C61">
              <w:rPr>
                <w:rFonts w:ascii="Arial" w:eastAsia="Times New Roman" w:hAnsi="Arial" w:cs="Arial"/>
                <w:b/>
                <w:bCs/>
                <w:sz w:val="16"/>
                <w:szCs w:val="16"/>
                <w:lang w:eastAsia="pt-BR"/>
              </w:rPr>
              <w:t xml:space="preserve">saúde </w:t>
            </w:r>
          </w:p>
          <w:p w:rsidR="00406C61" w:rsidRPr="00406C61" w:rsidRDefault="00BA33F3" w:rsidP="00406C61">
            <w:pPr>
              <w:spacing w:after="0" w:line="240" w:lineRule="auto"/>
              <w:jc w:val="center"/>
              <w:rPr>
                <w:rFonts w:ascii="Arial" w:eastAsia="Times New Roman" w:hAnsi="Arial" w:cs="Arial"/>
                <w:b/>
                <w:bCs/>
                <w:sz w:val="16"/>
                <w:szCs w:val="16"/>
                <w:lang w:eastAsia="pt-BR"/>
              </w:rPr>
            </w:pPr>
            <w:r w:rsidRPr="00406C61">
              <w:rPr>
                <w:rFonts w:ascii="Arial" w:eastAsia="Times New Roman" w:hAnsi="Arial" w:cs="Arial"/>
                <w:b/>
                <w:bCs/>
                <w:sz w:val="16"/>
                <w:szCs w:val="16"/>
                <w:lang w:eastAsia="pt-BR"/>
              </w:rPr>
              <w:t>(</w:t>
            </w:r>
            <w:r w:rsidR="00406C61" w:rsidRPr="00406C61">
              <w:rPr>
                <w:rFonts w:ascii="Arial" w:eastAsia="Times New Roman" w:hAnsi="Arial" w:cs="Arial"/>
                <w:b/>
                <w:bCs/>
                <w:sz w:val="16"/>
                <w:szCs w:val="16"/>
                <w:lang w:eastAsia="pt-BR"/>
              </w:rPr>
              <w:t>100 mil)</w:t>
            </w:r>
          </w:p>
        </w:tc>
        <w:tc>
          <w:tcPr>
            <w:tcW w:w="0" w:type="auto"/>
            <w:tcBorders>
              <w:top w:val="nil"/>
              <w:left w:val="nil"/>
              <w:bottom w:val="nil"/>
              <w:right w:val="nil"/>
            </w:tcBorders>
            <w:shd w:val="clear" w:color="000000" w:fill="FCE4D6"/>
            <w:vAlign w:val="bottom"/>
            <w:hideMark/>
          </w:tcPr>
          <w:p w:rsidR="00406C61" w:rsidRPr="00406C61" w:rsidRDefault="00406C61" w:rsidP="00406C61">
            <w:pPr>
              <w:spacing w:after="0" w:line="240" w:lineRule="auto"/>
              <w:jc w:val="center"/>
              <w:rPr>
                <w:rFonts w:ascii="Arial" w:eastAsia="Times New Roman" w:hAnsi="Arial" w:cs="Arial"/>
                <w:b/>
                <w:bCs/>
                <w:sz w:val="16"/>
                <w:szCs w:val="16"/>
                <w:lang w:eastAsia="pt-BR"/>
              </w:rPr>
            </w:pPr>
            <w:r w:rsidRPr="00406C61">
              <w:rPr>
                <w:rFonts w:ascii="Arial" w:eastAsia="Times New Roman" w:hAnsi="Arial" w:cs="Arial"/>
                <w:b/>
                <w:bCs/>
                <w:sz w:val="16"/>
                <w:szCs w:val="16"/>
                <w:lang w:eastAsia="pt-BR"/>
              </w:rPr>
              <w:t xml:space="preserve">Densidade centros de saúde  </w:t>
            </w:r>
            <w:r w:rsidRPr="00406C61">
              <w:rPr>
                <w:rFonts w:ascii="Arial" w:eastAsia="Times New Roman" w:hAnsi="Arial" w:cs="Arial"/>
                <w:b/>
                <w:bCs/>
                <w:sz w:val="16"/>
                <w:szCs w:val="16"/>
                <w:lang w:eastAsia="pt-BR"/>
              </w:rPr>
              <w:br/>
              <w:t>(100 mil)</w:t>
            </w:r>
          </w:p>
        </w:tc>
        <w:tc>
          <w:tcPr>
            <w:tcW w:w="0" w:type="auto"/>
            <w:tcBorders>
              <w:top w:val="nil"/>
              <w:left w:val="nil"/>
              <w:bottom w:val="nil"/>
              <w:right w:val="nil"/>
            </w:tcBorders>
            <w:shd w:val="clear" w:color="000000" w:fill="FCE4D6"/>
            <w:vAlign w:val="bottom"/>
            <w:hideMark/>
          </w:tcPr>
          <w:p w:rsidR="00406C61" w:rsidRPr="00406C61" w:rsidRDefault="00406C61" w:rsidP="00406C61">
            <w:pPr>
              <w:spacing w:after="0" w:line="240" w:lineRule="auto"/>
              <w:jc w:val="center"/>
              <w:rPr>
                <w:rFonts w:ascii="Arial" w:eastAsia="Times New Roman" w:hAnsi="Arial" w:cs="Arial"/>
                <w:b/>
                <w:bCs/>
                <w:sz w:val="16"/>
                <w:szCs w:val="16"/>
                <w:lang w:eastAsia="pt-BR"/>
              </w:rPr>
            </w:pPr>
            <w:r w:rsidRPr="00406C61">
              <w:rPr>
                <w:rFonts w:ascii="Arial" w:eastAsia="Times New Roman" w:hAnsi="Arial" w:cs="Arial"/>
                <w:b/>
                <w:bCs/>
                <w:sz w:val="16"/>
                <w:szCs w:val="16"/>
                <w:lang w:eastAsia="pt-BR"/>
              </w:rPr>
              <w:t xml:space="preserve">Densidade </w:t>
            </w:r>
            <w:r w:rsidR="00BA33F3" w:rsidRPr="00406C61">
              <w:rPr>
                <w:rFonts w:ascii="Arial" w:eastAsia="Times New Roman" w:hAnsi="Arial" w:cs="Arial"/>
                <w:b/>
                <w:bCs/>
                <w:sz w:val="16"/>
                <w:szCs w:val="16"/>
                <w:lang w:eastAsia="pt-BR"/>
              </w:rPr>
              <w:t>hospitais (</w:t>
            </w:r>
            <w:r w:rsidRPr="00406C61">
              <w:rPr>
                <w:rFonts w:ascii="Arial" w:eastAsia="Times New Roman" w:hAnsi="Arial" w:cs="Arial"/>
                <w:b/>
                <w:bCs/>
                <w:sz w:val="16"/>
                <w:szCs w:val="16"/>
                <w:lang w:eastAsia="pt-BR"/>
              </w:rPr>
              <w:t>100 mil)</w:t>
            </w:r>
          </w:p>
        </w:tc>
        <w:tc>
          <w:tcPr>
            <w:tcW w:w="0" w:type="auto"/>
            <w:tcBorders>
              <w:top w:val="nil"/>
              <w:left w:val="nil"/>
              <w:bottom w:val="nil"/>
              <w:right w:val="nil"/>
            </w:tcBorders>
            <w:shd w:val="clear" w:color="000000" w:fill="E2EFDA"/>
            <w:vAlign w:val="bottom"/>
            <w:hideMark/>
          </w:tcPr>
          <w:p w:rsidR="00406C61" w:rsidRPr="00406C61" w:rsidRDefault="00406C61" w:rsidP="00406C61">
            <w:pPr>
              <w:spacing w:after="0" w:line="240" w:lineRule="auto"/>
              <w:jc w:val="center"/>
              <w:rPr>
                <w:rFonts w:ascii="Arial" w:eastAsia="Times New Roman" w:hAnsi="Arial" w:cs="Arial"/>
                <w:b/>
                <w:bCs/>
                <w:sz w:val="16"/>
                <w:szCs w:val="16"/>
                <w:lang w:eastAsia="pt-BR"/>
              </w:rPr>
            </w:pPr>
            <w:r w:rsidRPr="00406C61">
              <w:rPr>
                <w:rFonts w:ascii="Arial" w:eastAsia="Times New Roman" w:hAnsi="Arial" w:cs="Arial"/>
                <w:b/>
                <w:bCs/>
                <w:sz w:val="16"/>
                <w:szCs w:val="16"/>
                <w:lang w:eastAsia="pt-BR"/>
              </w:rPr>
              <w:t>Cobertura serviços essenciais (%)</w:t>
            </w:r>
          </w:p>
        </w:tc>
        <w:tc>
          <w:tcPr>
            <w:tcW w:w="0" w:type="auto"/>
            <w:tcBorders>
              <w:top w:val="nil"/>
              <w:left w:val="nil"/>
              <w:bottom w:val="nil"/>
              <w:right w:val="nil"/>
            </w:tcBorders>
            <w:shd w:val="clear" w:color="000000" w:fill="E2EFDA"/>
            <w:vAlign w:val="bottom"/>
            <w:hideMark/>
          </w:tcPr>
          <w:p w:rsidR="00406C61" w:rsidRPr="00406C61" w:rsidRDefault="00406C61" w:rsidP="00406C61">
            <w:pPr>
              <w:spacing w:after="0" w:line="240" w:lineRule="auto"/>
              <w:jc w:val="center"/>
              <w:rPr>
                <w:rFonts w:ascii="Arial" w:eastAsia="Times New Roman" w:hAnsi="Arial" w:cs="Arial"/>
                <w:b/>
                <w:bCs/>
                <w:sz w:val="16"/>
                <w:szCs w:val="16"/>
                <w:lang w:eastAsia="pt-BR"/>
              </w:rPr>
            </w:pPr>
            <w:r w:rsidRPr="00406C61">
              <w:rPr>
                <w:rFonts w:ascii="Arial" w:eastAsia="Times New Roman" w:hAnsi="Arial" w:cs="Arial"/>
                <w:b/>
                <w:bCs/>
                <w:sz w:val="16"/>
                <w:szCs w:val="16"/>
                <w:lang w:eastAsia="pt-BR"/>
              </w:rPr>
              <w:t>Tratamento TB (%)</w:t>
            </w:r>
          </w:p>
        </w:tc>
        <w:tc>
          <w:tcPr>
            <w:tcW w:w="0" w:type="auto"/>
            <w:tcBorders>
              <w:top w:val="nil"/>
              <w:left w:val="nil"/>
              <w:bottom w:val="nil"/>
              <w:right w:val="nil"/>
            </w:tcBorders>
            <w:shd w:val="clear" w:color="000000" w:fill="E2EFDA"/>
            <w:vAlign w:val="bottom"/>
            <w:hideMark/>
          </w:tcPr>
          <w:p w:rsidR="00406C61" w:rsidRPr="00406C61" w:rsidRDefault="00406C61" w:rsidP="00406C61">
            <w:pPr>
              <w:spacing w:after="0" w:line="240" w:lineRule="auto"/>
              <w:jc w:val="center"/>
              <w:rPr>
                <w:rFonts w:ascii="Arial" w:eastAsia="Times New Roman" w:hAnsi="Arial" w:cs="Arial"/>
                <w:b/>
                <w:bCs/>
                <w:sz w:val="16"/>
                <w:szCs w:val="16"/>
                <w:lang w:eastAsia="pt-BR"/>
              </w:rPr>
            </w:pPr>
            <w:r w:rsidRPr="00406C61">
              <w:rPr>
                <w:rFonts w:ascii="Arial" w:eastAsia="Times New Roman" w:hAnsi="Arial" w:cs="Arial"/>
                <w:b/>
                <w:bCs/>
                <w:sz w:val="16"/>
                <w:szCs w:val="16"/>
                <w:lang w:eastAsia="pt-BR"/>
              </w:rPr>
              <w:t>Tratamento HIV (%)</w:t>
            </w:r>
          </w:p>
        </w:tc>
        <w:tc>
          <w:tcPr>
            <w:tcW w:w="0" w:type="auto"/>
            <w:tcBorders>
              <w:top w:val="nil"/>
              <w:left w:val="nil"/>
              <w:bottom w:val="nil"/>
              <w:right w:val="nil"/>
            </w:tcBorders>
            <w:shd w:val="clear" w:color="000000" w:fill="E2EFDA"/>
            <w:vAlign w:val="bottom"/>
            <w:hideMark/>
          </w:tcPr>
          <w:p w:rsidR="00406C61" w:rsidRPr="00406C61" w:rsidRDefault="006C4157" w:rsidP="00406C61">
            <w:pPr>
              <w:spacing w:after="0" w:line="240" w:lineRule="auto"/>
              <w:jc w:val="center"/>
              <w:rPr>
                <w:rFonts w:ascii="Arial" w:eastAsia="Times New Roman" w:hAnsi="Arial" w:cs="Arial"/>
                <w:b/>
                <w:bCs/>
                <w:sz w:val="16"/>
                <w:szCs w:val="16"/>
                <w:lang w:eastAsia="pt-BR"/>
              </w:rPr>
            </w:pPr>
            <w:r w:rsidRPr="00406C61">
              <w:rPr>
                <w:rFonts w:ascii="Arial" w:eastAsia="Times New Roman" w:hAnsi="Arial" w:cs="Arial"/>
                <w:b/>
                <w:bCs/>
                <w:sz w:val="16"/>
                <w:szCs w:val="16"/>
                <w:lang w:eastAsia="pt-BR"/>
              </w:rPr>
              <w:t>Imunização</w:t>
            </w:r>
            <w:r w:rsidR="00406C61" w:rsidRPr="00406C61">
              <w:rPr>
                <w:rFonts w:ascii="Arial" w:eastAsia="Times New Roman" w:hAnsi="Arial" w:cs="Arial"/>
                <w:b/>
                <w:bCs/>
                <w:sz w:val="16"/>
                <w:szCs w:val="16"/>
                <w:lang w:eastAsia="pt-BR"/>
              </w:rPr>
              <w:t xml:space="preserve"> completa em &lt;1a (%)</w:t>
            </w:r>
          </w:p>
        </w:tc>
        <w:tc>
          <w:tcPr>
            <w:tcW w:w="0" w:type="auto"/>
            <w:tcBorders>
              <w:top w:val="nil"/>
              <w:left w:val="nil"/>
              <w:bottom w:val="nil"/>
              <w:right w:val="nil"/>
            </w:tcBorders>
            <w:shd w:val="clear" w:color="000000" w:fill="E2EFDA"/>
            <w:vAlign w:val="bottom"/>
            <w:hideMark/>
          </w:tcPr>
          <w:p w:rsidR="00406C61" w:rsidRPr="00406C61" w:rsidRDefault="00406C61" w:rsidP="00406C61">
            <w:pPr>
              <w:spacing w:after="0" w:line="240" w:lineRule="auto"/>
              <w:jc w:val="center"/>
              <w:rPr>
                <w:rFonts w:ascii="Arial" w:eastAsia="Times New Roman" w:hAnsi="Arial" w:cs="Arial"/>
                <w:b/>
                <w:bCs/>
                <w:sz w:val="16"/>
                <w:szCs w:val="16"/>
                <w:lang w:eastAsia="pt-BR"/>
              </w:rPr>
            </w:pPr>
            <w:r w:rsidRPr="00406C61">
              <w:rPr>
                <w:rFonts w:ascii="Arial" w:eastAsia="Times New Roman" w:hAnsi="Arial" w:cs="Arial"/>
                <w:b/>
                <w:bCs/>
                <w:sz w:val="16"/>
                <w:szCs w:val="16"/>
                <w:lang w:eastAsia="pt-BR"/>
              </w:rPr>
              <w:t>Rastreamento de colo útero (%)</w:t>
            </w:r>
          </w:p>
        </w:tc>
      </w:tr>
      <w:tr w:rsidR="00406C61" w:rsidRPr="00406C61" w:rsidTr="00406C61">
        <w:trPr>
          <w:trHeight w:val="450"/>
        </w:trPr>
        <w:tc>
          <w:tcPr>
            <w:tcW w:w="0" w:type="auto"/>
            <w:tcBorders>
              <w:top w:val="nil"/>
              <w:left w:val="nil"/>
              <w:bottom w:val="nil"/>
              <w:right w:val="nil"/>
            </w:tcBorders>
            <w:shd w:val="clear" w:color="auto" w:fill="auto"/>
            <w:noWrap/>
            <w:vAlign w:val="bottom"/>
            <w:hideMark/>
          </w:tcPr>
          <w:p w:rsidR="00406C61" w:rsidRPr="00406C61" w:rsidRDefault="00406C61" w:rsidP="00406C61">
            <w:pPr>
              <w:spacing w:after="0" w:line="240" w:lineRule="auto"/>
              <w:rPr>
                <w:rFonts w:ascii="Arial" w:eastAsia="Times New Roman" w:hAnsi="Arial" w:cs="Arial"/>
                <w:sz w:val="16"/>
                <w:szCs w:val="16"/>
                <w:lang w:eastAsia="pt-BR"/>
              </w:rPr>
            </w:pPr>
            <w:r w:rsidRPr="00406C61">
              <w:rPr>
                <w:rFonts w:ascii="Arial" w:eastAsia="Times New Roman" w:hAnsi="Arial" w:cs="Arial"/>
                <w:sz w:val="16"/>
                <w:szCs w:val="16"/>
                <w:lang w:eastAsia="pt-BR"/>
              </w:rPr>
              <w:t>AFRO - África Subsaariana</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1,05</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7,77</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9,00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8,66</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2,50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0,60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44,00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45,00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55,00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61,40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5,00</w:t>
            </w:r>
          </w:p>
        </w:tc>
      </w:tr>
      <w:tr w:rsidR="00406C61" w:rsidRPr="00406C61" w:rsidTr="00406C61">
        <w:trPr>
          <w:trHeight w:val="780"/>
        </w:trPr>
        <w:tc>
          <w:tcPr>
            <w:tcW w:w="0" w:type="auto"/>
            <w:tcBorders>
              <w:top w:val="nil"/>
              <w:left w:val="nil"/>
              <w:bottom w:val="nil"/>
              <w:right w:val="nil"/>
            </w:tcBorders>
            <w:shd w:val="clear" w:color="auto" w:fill="auto"/>
            <w:noWrap/>
            <w:vAlign w:val="bottom"/>
            <w:hideMark/>
          </w:tcPr>
          <w:p w:rsidR="00406C61" w:rsidRPr="00406C61" w:rsidRDefault="00406C61" w:rsidP="00406C61">
            <w:pPr>
              <w:spacing w:after="0" w:line="240" w:lineRule="auto"/>
              <w:rPr>
                <w:rFonts w:ascii="Arial" w:eastAsia="Times New Roman" w:hAnsi="Arial" w:cs="Arial"/>
                <w:sz w:val="16"/>
                <w:szCs w:val="16"/>
                <w:lang w:eastAsia="pt-BR"/>
              </w:rPr>
            </w:pPr>
            <w:r w:rsidRPr="00406C61">
              <w:rPr>
                <w:rFonts w:ascii="Arial" w:eastAsia="Times New Roman" w:hAnsi="Arial" w:cs="Arial"/>
                <w:sz w:val="16"/>
                <w:szCs w:val="16"/>
                <w:lang w:eastAsia="pt-BR"/>
              </w:rPr>
              <w:t>EMRO - Mediterrâneo Oriental</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10,58</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19,40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15,00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5,27</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1,21</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1,35</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63,00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64,00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28,00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50,70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0,00</w:t>
            </w:r>
          </w:p>
        </w:tc>
      </w:tr>
      <w:tr w:rsidR="00406C61" w:rsidRPr="00406C61" w:rsidTr="00406C61">
        <w:trPr>
          <w:trHeight w:val="510"/>
        </w:trPr>
        <w:tc>
          <w:tcPr>
            <w:tcW w:w="0" w:type="auto"/>
            <w:tcBorders>
              <w:top w:val="nil"/>
              <w:left w:val="nil"/>
              <w:bottom w:val="nil"/>
              <w:right w:val="nil"/>
            </w:tcBorders>
            <w:shd w:val="clear" w:color="auto" w:fill="auto"/>
            <w:noWrap/>
            <w:vAlign w:val="bottom"/>
            <w:hideMark/>
          </w:tcPr>
          <w:p w:rsidR="00406C61" w:rsidRPr="00406C61" w:rsidRDefault="00406C61" w:rsidP="00406C61">
            <w:pPr>
              <w:spacing w:after="0" w:line="240" w:lineRule="auto"/>
              <w:rPr>
                <w:rFonts w:ascii="Arial" w:eastAsia="Times New Roman" w:hAnsi="Arial" w:cs="Arial"/>
                <w:sz w:val="16"/>
                <w:szCs w:val="16"/>
                <w:lang w:eastAsia="pt-BR"/>
              </w:rPr>
            </w:pPr>
            <w:r w:rsidRPr="00406C61">
              <w:rPr>
                <w:rFonts w:ascii="Arial" w:eastAsia="Times New Roman" w:hAnsi="Arial" w:cs="Arial"/>
                <w:sz w:val="16"/>
                <w:szCs w:val="16"/>
                <w:lang w:eastAsia="pt-BR"/>
              </w:rPr>
              <w:t>EURO - Europa</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32,18</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69,62</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48,00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14,39</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1,69</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2,53</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73,00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68,00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65,00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83,40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60,00</w:t>
            </w:r>
          </w:p>
        </w:tc>
      </w:tr>
      <w:tr w:rsidR="00406C61" w:rsidRPr="00406C61" w:rsidTr="00406C61">
        <w:trPr>
          <w:trHeight w:val="525"/>
        </w:trPr>
        <w:tc>
          <w:tcPr>
            <w:tcW w:w="0" w:type="auto"/>
            <w:tcBorders>
              <w:top w:val="nil"/>
              <w:left w:val="nil"/>
              <w:bottom w:val="nil"/>
              <w:right w:val="nil"/>
            </w:tcBorders>
            <w:shd w:val="clear" w:color="auto" w:fill="auto"/>
            <w:noWrap/>
            <w:vAlign w:val="bottom"/>
            <w:hideMark/>
          </w:tcPr>
          <w:p w:rsidR="00406C61" w:rsidRPr="00406C61" w:rsidRDefault="00406C61" w:rsidP="00406C61">
            <w:pPr>
              <w:spacing w:after="0" w:line="240" w:lineRule="auto"/>
              <w:rPr>
                <w:rFonts w:ascii="Arial" w:eastAsia="Times New Roman" w:hAnsi="Arial" w:cs="Arial"/>
                <w:sz w:val="16"/>
                <w:szCs w:val="16"/>
                <w:lang w:eastAsia="pt-BR"/>
              </w:rPr>
            </w:pPr>
            <w:r w:rsidRPr="00406C61">
              <w:rPr>
                <w:rFonts w:ascii="Arial" w:eastAsia="Times New Roman" w:hAnsi="Arial" w:cs="Arial"/>
                <w:sz w:val="16"/>
                <w:szCs w:val="16"/>
                <w:lang w:eastAsia="pt-BR"/>
              </w:rPr>
              <w:t>PAHO - Américas</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15,60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22,78</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17,00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13,72</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0,76</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1,38</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74,00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63,00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54,00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64,25</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30,00</w:t>
            </w:r>
          </w:p>
        </w:tc>
      </w:tr>
      <w:tr w:rsidR="00406C61" w:rsidRPr="00406C61" w:rsidTr="00406C61">
        <w:trPr>
          <w:trHeight w:val="780"/>
        </w:trPr>
        <w:tc>
          <w:tcPr>
            <w:tcW w:w="0" w:type="auto"/>
            <w:tcBorders>
              <w:top w:val="nil"/>
              <w:left w:val="nil"/>
              <w:bottom w:val="nil"/>
              <w:right w:val="nil"/>
            </w:tcBorders>
            <w:shd w:val="clear" w:color="auto" w:fill="auto"/>
            <w:noWrap/>
            <w:vAlign w:val="bottom"/>
            <w:hideMark/>
          </w:tcPr>
          <w:p w:rsidR="00406C61" w:rsidRPr="00406C61" w:rsidRDefault="00406C61" w:rsidP="00406C61">
            <w:pPr>
              <w:spacing w:after="0" w:line="240" w:lineRule="auto"/>
              <w:rPr>
                <w:rFonts w:ascii="Arial" w:eastAsia="Times New Roman" w:hAnsi="Arial" w:cs="Arial"/>
                <w:sz w:val="16"/>
                <w:szCs w:val="16"/>
                <w:lang w:eastAsia="pt-BR"/>
              </w:rPr>
            </w:pPr>
            <w:r w:rsidRPr="00406C61">
              <w:rPr>
                <w:rFonts w:ascii="Arial" w:eastAsia="Times New Roman" w:hAnsi="Arial" w:cs="Arial"/>
                <w:sz w:val="16"/>
                <w:szCs w:val="16"/>
                <w:lang w:eastAsia="pt-BR"/>
              </w:rPr>
              <w:t>SEARO - Sudeste Asiático</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5,74</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15,50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14,50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11,52</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1,62</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0,63</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56,00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61,00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49,00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66,60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30,00</w:t>
            </w:r>
          </w:p>
        </w:tc>
      </w:tr>
      <w:tr w:rsidR="00406C61" w:rsidRPr="00406C61" w:rsidTr="00406C61">
        <w:trPr>
          <w:trHeight w:val="525"/>
        </w:trPr>
        <w:tc>
          <w:tcPr>
            <w:tcW w:w="0" w:type="auto"/>
            <w:tcBorders>
              <w:top w:val="nil"/>
              <w:left w:val="nil"/>
              <w:bottom w:val="nil"/>
              <w:right w:val="nil"/>
            </w:tcBorders>
            <w:shd w:val="clear" w:color="auto" w:fill="auto"/>
            <w:noWrap/>
            <w:vAlign w:val="bottom"/>
            <w:hideMark/>
          </w:tcPr>
          <w:p w:rsidR="00406C61" w:rsidRPr="00406C61" w:rsidRDefault="00406C61" w:rsidP="00406C61">
            <w:pPr>
              <w:spacing w:after="0" w:line="240" w:lineRule="auto"/>
              <w:rPr>
                <w:rFonts w:ascii="Arial" w:eastAsia="Times New Roman" w:hAnsi="Arial" w:cs="Arial"/>
                <w:sz w:val="16"/>
                <w:szCs w:val="16"/>
                <w:lang w:eastAsia="pt-BR"/>
              </w:rPr>
            </w:pPr>
            <w:r w:rsidRPr="00406C61">
              <w:rPr>
                <w:rFonts w:ascii="Arial" w:eastAsia="Times New Roman" w:hAnsi="Arial" w:cs="Arial"/>
                <w:sz w:val="16"/>
                <w:szCs w:val="16"/>
                <w:lang w:eastAsia="pt-BR"/>
              </w:rPr>
              <w:t>WPRO - Pacífico Ocidental</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11,63</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38,87</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27,00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29,13</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10,77</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3,69</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63,00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68,00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55,00</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75,25</w:t>
            </w:r>
          </w:p>
        </w:tc>
        <w:tc>
          <w:tcPr>
            <w:tcW w:w="0" w:type="auto"/>
            <w:tcBorders>
              <w:top w:val="nil"/>
              <w:left w:val="nil"/>
              <w:bottom w:val="nil"/>
              <w:right w:val="nil"/>
            </w:tcBorders>
            <w:shd w:val="clear" w:color="auto" w:fill="auto"/>
            <w:noWrap/>
            <w:vAlign w:val="center"/>
            <w:hideMark/>
          </w:tcPr>
          <w:p w:rsidR="00406C61" w:rsidRPr="00406C61" w:rsidRDefault="00406C61" w:rsidP="00406C61">
            <w:pPr>
              <w:spacing w:after="0" w:line="240" w:lineRule="auto"/>
              <w:jc w:val="center"/>
              <w:rPr>
                <w:rFonts w:ascii="Arial" w:eastAsia="Times New Roman" w:hAnsi="Arial" w:cs="Arial"/>
                <w:sz w:val="16"/>
                <w:szCs w:val="16"/>
                <w:lang w:eastAsia="pt-BR"/>
              </w:rPr>
            </w:pPr>
            <w:r w:rsidRPr="00406C61">
              <w:rPr>
                <w:rFonts w:ascii="Arial" w:eastAsia="Times New Roman" w:hAnsi="Arial" w:cs="Arial"/>
                <w:sz w:val="16"/>
                <w:szCs w:val="16"/>
                <w:lang w:eastAsia="pt-BR"/>
              </w:rPr>
              <w:t>30,00</w:t>
            </w:r>
          </w:p>
        </w:tc>
      </w:tr>
    </w:tbl>
    <w:p w:rsidR="00BA33F3" w:rsidRDefault="00BA33F3" w:rsidP="007006D5">
      <w:pPr>
        <w:spacing w:line="360" w:lineRule="auto"/>
        <w:ind w:left="360"/>
        <w:jc w:val="both"/>
        <w:rPr>
          <w:sz w:val="16"/>
          <w:szCs w:val="16"/>
        </w:rPr>
      </w:pPr>
    </w:p>
    <w:p w:rsidR="007006D5" w:rsidRPr="00B547C0" w:rsidRDefault="007006D5" w:rsidP="007006D5">
      <w:pPr>
        <w:spacing w:line="360" w:lineRule="auto"/>
        <w:ind w:left="360"/>
        <w:jc w:val="both"/>
        <w:rPr>
          <w:sz w:val="16"/>
          <w:szCs w:val="16"/>
        </w:rPr>
      </w:pPr>
      <w:r w:rsidRPr="00B547C0">
        <w:rPr>
          <w:sz w:val="16"/>
          <w:szCs w:val="16"/>
        </w:rPr>
        <w:t>Fonte: OMS</w:t>
      </w:r>
      <w:r w:rsidR="008553A7">
        <w:rPr>
          <w:sz w:val="16"/>
          <w:szCs w:val="16"/>
        </w:rPr>
        <w:t xml:space="preserve"> e OCDE</w:t>
      </w:r>
      <w:r w:rsidRPr="00B547C0">
        <w:rPr>
          <w:sz w:val="16"/>
          <w:szCs w:val="16"/>
        </w:rPr>
        <w:t>, dados de 2010 e 2015</w:t>
      </w:r>
      <w:r>
        <w:rPr>
          <w:sz w:val="16"/>
          <w:szCs w:val="16"/>
        </w:rPr>
        <w:t>.</w:t>
      </w:r>
    </w:p>
    <w:p w:rsidR="00406C61" w:rsidRDefault="00406C61" w:rsidP="00D709AD">
      <w:pPr>
        <w:spacing w:line="360" w:lineRule="auto"/>
        <w:ind w:left="360"/>
        <w:jc w:val="both"/>
      </w:pPr>
    </w:p>
    <w:p w:rsidR="00895E33" w:rsidRDefault="00895E33">
      <w:r>
        <w:br w:type="page"/>
      </w:r>
    </w:p>
    <w:p w:rsidR="0098698A" w:rsidRPr="00BA33F3" w:rsidRDefault="00895E33" w:rsidP="00895E33">
      <w:pPr>
        <w:spacing w:line="360" w:lineRule="auto"/>
        <w:jc w:val="both"/>
        <w:rPr>
          <w:sz w:val="20"/>
          <w:szCs w:val="20"/>
        </w:rPr>
      </w:pPr>
      <w:r>
        <w:rPr>
          <w:sz w:val="20"/>
          <w:szCs w:val="20"/>
        </w:rPr>
        <w:lastRenderedPageBreak/>
        <w:t>2.</w:t>
      </w:r>
      <w:r w:rsidRPr="00BA33F3">
        <w:rPr>
          <w:sz w:val="20"/>
          <w:szCs w:val="20"/>
        </w:rPr>
        <w:t>2. Agora</w:t>
      </w:r>
      <w:r w:rsidR="0098698A" w:rsidRPr="00BA33F3">
        <w:rPr>
          <w:sz w:val="20"/>
          <w:szCs w:val="20"/>
        </w:rPr>
        <w:t>, vamos comparar os países entre si.</w:t>
      </w:r>
      <w:r w:rsidR="0065093B" w:rsidRPr="00BA33F3">
        <w:rPr>
          <w:sz w:val="20"/>
          <w:szCs w:val="20"/>
        </w:rPr>
        <w:t xml:space="preserve"> Qual a relação entre</w:t>
      </w:r>
      <w:r w:rsidR="006D2218" w:rsidRPr="00BA33F3">
        <w:rPr>
          <w:sz w:val="20"/>
          <w:szCs w:val="20"/>
        </w:rPr>
        <w:t xml:space="preserve"> tipo de sistema de saúde e as v</w:t>
      </w:r>
      <w:r w:rsidR="0065093B" w:rsidRPr="00BA33F3">
        <w:rPr>
          <w:sz w:val="20"/>
          <w:szCs w:val="20"/>
        </w:rPr>
        <w:t>ariáveis observadas?</w:t>
      </w:r>
      <w:r w:rsidR="0050551D">
        <w:rPr>
          <w:sz w:val="20"/>
          <w:szCs w:val="20"/>
        </w:rPr>
        <w:t xml:space="preserve"> Compare com os resultados do Brasil.</w:t>
      </w:r>
    </w:p>
    <w:p w:rsidR="0098698A" w:rsidRDefault="00332188" w:rsidP="00A708DE">
      <w:pPr>
        <w:spacing w:line="360" w:lineRule="auto"/>
        <w:jc w:val="both"/>
      </w:pPr>
      <w:r w:rsidRPr="00A708DE">
        <w:rPr>
          <w:b/>
          <w:sz w:val="20"/>
          <w:szCs w:val="20"/>
        </w:rPr>
        <w:t>Tabela 5</w:t>
      </w:r>
      <w:r w:rsidRPr="00A708DE">
        <w:rPr>
          <w:sz w:val="20"/>
          <w:szCs w:val="20"/>
        </w:rPr>
        <w:t xml:space="preserve"> – Recursos humanos e materiais e resultados intermediários de saúde</w:t>
      </w:r>
      <w:r w:rsidR="00A708DE" w:rsidRPr="00A708DE">
        <w:rPr>
          <w:sz w:val="20"/>
          <w:szCs w:val="20"/>
        </w:rPr>
        <w:t>,</w:t>
      </w:r>
      <w:r w:rsidRPr="00A708DE">
        <w:rPr>
          <w:sz w:val="20"/>
          <w:szCs w:val="20"/>
        </w:rPr>
        <w:t xml:space="preserve"> para países selecionados por tipos de sistema de saúde, </w:t>
      </w:r>
      <w:r w:rsidR="006602B8">
        <w:rPr>
          <w:sz w:val="20"/>
          <w:szCs w:val="20"/>
        </w:rPr>
        <w:t>v</w:t>
      </w:r>
      <w:r w:rsidRPr="00A708DE">
        <w:rPr>
          <w:sz w:val="20"/>
          <w:szCs w:val="20"/>
        </w:rPr>
        <w:t xml:space="preserve">alores </w:t>
      </w:r>
      <w:r w:rsidR="006602B8">
        <w:rPr>
          <w:sz w:val="20"/>
          <w:szCs w:val="20"/>
        </w:rPr>
        <w:t>de</w:t>
      </w:r>
      <w:r w:rsidRPr="00A708DE">
        <w:rPr>
          <w:sz w:val="20"/>
          <w:szCs w:val="20"/>
        </w:rPr>
        <w:t xml:space="preserve"> 2015.</w:t>
      </w:r>
    </w:p>
    <w:tbl>
      <w:tblPr>
        <w:tblW w:w="0" w:type="auto"/>
        <w:tblCellMar>
          <w:left w:w="70" w:type="dxa"/>
          <w:right w:w="70" w:type="dxa"/>
        </w:tblCellMar>
        <w:tblLook w:val="04A0" w:firstRow="1" w:lastRow="0" w:firstColumn="1" w:lastColumn="0" w:noHBand="0" w:noVBand="1"/>
      </w:tblPr>
      <w:tblGrid>
        <w:gridCol w:w="2408"/>
        <w:gridCol w:w="971"/>
        <w:gridCol w:w="1081"/>
        <w:gridCol w:w="1105"/>
        <w:gridCol w:w="915"/>
        <w:gridCol w:w="868"/>
        <w:gridCol w:w="963"/>
        <w:gridCol w:w="980"/>
        <w:gridCol w:w="1021"/>
        <w:gridCol w:w="1022"/>
        <w:gridCol w:w="1439"/>
        <w:gridCol w:w="1231"/>
      </w:tblGrid>
      <w:tr w:rsidR="007006D5" w:rsidRPr="0098698A" w:rsidTr="0098698A">
        <w:trPr>
          <w:trHeight w:val="885"/>
        </w:trPr>
        <w:tc>
          <w:tcPr>
            <w:tcW w:w="0" w:type="auto"/>
            <w:tcBorders>
              <w:top w:val="nil"/>
              <w:left w:val="nil"/>
              <w:bottom w:val="nil"/>
              <w:right w:val="nil"/>
            </w:tcBorders>
            <w:shd w:val="clear" w:color="auto" w:fill="auto"/>
            <w:noWrap/>
            <w:vAlign w:val="bottom"/>
            <w:hideMark/>
          </w:tcPr>
          <w:p w:rsidR="0098698A" w:rsidRPr="0098698A" w:rsidRDefault="0098698A" w:rsidP="0098698A">
            <w:pPr>
              <w:spacing w:after="0" w:line="240" w:lineRule="auto"/>
              <w:rPr>
                <w:rFonts w:ascii="Arial" w:eastAsia="Times New Roman" w:hAnsi="Arial" w:cs="Arial"/>
                <w:b/>
                <w:bCs/>
                <w:sz w:val="16"/>
                <w:szCs w:val="16"/>
                <w:lang w:eastAsia="pt-BR"/>
              </w:rPr>
            </w:pPr>
            <w:r w:rsidRPr="0098698A">
              <w:rPr>
                <w:rFonts w:ascii="Arial" w:eastAsia="Times New Roman" w:hAnsi="Arial" w:cs="Arial"/>
                <w:b/>
                <w:bCs/>
                <w:sz w:val="16"/>
                <w:szCs w:val="16"/>
                <w:lang w:eastAsia="pt-BR"/>
              </w:rPr>
              <w:t>Países selecionados</w:t>
            </w:r>
          </w:p>
        </w:tc>
        <w:tc>
          <w:tcPr>
            <w:tcW w:w="0" w:type="auto"/>
            <w:tcBorders>
              <w:top w:val="nil"/>
              <w:left w:val="nil"/>
              <w:bottom w:val="nil"/>
              <w:right w:val="nil"/>
            </w:tcBorders>
            <w:shd w:val="clear" w:color="000000" w:fill="FCE4D6"/>
            <w:vAlign w:val="bottom"/>
            <w:hideMark/>
          </w:tcPr>
          <w:p w:rsidR="0098698A" w:rsidRPr="0098698A" w:rsidRDefault="0098698A" w:rsidP="0098698A">
            <w:pPr>
              <w:spacing w:after="0" w:line="240" w:lineRule="auto"/>
              <w:jc w:val="center"/>
              <w:rPr>
                <w:rFonts w:ascii="Arial" w:eastAsia="Times New Roman" w:hAnsi="Arial" w:cs="Arial"/>
                <w:b/>
                <w:bCs/>
                <w:sz w:val="16"/>
                <w:szCs w:val="16"/>
                <w:lang w:eastAsia="pt-BR"/>
              </w:rPr>
            </w:pPr>
            <w:r w:rsidRPr="0098698A">
              <w:rPr>
                <w:rFonts w:ascii="Arial" w:eastAsia="Times New Roman" w:hAnsi="Arial" w:cs="Arial"/>
                <w:b/>
                <w:bCs/>
                <w:sz w:val="16"/>
                <w:szCs w:val="16"/>
                <w:lang w:eastAsia="pt-BR"/>
              </w:rPr>
              <w:t>Densidade médicos (10 mil)</w:t>
            </w:r>
          </w:p>
        </w:tc>
        <w:tc>
          <w:tcPr>
            <w:tcW w:w="0" w:type="auto"/>
            <w:tcBorders>
              <w:top w:val="nil"/>
              <w:left w:val="nil"/>
              <w:bottom w:val="nil"/>
              <w:right w:val="nil"/>
            </w:tcBorders>
            <w:shd w:val="clear" w:color="000000" w:fill="FCE4D6"/>
            <w:vAlign w:val="bottom"/>
            <w:hideMark/>
          </w:tcPr>
          <w:p w:rsidR="0098698A" w:rsidRPr="0098698A" w:rsidRDefault="0098698A" w:rsidP="000F2253">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w:t>
            </w:r>
            <w:r w:rsidRPr="0098698A">
              <w:rPr>
                <w:rFonts w:ascii="Arial" w:eastAsia="Times New Roman" w:hAnsi="Arial" w:cs="Arial"/>
                <w:b/>
                <w:bCs/>
                <w:sz w:val="16"/>
                <w:szCs w:val="16"/>
                <w:lang w:eastAsia="pt-BR"/>
              </w:rPr>
              <w:t>ensidade enfermeiros</w:t>
            </w:r>
            <w:r w:rsidR="000F2253">
              <w:rPr>
                <w:rFonts w:ascii="Arial" w:eastAsia="Times New Roman" w:hAnsi="Arial" w:cs="Arial"/>
                <w:b/>
                <w:bCs/>
                <w:sz w:val="16"/>
                <w:szCs w:val="16"/>
                <w:lang w:eastAsia="pt-BR"/>
              </w:rPr>
              <w:t xml:space="preserve"> </w:t>
            </w:r>
            <w:r w:rsidRPr="0098698A">
              <w:rPr>
                <w:rFonts w:ascii="Arial" w:eastAsia="Times New Roman" w:hAnsi="Arial" w:cs="Arial"/>
                <w:b/>
                <w:bCs/>
                <w:sz w:val="16"/>
                <w:szCs w:val="16"/>
                <w:lang w:eastAsia="pt-BR"/>
              </w:rPr>
              <w:t>(10 mil)</w:t>
            </w:r>
          </w:p>
        </w:tc>
        <w:tc>
          <w:tcPr>
            <w:tcW w:w="0" w:type="auto"/>
            <w:tcBorders>
              <w:top w:val="nil"/>
              <w:left w:val="nil"/>
              <w:bottom w:val="nil"/>
              <w:right w:val="nil"/>
            </w:tcBorders>
            <w:shd w:val="clear" w:color="000000" w:fill="FCE4D6"/>
            <w:vAlign w:val="bottom"/>
            <w:hideMark/>
          </w:tcPr>
          <w:p w:rsidR="0098698A" w:rsidRPr="0098698A" w:rsidRDefault="0098698A" w:rsidP="0098698A">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w:t>
            </w:r>
            <w:r w:rsidRPr="0098698A">
              <w:rPr>
                <w:rFonts w:ascii="Arial" w:eastAsia="Times New Roman" w:hAnsi="Arial" w:cs="Arial"/>
                <w:b/>
                <w:bCs/>
                <w:sz w:val="16"/>
                <w:szCs w:val="16"/>
                <w:lang w:eastAsia="pt-BR"/>
              </w:rPr>
              <w:t xml:space="preserve">ensidade leitos hospitalares </w:t>
            </w:r>
            <w:r w:rsidRPr="0098698A">
              <w:rPr>
                <w:rFonts w:ascii="Arial" w:eastAsia="Times New Roman" w:hAnsi="Arial" w:cs="Arial"/>
                <w:b/>
                <w:bCs/>
                <w:sz w:val="16"/>
                <w:szCs w:val="16"/>
                <w:lang w:eastAsia="pt-BR"/>
              </w:rPr>
              <w:br/>
              <w:t>(10 mil)</w:t>
            </w:r>
          </w:p>
        </w:tc>
        <w:tc>
          <w:tcPr>
            <w:tcW w:w="0" w:type="auto"/>
            <w:tcBorders>
              <w:top w:val="nil"/>
              <w:left w:val="nil"/>
              <w:bottom w:val="nil"/>
              <w:right w:val="nil"/>
            </w:tcBorders>
            <w:shd w:val="clear" w:color="000000" w:fill="FCE4D6"/>
            <w:vAlign w:val="bottom"/>
            <w:hideMark/>
          </w:tcPr>
          <w:p w:rsidR="0098698A" w:rsidRPr="0098698A" w:rsidRDefault="0098698A" w:rsidP="0098698A">
            <w:pPr>
              <w:spacing w:after="0" w:line="240" w:lineRule="auto"/>
              <w:jc w:val="center"/>
              <w:rPr>
                <w:rFonts w:ascii="Arial" w:eastAsia="Times New Roman" w:hAnsi="Arial" w:cs="Arial"/>
                <w:b/>
                <w:bCs/>
                <w:sz w:val="16"/>
                <w:szCs w:val="16"/>
                <w:lang w:eastAsia="pt-BR"/>
              </w:rPr>
            </w:pPr>
            <w:r w:rsidRPr="0098698A">
              <w:rPr>
                <w:rFonts w:ascii="Arial" w:eastAsia="Times New Roman" w:hAnsi="Arial" w:cs="Arial"/>
                <w:b/>
                <w:bCs/>
                <w:sz w:val="16"/>
                <w:szCs w:val="16"/>
                <w:lang w:eastAsia="pt-BR"/>
              </w:rPr>
              <w:t xml:space="preserve">Consultas </w:t>
            </w:r>
            <w:r w:rsidRPr="0098698A">
              <w:rPr>
                <w:rFonts w:ascii="Arial" w:eastAsia="Times New Roman" w:hAnsi="Arial" w:cs="Arial"/>
                <w:b/>
                <w:bCs/>
                <w:sz w:val="16"/>
                <w:szCs w:val="16"/>
                <w:lang w:eastAsia="pt-BR"/>
              </w:rPr>
              <w:br/>
              <w:t>per capita</w:t>
            </w:r>
            <w:r w:rsidR="007006D5">
              <w:rPr>
                <w:rFonts w:ascii="Arial" w:eastAsia="Times New Roman" w:hAnsi="Arial" w:cs="Arial"/>
                <w:b/>
                <w:bCs/>
                <w:sz w:val="16"/>
                <w:szCs w:val="16"/>
                <w:lang w:eastAsia="pt-BR"/>
              </w:rPr>
              <w:t>*</w:t>
            </w:r>
          </w:p>
        </w:tc>
        <w:tc>
          <w:tcPr>
            <w:tcW w:w="0" w:type="auto"/>
            <w:tcBorders>
              <w:top w:val="nil"/>
              <w:left w:val="nil"/>
              <w:bottom w:val="nil"/>
              <w:right w:val="nil"/>
            </w:tcBorders>
            <w:shd w:val="clear" w:color="000000" w:fill="FCE4D6"/>
            <w:vAlign w:val="bottom"/>
            <w:hideMark/>
          </w:tcPr>
          <w:p w:rsidR="0098698A" w:rsidRPr="0098698A" w:rsidRDefault="0098698A" w:rsidP="0098698A">
            <w:pPr>
              <w:spacing w:after="0" w:line="240" w:lineRule="auto"/>
              <w:jc w:val="center"/>
              <w:rPr>
                <w:rFonts w:ascii="Arial" w:eastAsia="Times New Roman" w:hAnsi="Arial" w:cs="Arial"/>
                <w:b/>
                <w:bCs/>
                <w:sz w:val="16"/>
                <w:szCs w:val="16"/>
                <w:lang w:eastAsia="pt-BR"/>
              </w:rPr>
            </w:pPr>
            <w:r w:rsidRPr="0098698A">
              <w:rPr>
                <w:rFonts w:ascii="Arial" w:eastAsia="Times New Roman" w:hAnsi="Arial" w:cs="Arial"/>
                <w:b/>
                <w:bCs/>
                <w:sz w:val="16"/>
                <w:szCs w:val="16"/>
                <w:lang w:eastAsia="pt-BR"/>
              </w:rPr>
              <w:t xml:space="preserve">Barreiras ao acesso </w:t>
            </w:r>
            <w:r w:rsidR="007006D5">
              <w:rPr>
                <w:rFonts w:ascii="Arial" w:eastAsia="Times New Roman" w:hAnsi="Arial" w:cs="Arial"/>
                <w:b/>
                <w:bCs/>
                <w:sz w:val="16"/>
                <w:szCs w:val="16"/>
                <w:lang w:eastAsia="pt-BR"/>
              </w:rPr>
              <w:t>–</w:t>
            </w:r>
            <w:r w:rsidRPr="0098698A">
              <w:rPr>
                <w:rFonts w:ascii="Arial" w:eastAsia="Times New Roman" w:hAnsi="Arial" w:cs="Arial"/>
                <w:b/>
                <w:bCs/>
                <w:sz w:val="16"/>
                <w:szCs w:val="16"/>
                <w:lang w:eastAsia="pt-BR"/>
              </w:rPr>
              <w:t xml:space="preserve"> custo</w:t>
            </w:r>
            <w:r w:rsidR="007006D5">
              <w:rPr>
                <w:rFonts w:ascii="Arial" w:eastAsia="Times New Roman" w:hAnsi="Arial" w:cs="Arial"/>
                <w:b/>
                <w:bCs/>
                <w:sz w:val="16"/>
                <w:szCs w:val="16"/>
                <w:lang w:eastAsia="pt-BR"/>
              </w:rPr>
              <w:t>*</w:t>
            </w:r>
          </w:p>
        </w:tc>
        <w:tc>
          <w:tcPr>
            <w:tcW w:w="0" w:type="auto"/>
            <w:tcBorders>
              <w:top w:val="nil"/>
              <w:left w:val="nil"/>
              <w:bottom w:val="nil"/>
              <w:right w:val="nil"/>
            </w:tcBorders>
            <w:shd w:val="clear" w:color="000000" w:fill="FCE4D6"/>
            <w:vAlign w:val="bottom"/>
            <w:hideMark/>
          </w:tcPr>
          <w:p w:rsidR="0098698A" w:rsidRPr="0098698A" w:rsidRDefault="0098698A" w:rsidP="0098698A">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w:t>
            </w:r>
            <w:r w:rsidRPr="0098698A">
              <w:rPr>
                <w:rFonts w:ascii="Arial" w:eastAsia="Times New Roman" w:hAnsi="Arial" w:cs="Arial"/>
                <w:b/>
                <w:bCs/>
                <w:sz w:val="16"/>
                <w:szCs w:val="16"/>
                <w:lang w:eastAsia="pt-BR"/>
              </w:rPr>
              <w:t xml:space="preserve">ensidade </w:t>
            </w:r>
            <w:proofErr w:type="gramStart"/>
            <w:r w:rsidRPr="0098698A">
              <w:rPr>
                <w:rFonts w:ascii="Arial" w:eastAsia="Times New Roman" w:hAnsi="Arial" w:cs="Arial"/>
                <w:b/>
                <w:bCs/>
                <w:sz w:val="16"/>
                <w:szCs w:val="16"/>
                <w:lang w:eastAsia="pt-BR"/>
              </w:rPr>
              <w:t>hospitais</w:t>
            </w:r>
            <w:r w:rsidRPr="0098698A">
              <w:rPr>
                <w:rFonts w:ascii="Arial" w:eastAsia="Times New Roman" w:hAnsi="Arial" w:cs="Arial"/>
                <w:b/>
                <w:bCs/>
                <w:sz w:val="16"/>
                <w:szCs w:val="16"/>
                <w:lang w:eastAsia="pt-BR"/>
              </w:rPr>
              <w:br/>
              <w:t>(</w:t>
            </w:r>
            <w:proofErr w:type="gramEnd"/>
            <w:r w:rsidRPr="0098698A">
              <w:rPr>
                <w:rFonts w:ascii="Arial" w:eastAsia="Times New Roman" w:hAnsi="Arial" w:cs="Arial"/>
                <w:b/>
                <w:bCs/>
                <w:sz w:val="16"/>
                <w:szCs w:val="16"/>
                <w:lang w:eastAsia="pt-BR"/>
              </w:rPr>
              <w:t>100 mil)</w:t>
            </w:r>
          </w:p>
        </w:tc>
        <w:tc>
          <w:tcPr>
            <w:tcW w:w="0" w:type="auto"/>
            <w:tcBorders>
              <w:top w:val="nil"/>
              <w:left w:val="nil"/>
              <w:bottom w:val="nil"/>
              <w:right w:val="nil"/>
            </w:tcBorders>
            <w:shd w:val="clear" w:color="000000" w:fill="E2EFDA"/>
            <w:vAlign w:val="bottom"/>
            <w:hideMark/>
          </w:tcPr>
          <w:p w:rsidR="0098698A" w:rsidRPr="0098698A" w:rsidRDefault="0098698A" w:rsidP="0098698A">
            <w:pPr>
              <w:spacing w:after="0" w:line="240" w:lineRule="auto"/>
              <w:jc w:val="center"/>
              <w:rPr>
                <w:rFonts w:ascii="Arial" w:eastAsia="Times New Roman" w:hAnsi="Arial" w:cs="Arial"/>
                <w:b/>
                <w:bCs/>
                <w:sz w:val="16"/>
                <w:szCs w:val="16"/>
                <w:lang w:eastAsia="pt-BR"/>
              </w:rPr>
            </w:pPr>
            <w:r w:rsidRPr="0098698A">
              <w:rPr>
                <w:rFonts w:ascii="Arial" w:eastAsia="Times New Roman" w:hAnsi="Arial" w:cs="Arial"/>
                <w:b/>
                <w:bCs/>
                <w:sz w:val="16"/>
                <w:szCs w:val="16"/>
                <w:lang w:eastAsia="pt-BR"/>
              </w:rPr>
              <w:t>Cobertura serviços essenciais (%)</w:t>
            </w:r>
          </w:p>
        </w:tc>
        <w:tc>
          <w:tcPr>
            <w:tcW w:w="0" w:type="auto"/>
            <w:tcBorders>
              <w:top w:val="nil"/>
              <w:left w:val="nil"/>
              <w:bottom w:val="nil"/>
              <w:right w:val="nil"/>
            </w:tcBorders>
            <w:shd w:val="clear" w:color="000000" w:fill="E2EFDA"/>
            <w:vAlign w:val="bottom"/>
            <w:hideMark/>
          </w:tcPr>
          <w:p w:rsidR="0098698A" w:rsidRPr="0098698A" w:rsidRDefault="0098698A" w:rsidP="0098698A">
            <w:pPr>
              <w:spacing w:after="0" w:line="240" w:lineRule="auto"/>
              <w:jc w:val="center"/>
              <w:rPr>
                <w:rFonts w:ascii="Arial" w:eastAsia="Times New Roman" w:hAnsi="Arial" w:cs="Arial"/>
                <w:b/>
                <w:bCs/>
                <w:sz w:val="16"/>
                <w:szCs w:val="16"/>
                <w:lang w:eastAsia="pt-BR"/>
              </w:rPr>
            </w:pPr>
            <w:r w:rsidRPr="0098698A">
              <w:rPr>
                <w:rFonts w:ascii="Arial" w:eastAsia="Times New Roman" w:hAnsi="Arial" w:cs="Arial"/>
                <w:b/>
                <w:bCs/>
                <w:sz w:val="16"/>
                <w:szCs w:val="16"/>
                <w:lang w:eastAsia="pt-BR"/>
              </w:rPr>
              <w:t>Tratamento TB (%)</w:t>
            </w:r>
          </w:p>
        </w:tc>
        <w:tc>
          <w:tcPr>
            <w:tcW w:w="0" w:type="auto"/>
            <w:tcBorders>
              <w:top w:val="nil"/>
              <w:left w:val="nil"/>
              <w:bottom w:val="nil"/>
              <w:right w:val="nil"/>
            </w:tcBorders>
            <w:shd w:val="clear" w:color="000000" w:fill="E2EFDA"/>
            <w:vAlign w:val="bottom"/>
            <w:hideMark/>
          </w:tcPr>
          <w:p w:rsidR="0098698A" w:rsidRPr="0098698A" w:rsidRDefault="0098698A" w:rsidP="0098698A">
            <w:pPr>
              <w:spacing w:after="0" w:line="240" w:lineRule="auto"/>
              <w:jc w:val="center"/>
              <w:rPr>
                <w:rFonts w:ascii="Arial" w:eastAsia="Times New Roman" w:hAnsi="Arial" w:cs="Arial"/>
                <w:b/>
                <w:bCs/>
                <w:sz w:val="16"/>
                <w:szCs w:val="16"/>
                <w:lang w:eastAsia="pt-BR"/>
              </w:rPr>
            </w:pPr>
            <w:r w:rsidRPr="0098698A">
              <w:rPr>
                <w:rFonts w:ascii="Arial" w:eastAsia="Times New Roman" w:hAnsi="Arial" w:cs="Arial"/>
                <w:b/>
                <w:bCs/>
                <w:sz w:val="16"/>
                <w:szCs w:val="16"/>
                <w:lang w:eastAsia="pt-BR"/>
              </w:rPr>
              <w:t>Tratamento HIV (%)</w:t>
            </w:r>
          </w:p>
        </w:tc>
        <w:tc>
          <w:tcPr>
            <w:tcW w:w="0" w:type="auto"/>
            <w:tcBorders>
              <w:top w:val="nil"/>
              <w:left w:val="nil"/>
              <w:bottom w:val="nil"/>
              <w:right w:val="nil"/>
            </w:tcBorders>
            <w:shd w:val="clear" w:color="000000" w:fill="E2EFDA"/>
            <w:vAlign w:val="bottom"/>
            <w:hideMark/>
          </w:tcPr>
          <w:p w:rsidR="0098698A" w:rsidRPr="0098698A" w:rsidRDefault="0098698A" w:rsidP="0098698A">
            <w:pPr>
              <w:spacing w:after="0" w:line="240" w:lineRule="auto"/>
              <w:jc w:val="center"/>
              <w:rPr>
                <w:rFonts w:ascii="Arial" w:eastAsia="Times New Roman" w:hAnsi="Arial" w:cs="Arial"/>
                <w:b/>
                <w:bCs/>
                <w:sz w:val="16"/>
                <w:szCs w:val="16"/>
                <w:lang w:eastAsia="pt-BR"/>
              </w:rPr>
            </w:pPr>
            <w:r w:rsidRPr="0098698A">
              <w:rPr>
                <w:rFonts w:ascii="Arial" w:eastAsia="Times New Roman" w:hAnsi="Arial" w:cs="Arial"/>
                <w:b/>
                <w:bCs/>
                <w:sz w:val="16"/>
                <w:szCs w:val="16"/>
                <w:lang w:eastAsia="pt-BR"/>
              </w:rPr>
              <w:t>Vacinação sarampo cobertura</w:t>
            </w:r>
            <w:r w:rsidR="007006D5">
              <w:rPr>
                <w:rFonts w:ascii="Arial" w:eastAsia="Times New Roman" w:hAnsi="Arial" w:cs="Arial"/>
                <w:b/>
                <w:bCs/>
                <w:sz w:val="16"/>
                <w:szCs w:val="16"/>
                <w:lang w:eastAsia="pt-BR"/>
              </w:rPr>
              <w:t>*</w:t>
            </w:r>
            <w:r w:rsidR="00406C96">
              <w:rPr>
                <w:rFonts w:ascii="Arial" w:eastAsia="Times New Roman" w:hAnsi="Arial" w:cs="Arial"/>
                <w:b/>
                <w:bCs/>
                <w:sz w:val="16"/>
                <w:szCs w:val="16"/>
                <w:lang w:eastAsia="pt-BR"/>
              </w:rPr>
              <w:t>&lt;1ano (%)</w:t>
            </w:r>
          </w:p>
        </w:tc>
        <w:tc>
          <w:tcPr>
            <w:tcW w:w="0" w:type="auto"/>
            <w:tcBorders>
              <w:top w:val="nil"/>
              <w:left w:val="nil"/>
              <w:bottom w:val="nil"/>
              <w:right w:val="nil"/>
            </w:tcBorders>
            <w:shd w:val="clear" w:color="000000" w:fill="E2EFDA"/>
            <w:vAlign w:val="bottom"/>
            <w:hideMark/>
          </w:tcPr>
          <w:p w:rsidR="0098698A" w:rsidRPr="0098698A" w:rsidRDefault="0098698A" w:rsidP="0098698A">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Ra</w:t>
            </w:r>
            <w:r w:rsidRPr="0098698A">
              <w:rPr>
                <w:rFonts w:ascii="Arial" w:eastAsia="Times New Roman" w:hAnsi="Arial" w:cs="Arial"/>
                <w:b/>
                <w:bCs/>
                <w:sz w:val="16"/>
                <w:szCs w:val="16"/>
                <w:lang w:eastAsia="pt-BR"/>
              </w:rPr>
              <w:t>streamento de colo útero (%)</w:t>
            </w:r>
          </w:p>
        </w:tc>
      </w:tr>
      <w:tr w:rsidR="00053E0C" w:rsidRPr="0098698A" w:rsidTr="0098698A">
        <w:trPr>
          <w:trHeight w:val="660"/>
        </w:trPr>
        <w:tc>
          <w:tcPr>
            <w:tcW w:w="0" w:type="auto"/>
            <w:tcBorders>
              <w:top w:val="nil"/>
              <w:left w:val="nil"/>
              <w:bottom w:val="nil"/>
              <w:right w:val="nil"/>
            </w:tcBorders>
            <w:shd w:val="clear" w:color="auto" w:fill="auto"/>
            <w:noWrap/>
            <w:vAlign w:val="bottom"/>
            <w:hideMark/>
          </w:tcPr>
          <w:p w:rsidR="00053E0C" w:rsidRDefault="00053E0C" w:rsidP="00053E0C">
            <w:pPr>
              <w:spacing w:after="0" w:line="240" w:lineRule="auto"/>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Reino Unido</w:t>
            </w:r>
            <w:r>
              <w:rPr>
                <w:rFonts w:ascii="Arial" w:eastAsia="Times New Roman" w:hAnsi="Arial" w:cs="Arial"/>
                <w:b/>
                <w:bCs/>
                <w:sz w:val="16"/>
                <w:szCs w:val="16"/>
                <w:lang w:eastAsia="pt-BR"/>
              </w:rPr>
              <w:t xml:space="preserve"> </w:t>
            </w:r>
          </w:p>
          <w:p w:rsidR="00053E0C" w:rsidRPr="00AB58B9" w:rsidRDefault="00053E0C" w:rsidP="00053E0C">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(Serviço Nacional de Saúde)</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27,78</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88,27</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28,00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5,00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7,00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2,89</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80,00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70,00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93,00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85,00</w:t>
            </w:r>
          </w:p>
        </w:tc>
      </w:tr>
      <w:tr w:rsidR="00053E0C" w:rsidRPr="0098698A" w:rsidTr="0098698A">
        <w:trPr>
          <w:trHeight w:val="240"/>
        </w:trPr>
        <w:tc>
          <w:tcPr>
            <w:tcW w:w="0" w:type="auto"/>
            <w:tcBorders>
              <w:top w:val="nil"/>
              <w:left w:val="nil"/>
              <w:bottom w:val="nil"/>
              <w:right w:val="nil"/>
            </w:tcBorders>
            <w:shd w:val="clear" w:color="auto" w:fill="auto"/>
            <w:noWrap/>
            <w:vAlign w:val="bottom"/>
            <w:hideMark/>
          </w:tcPr>
          <w:p w:rsidR="00053E0C" w:rsidRPr="00AB58B9" w:rsidRDefault="00053E0C"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r>
      <w:tr w:rsidR="00053E0C" w:rsidRPr="0098698A" w:rsidTr="0098698A">
        <w:trPr>
          <w:trHeight w:val="600"/>
        </w:trPr>
        <w:tc>
          <w:tcPr>
            <w:tcW w:w="0" w:type="auto"/>
            <w:tcBorders>
              <w:top w:val="nil"/>
              <w:left w:val="nil"/>
              <w:bottom w:val="nil"/>
              <w:right w:val="nil"/>
            </w:tcBorders>
            <w:shd w:val="clear" w:color="auto" w:fill="auto"/>
            <w:noWrap/>
            <w:vAlign w:val="bottom"/>
            <w:hideMark/>
          </w:tcPr>
          <w:p w:rsidR="00053E0C" w:rsidRDefault="00053E0C" w:rsidP="00053E0C">
            <w:pPr>
              <w:spacing w:after="0" w:line="240" w:lineRule="auto"/>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Canadá</w:t>
            </w:r>
          </w:p>
          <w:p w:rsidR="00053E0C" w:rsidRPr="00AB58B9" w:rsidRDefault="00053E0C" w:rsidP="00053E0C">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(Seguro Saúde Nacional)</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25,39</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98,40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27,00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7,60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16,00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2,01</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80,00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73</w:t>
            </w:r>
            <w:r>
              <w:rPr>
                <w:rFonts w:ascii="Arial" w:eastAsia="Times New Roman" w:hAnsi="Arial" w:cs="Arial"/>
                <w:sz w:val="16"/>
                <w:szCs w:val="16"/>
                <w:lang w:eastAsia="pt-BR"/>
              </w:rPr>
              <w:t>,00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95,00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85,00</w:t>
            </w:r>
          </w:p>
        </w:tc>
      </w:tr>
      <w:tr w:rsidR="00053E0C" w:rsidRPr="0098698A" w:rsidTr="0098698A">
        <w:trPr>
          <w:trHeight w:val="255"/>
        </w:trPr>
        <w:tc>
          <w:tcPr>
            <w:tcW w:w="0" w:type="auto"/>
            <w:tcBorders>
              <w:top w:val="nil"/>
              <w:left w:val="nil"/>
              <w:bottom w:val="nil"/>
              <w:right w:val="nil"/>
            </w:tcBorders>
            <w:shd w:val="clear" w:color="auto" w:fill="auto"/>
            <w:noWrap/>
            <w:vAlign w:val="bottom"/>
            <w:hideMark/>
          </w:tcPr>
          <w:p w:rsidR="00053E0C" w:rsidRPr="00AB58B9" w:rsidRDefault="00053E0C"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r>
      <w:tr w:rsidR="00053E0C" w:rsidRPr="0098698A" w:rsidTr="0098698A">
        <w:trPr>
          <w:trHeight w:val="435"/>
        </w:trPr>
        <w:tc>
          <w:tcPr>
            <w:tcW w:w="0" w:type="auto"/>
            <w:tcBorders>
              <w:top w:val="nil"/>
              <w:left w:val="nil"/>
              <w:bottom w:val="nil"/>
              <w:right w:val="nil"/>
            </w:tcBorders>
            <w:shd w:val="clear" w:color="auto" w:fill="auto"/>
            <w:noWrap/>
            <w:vAlign w:val="bottom"/>
            <w:hideMark/>
          </w:tcPr>
          <w:p w:rsidR="00053E0C" w:rsidRDefault="00053E0C" w:rsidP="00053E0C">
            <w:pPr>
              <w:spacing w:after="0" w:line="240" w:lineRule="auto"/>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Estados Unidos</w:t>
            </w:r>
          </w:p>
          <w:p w:rsidR="00053E0C" w:rsidRPr="00AB58B9" w:rsidRDefault="00053E0C" w:rsidP="00053E0C">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(Sistema privado de saúde)</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25,86</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85,50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29,00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4,00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33,00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1,73</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80,00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57,00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91,00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85,00</w:t>
            </w:r>
          </w:p>
        </w:tc>
      </w:tr>
      <w:tr w:rsidR="00053E0C" w:rsidRPr="0098698A" w:rsidTr="0098698A">
        <w:trPr>
          <w:trHeight w:val="180"/>
        </w:trPr>
        <w:tc>
          <w:tcPr>
            <w:tcW w:w="0" w:type="auto"/>
            <w:tcBorders>
              <w:top w:val="nil"/>
              <w:left w:val="nil"/>
              <w:bottom w:val="nil"/>
              <w:right w:val="nil"/>
            </w:tcBorders>
            <w:shd w:val="clear" w:color="auto" w:fill="auto"/>
            <w:noWrap/>
            <w:vAlign w:val="bottom"/>
            <w:hideMark/>
          </w:tcPr>
          <w:p w:rsidR="00053E0C" w:rsidRPr="00AB58B9" w:rsidRDefault="00053E0C"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r>
      <w:tr w:rsidR="00053E0C" w:rsidRPr="0098698A" w:rsidTr="0098698A">
        <w:trPr>
          <w:trHeight w:val="570"/>
        </w:trPr>
        <w:tc>
          <w:tcPr>
            <w:tcW w:w="0" w:type="auto"/>
            <w:tcBorders>
              <w:top w:val="nil"/>
              <w:left w:val="nil"/>
              <w:bottom w:val="nil"/>
              <w:right w:val="nil"/>
            </w:tcBorders>
            <w:shd w:val="clear" w:color="auto" w:fill="auto"/>
            <w:noWrap/>
            <w:vAlign w:val="bottom"/>
            <w:hideMark/>
          </w:tcPr>
          <w:p w:rsidR="00053E0C" w:rsidRDefault="00053E0C" w:rsidP="00053E0C">
            <w:pPr>
              <w:spacing w:after="0" w:line="240" w:lineRule="auto"/>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Alemanha</w:t>
            </w:r>
          </w:p>
          <w:p w:rsidR="00053E0C" w:rsidRPr="00AB58B9" w:rsidRDefault="00053E0C" w:rsidP="00053E0C">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(Seguro Saúde Social)</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32,35</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96,89</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65,00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9,90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7,00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3,81</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79,00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57,00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74,00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97,00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85,00</w:t>
            </w:r>
          </w:p>
        </w:tc>
      </w:tr>
      <w:tr w:rsidR="00053E0C" w:rsidRPr="0098698A" w:rsidTr="0098698A">
        <w:trPr>
          <w:trHeight w:val="255"/>
        </w:trPr>
        <w:tc>
          <w:tcPr>
            <w:tcW w:w="0" w:type="auto"/>
            <w:tcBorders>
              <w:top w:val="nil"/>
              <w:left w:val="nil"/>
              <w:bottom w:val="nil"/>
              <w:right w:val="nil"/>
            </w:tcBorders>
            <w:shd w:val="clear" w:color="auto" w:fill="auto"/>
            <w:noWrap/>
            <w:vAlign w:val="bottom"/>
            <w:hideMark/>
          </w:tcPr>
          <w:p w:rsidR="00053E0C" w:rsidRPr="00AB58B9" w:rsidRDefault="00053E0C"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Times New Roman" w:eastAsia="Times New Roman" w:hAnsi="Times New Roman" w:cs="Times New Roman"/>
                <w:sz w:val="16"/>
                <w:szCs w:val="16"/>
                <w:lang w:eastAsia="pt-BR"/>
              </w:rPr>
            </w:pPr>
          </w:p>
        </w:tc>
      </w:tr>
      <w:tr w:rsidR="00053E0C" w:rsidRPr="0098698A" w:rsidTr="0098698A">
        <w:trPr>
          <w:trHeight w:val="510"/>
        </w:trPr>
        <w:tc>
          <w:tcPr>
            <w:tcW w:w="0" w:type="auto"/>
            <w:tcBorders>
              <w:top w:val="nil"/>
              <w:left w:val="nil"/>
              <w:bottom w:val="nil"/>
              <w:right w:val="nil"/>
            </w:tcBorders>
            <w:shd w:val="clear" w:color="auto" w:fill="auto"/>
            <w:noWrap/>
            <w:vAlign w:val="bottom"/>
            <w:hideMark/>
          </w:tcPr>
          <w:p w:rsidR="00053E0C" w:rsidRDefault="00053E0C" w:rsidP="00053E0C">
            <w:pPr>
              <w:spacing w:after="0" w:line="240" w:lineRule="auto"/>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França</w:t>
            </w:r>
          </w:p>
          <w:p w:rsidR="00053E0C" w:rsidRPr="00AB58B9" w:rsidRDefault="00053E0C" w:rsidP="00053E0C">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(Seguro Saúde Social Estatal)</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41,38</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129,24</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83,00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6,30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17,00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4,64</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80,00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45,00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81,00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90,00</w:t>
            </w:r>
          </w:p>
        </w:tc>
        <w:tc>
          <w:tcPr>
            <w:tcW w:w="0" w:type="auto"/>
            <w:tcBorders>
              <w:top w:val="nil"/>
              <w:left w:val="nil"/>
              <w:bottom w:val="nil"/>
              <w:right w:val="nil"/>
            </w:tcBorders>
            <w:shd w:val="clear" w:color="auto" w:fill="auto"/>
            <w:noWrap/>
            <w:vAlign w:val="center"/>
            <w:hideMark/>
          </w:tcPr>
          <w:p w:rsidR="00053E0C" w:rsidRPr="0098698A" w:rsidRDefault="00053E0C" w:rsidP="00053E0C">
            <w:pPr>
              <w:spacing w:after="0" w:line="240" w:lineRule="auto"/>
              <w:jc w:val="center"/>
              <w:rPr>
                <w:rFonts w:ascii="Arial" w:eastAsia="Times New Roman" w:hAnsi="Arial" w:cs="Arial"/>
                <w:sz w:val="16"/>
                <w:szCs w:val="16"/>
                <w:lang w:eastAsia="pt-BR"/>
              </w:rPr>
            </w:pPr>
            <w:r w:rsidRPr="0098698A">
              <w:rPr>
                <w:rFonts w:ascii="Arial" w:eastAsia="Times New Roman" w:hAnsi="Arial" w:cs="Arial"/>
                <w:sz w:val="16"/>
                <w:szCs w:val="16"/>
                <w:lang w:eastAsia="pt-BR"/>
              </w:rPr>
              <w:t>60,00</w:t>
            </w:r>
          </w:p>
        </w:tc>
      </w:tr>
      <w:tr w:rsidR="000F2253" w:rsidRPr="0098698A" w:rsidTr="000F2253">
        <w:trPr>
          <w:trHeight w:val="311"/>
        </w:trPr>
        <w:tc>
          <w:tcPr>
            <w:tcW w:w="0" w:type="auto"/>
            <w:tcBorders>
              <w:top w:val="nil"/>
              <w:left w:val="nil"/>
              <w:bottom w:val="nil"/>
              <w:right w:val="nil"/>
            </w:tcBorders>
            <w:shd w:val="clear" w:color="auto" w:fill="auto"/>
            <w:noWrap/>
            <w:vAlign w:val="bottom"/>
          </w:tcPr>
          <w:p w:rsidR="000F2253" w:rsidRPr="00AB58B9" w:rsidRDefault="000F2253" w:rsidP="00053E0C">
            <w:pPr>
              <w:spacing w:after="0" w:line="240" w:lineRule="auto"/>
              <w:rPr>
                <w:rFonts w:ascii="Arial" w:eastAsia="Times New Roman" w:hAnsi="Arial" w:cs="Arial"/>
                <w:b/>
                <w:bCs/>
                <w:sz w:val="16"/>
                <w:szCs w:val="16"/>
                <w:lang w:eastAsia="pt-BR"/>
              </w:rPr>
            </w:pPr>
          </w:p>
        </w:tc>
        <w:tc>
          <w:tcPr>
            <w:tcW w:w="0" w:type="auto"/>
            <w:tcBorders>
              <w:top w:val="nil"/>
              <w:left w:val="nil"/>
              <w:bottom w:val="nil"/>
              <w:right w:val="nil"/>
            </w:tcBorders>
            <w:shd w:val="clear" w:color="auto" w:fill="auto"/>
            <w:noWrap/>
            <w:vAlign w:val="center"/>
          </w:tcPr>
          <w:p w:rsidR="000F2253" w:rsidRPr="0098698A" w:rsidRDefault="000F2253"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tcPr>
          <w:p w:rsidR="000F2253" w:rsidRPr="0098698A" w:rsidRDefault="000F2253"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tcPr>
          <w:p w:rsidR="000F2253" w:rsidRPr="0098698A" w:rsidRDefault="000F2253"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tcPr>
          <w:p w:rsidR="000F2253" w:rsidRPr="0098698A" w:rsidRDefault="000F2253"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tcPr>
          <w:p w:rsidR="000F2253" w:rsidRPr="0098698A" w:rsidRDefault="000F2253"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tcPr>
          <w:p w:rsidR="000F2253" w:rsidRPr="0098698A" w:rsidRDefault="000F2253"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tcPr>
          <w:p w:rsidR="000F2253" w:rsidRPr="0098698A" w:rsidRDefault="000F2253"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tcPr>
          <w:p w:rsidR="000F2253" w:rsidRPr="0098698A" w:rsidRDefault="000F2253"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tcPr>
          <w:p w:rsidR="000F2253" w:rsidRPr="0098698A" w:rsidRDefault="000F2253"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tcPr>
          <w:p w:rsidR="000F2253" w:rsidRPr="0098698A" w:rsidRDefault="000F2253"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tcPr>
          <w:p w:rsidR="000F2253" w:rsidRPr="0098698A" w:rsidRDefault="000F2253" w:rsidP="00053E0C">
            <w:pPr>
              <w:spacing w:after="0" w:line="240" w:lineRule="auto"/>
              <w:jc w:val="center"/>
              <w:rPr>
                <w:rFonts w:ascii="Arial" w:eastAsia="Times New Roman" w:hAnsi="Arial" w:cs="Arial"/>
                <w:sz w:val="16"/>
                <w:szCs w:val="16"/>
                <w:lang w:eastAsia="pt-BR"/>
              </w:rPr>
            </w:pPr>
          </w:p>
        </w:tc>
      </w:tr>
      <w:tr w:rsidR="000F2253" w:rsidRPr="0098698A" w:rsidTr="000F2253">
        <w:trPr>
          <w:trHeight w:val="510"/>
        </w:trPr>
        <w:tc>
          <w:tcPr>
            <w:tcW w:w="0" w:type="auto"/>
            <w:tcBorders>
              <w:top w:val="nil"/>
              <w:left w:val="nil"/>
              <w:bottom w:val="nil"/>
              <w:right w:val="nil"/>
            </w:tcBorders>
            <w:shd w:val="clear" w:color="auto" w:fill="E2EFD9" w:themeFill="accent6" w:themeFillTint="33"/>
            <w:noWrap/>
            <w:vAlign w:val="bottom"/>
          </w:tcPr>
          <w:p w:rsidR="000F2253" w:rsidRPr="00AB58B9" w:rsidRDefault="000F2253" w:rsidP="00053E0C">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BRASIL</w:t>
            </w:r>
          </w:p>
        </w:tc>
        <w:tc>
          <w:tcPr>
            <w:tcW w:w="0" w:type="auto"/>
            <w:tcBorders>
              <w:top w:val="nil"/>
              <w:left w:val="nil"/>
              <w:bottom w:val="nil"/>
              <w:right w:val="nil"/>
            </w:tcBorders>
            <w:shd w:val="clear" w:color="auto" w:fill="E2EFD9" w:themeFill="accent6" w:themeFillTint="33"/>
            <w:noWrap/>
            <w:vAlign w:val="center"/>
          </w:tcPr>
          <w:p w:rsidR="000F2253" w:rsidRPr="0098698A" w:rsidRDefault="0050551D" w:rsidP="00053E0C">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21,50</w:t>
            </w:r>
          </w:p>
        </w:tc>
        <w:tc>
          <w:tcPr>
            <w:tcW w:w="0" w:type="auto"/>
            <w:tcBorders>
              <w:top w:val="nil"/>
              <w:left w:val="nil"/>
              <w:bottom w:val="nil"/>
              <w:right w:val="nil"/>
            </w:tcBorders>
            <w:shd w:val="clear" w:color="auto" w:fill="E2EFD9" w:themeFill="accent6" w:themeFillTint="33"/>
            <w:noWrap/>
            <w:vAlign w:val="center"/>
          </w:tcPr>
          <w:p w:rsidR="000F2253" w:rsidRPr="0098698A" w:rsidRDefault="0050551D" w:rsidP="00053E0C">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59,55</w:t>
            </w:r>
          </w:p>
        </w:tc>
        <w:tc>
          <w:tcPr>
            <w:tcW w:w="0" w:type="auto"/>
            <w:tcBorders>
              <w:top w:val="nil"/>
              <w:left w:val="nil"/>
              <w:bottom w:val="nil"/>
              <w:right w:val="nil"/>
            </w:tcBorders>
            <w:shd w:val="clear" w:color="auto" w:fill="E2EFD9" w:themeFill="accent6" w:themeFillTint="33"/>
            <w:noWrap/>
            <w:vAlign w:val="center"/>
          </w:tcPr>
          <w:p w:rsidR="000F2253" w:rsidRPr="0098698A" w:rsidRDefault="0050551D" w:rsidP="00053E0C">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22,00</w:t>
            </w:r>
          </w:p>
        </w:tc>
        <w:tc>
          <w:tcPr>
            <w:tcW w:w="0" w:type="auto"/>
            <w:tcBorders>
              <w:top w:val="nil"/>
              <w:left w:val="nil"/>
              <w:bottom w:val="nil"/>
              <w:right w:val="nil"/>
            </w:tcBorders>
            <w:shd w:val="clear" w:color="auto" w:fill="E2EFD9" w:themeFill="accent6" w:themeFillTint="33"/>
            <w:noWrap/>
            <w:vAlign w:val="center"/>
          </w:tcPr>
          <w:p w:rsidR="000F2253" w:rsidRPr="0098698A" w:rsidRDefault="00B50A4E" w:rsidP="00B50A4E">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3</w:t>
            </w:r>
            <w:r w:rsidR="009F32C9">
              <w:rPr>
                <w:rFonts w:ascii="Arial" w:eastAsia="Times New Roman" w:hAnsi="Arial" w:cs="Arial"/>
                <w:sz w:val="16"/>
                <w:szCs w:val="16"/>
                <w:lang w:eastAsia="pt-BR"/>
              </w:rPr>
              <w:t>,</w:t>
            </w:r>
            <w:r>
              <w:rPr>
                <w:rFonts w:ascii="Arial" w:eastAsia="Times New Roman" w:hAnsi="Arial" w:cs="Arial"/>
                <w:sz w:val="16"/>
                <w:szCs w:val="16"/>
                <w:lang w:eastAsia="pt-BR"/>
              </w:rPr>
              <w:t>04</w:t>
            </w:r>
            <w:r w:rsidR="00933A9C">
              <w:rPr>
                <w:rFonts w:ascii="Arial" w:eastAsia="Times New Roman" w:hAnsi="Arial" w:cs="Arial"/>
                <w:sz w:val="16"/>
                <w:szCs w:val="16"/>
                <w:lang w:eastAsia="pt-BR"/>
              </w:rPr>
              <w:t>*</w:t>
            </w:r>
          </w:p>
        </w:tc>
        <w:tc>
          <w:tcPr>
            <w:tcW w:w="0" w:type="auto"/>
            <w:tcBorders>
              <w:top w:val="nil"/>
              <w:left w:val="nil"/>
              <w:bottom w:val="nil"/>
              <w:right w:val="nil"/>
            </w:tcBorders>
            <w:shd w:val="clear" w:color="auto" w:fill="E2EFD9" w:themeFill="accent6" w:themeFillTint="33"/>
            <w:noWrap/>
            <w:vAlign w:val="center"/>
          </w:tcPr>
          <w:p w:rsidR="000F2253" w:rsidRPr="0098698A" w:rsidRDefault="0050551D" w:rsidP="00053E0C">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w:t>
            </w:r>
          </w:p>
        </w:tc>
        <w:tc>
          <w:tcPr>
            <w:tcW w:w="0" w:type="auto"/>
            <w:tcBorders>
              <w:top w:val="nil"/>
              <w:left w:val="nil"/>
              <w:bottom w:val="nil"/>
              <w:right w:val="nil"/>
            </w:tcBorders>
            <w:shd w:val="clear" w:color="auto" w:fill="E2EFD9" w:themeFill="accent6" w:themeFillTint="33"/>
            <w:noWrap/>
            <w:vAlign w:val="center"/>
          </w:tcPr>
          <w:p w:rsidR="000F2253" w:rsidRPr="0098698A" w:rsidRDefault="009F32C9" w:rsidP="00053E0C">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3,27</w:t>
            </w:r>
            <w:r w:rsidR="00933A9C">
              <w:rPr>
                <w:rFonts w:ascii="Arial" w:eastAsia="Times New Roman" w:hAnsi="Arial" w:cs="Arial"/>
                <w:sz w:val="16"/>
                <w:szCs w:val="16"/>
                <w:lang w:eastAsia="pt-BR"/>
              </w:rPr>
              <w:t>*</w:t>
            </w:r>
          </w:p>
        </w:tc>
        <w:tc>
          <w:tcPr>
            <w:tcW w:w="0" w:type="auto"/>
            <w:tcBorders>
              <w:top w:val="nil"/>
              <w:left w:val="nil"/>
              <w:bottom w:val="nil"/>
              <w:right w:val="nil"/>
            </w:tcBorders>
            <w:shd w:val="clear" w:color="auto" w:fill="E2EFD9" w:themeFill="accent6" w:themeFillTint="33"/>
            <w:noWrap/>
            <w:vAlign w:val="center"/>
          </w:tcPr>
          <w:p w:rsidR="000F2253" w:rsidRPr="0098698A" w:rsidRDefault="0050551D" w:rsidP="00053E0C">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77,00</w:t>
            </w:r>
          </w:p>
        </w:tc>
        <w:tc>
          <w:tcPr>
            <w:tcW w:w="0" w:type="auto"/>
            <w:tcBorders>
              <w:top w:val="nil"/>
              <w:left w:val="nil"/>
              <w:bottom w:val="nil"/>
              <w:right w:val="nil"/>
            </w:tcBorders>
            <w:shd w:val="clear" w:color="auto" w:fill="E2EFD9" w:themeFill="accent6" w:themeFillTint="33"/>
            <w:noWrap/>
            <w:vAlign w:val="center"/>
          </w:tcPr>
          <w:p w:rsidR="000F2253" w:rsidRPr="0098698A" w:rsidRDefault="0050551D" w:rsidP="00053E0C">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62,00</w:t>
            </w:r>
          </w:p>
        </w:tc>
        <w:tc>
          <w:tcPr>
            <w:tcW w:w="0" w:type="auto"/>
            <w:tcBorders>
              <w:top w:val="nil"/>
              <w:left w:val="nil"/>
              <w:bottom w:val="nil"/>
              <w:right w:val="nil"/>
            </w:tcBorders>
            <w:shd w:val="clear" w:color="auto" w:fill="E2EFD9" w:themeFill="accent6" w:themeFillTint="33"/>
            <w:noWrap/>
            <w:vAlign w:val="center"/>
          </w:tcPr>
          <w:p w:rsidR="000F2253" w:rsidRPr="0098698A" w:rsidRDefault="0050551D" w:rsidP="00053E0C">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64,00</w:t>
            </w:r>
          </w:p>
        </w:tc>
        <w:tc>
          <w:tcPr>
            <w:tcW w:w="0" w:type="auto"/>
            <w:tcBorders>
              <w:top w:val="nil"/>
              <w:left w:val="nil"/>
              <w:bottom w:val="nil"/>
              <w:right w:val="nil"/>
            </w:tcBorders>
            <w:shd w:val="clear" w:color="auto" w:fill="E2EFD9" w:themeFill="accent6" w:themeFillTint="33"/>
            <w:noWrap/>
            <w:vAlign w:val="center"/>
          </w:tcPr>
          <w:p w:rsidR="000F2253" w:rsidRPr="0098698A" w:rsidRDefault="007F7A7E" w:rsidP="00053E0C">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88,00</w:t>
            </w:r>
            <w:r w:rsidR="00933A9C">
              <w:rPr>
                <w:rFonts w:ascii="Arial" w:eastAsia="Times New Roman" w:hAnsi="Arial" w:cs="Arial"/>
                <w:sz w:val="16"/>
                <w:szCs w:val="16"/>
                <w:lang w:eastAsia="pt-BR"/>
              </w:rPr>
              <w:t>*</w:t>
            </w:r>
          </w:p>
        </w:tc>
        <w:tc>
          <w:tcPr>
            <w:tcW w:w="0" w:type="auto"/>
            <w:tcBorders>
              <w:top w:val="nil"/>
              <w:left w:val="nil"/>
              <w:bottom w:val="nil"/>
              <w:right w:val="nil"/>
            </w:tcBorders>
            <w:shd w:val="clear" w:color="auto" w:fill="E2EFD9" w:themeFill="accent6" w:themeFillTint="33"/>
            <w:noWrap/>
            <w:vAlign w:val="center"/>
          </w:tcPr>
          <w:p w:rsidR="000F2253" w:rsidRPr="0098698A" w:rsidRDefault="0050551D" w:rsidP="00053E0C">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85,00</w:t>
            </w:r>
          </w:p>
        </w:tc>
      </w:tr>
    </w:tbl>
    <w:p w:rsidR="00BA33F3" w:rsidRDefault="00BA33F3" w:rsidP="007006D5">
      <w:pPr>
        <w:spacing w:line="360" w:lineRule="auto"/>
        <w:ind w:left="360"/>
        <w:jc w:val="both"/>
        <w:rPr>
          <w:sz w:val="16"/>
          <w:szCs w:val="16"/>
        </w:rPr>
      </w:pPr>
    </w:p>
    <w:p w:rsidR="007006D5" w:rsidRPr="00B547C0" w:rsidRDefault="007006D5" w:rsidP="007006D5">
      <w:pPr>
        <w:spacing w:line="360" w:lineRule="auto"/>
        <w:ind w:left="360"/>
        <w:jc w:val="both"/>
        <w:rPr>
          <w:sz w:val="16"/>
          <w:szCs w:val="16"/>
        </w:rPr>
      </w:pPr>
      <w:r>
        <w:rPr>
          <w:sz w:val="16"/>
          <w:szCs w:val="16"/>
        </w:rPr>
        <w:t>Fonte: OMS</w:t>
      </w:r>
      <w:r w:rsidR="008553A7">
        <w:rPr>
          <w:sz w:val="16"/>
          <w:szCs w:val="16"/>
        </w:rPr>
        <w:t xml:space="preserve"> e OCDE</w:t>
      </w:r>
      <w:r>
        <w:rPr>
          <w:sz w:val="16"/>
          <w:szCs w:val="16"/>
        </w:rPr>
        <w:t>, dados de 2010 e 2015 e da *</w:t>
      </w:r>
      <w:proofErr w:type="spellStart"/>
      <w:r>
        <w:rPr>
          <w:sz w:val="16"/>
          <w:szCs w:val="16"/>
        </w:rPr>
        <w:t>Commonwealth</w:t>
      </w:r>
      <w:proofErr w:type="spellEnd"/>
      <w:r>
        <w:rPr>
          <w:sz w:val="16"/>
          <w:szCs w:val="16"/>
        </w:rPr>
        <w:t>, 2014 e2016</w:t>
      </w:r>
      <w:r w:rsidR="007F7A7E">
        <w:rPr>
          <w:sz w:val="16"/>
          <w:szCs w:val="16"/>
        </w:rPr>
        <w:t xml:space="preserve">. </w:t>
      </w:r>
      <w:r w:rsidR="00933A9C">
        <w:rPr>
          <w:sz w:val="16"/>
          <w:szCs w:val="16"/>
        </w:rPr>
        <w:t>**</w:t>
      </w:r>
      <w:r w:rsidR="007F7A7E">
        <w:rPr>
          <w:sz w:val="16"/>
          <w:szCs w:val="16"/>
        </w:rPr>
        <w:t>Brasil (DATASUS)</w:t>
      </w:r>
    </w:p>
    <w:p w:rsidR="0098698A" w:rsidRDefault="0098698A" w:rsidP="00D709AD">
      <w:pPr>
        <w:spacing w:line="360" w:lineRule="auto"/>
        <w:ind w:left="360"/>
        <w:jc w:val="both"/>
      </w:pPr>
    </w:p>
    <w:p w:rsidR="00895E33" w:rsidRDefault="00895E33">
      <w:r>
        <w:br w:type="page"/>
      </w:r>
    </w:p>
    <w:p w:rsidR="00EF3E84" w:rsidRDefault="00895E33" w:rsidP="00895E33">
      <w:pPr>
        <w:spacing w:line="360" w:lineRule="auto"/>
        <w:jc w:val="both"/>
        <w:rPr>
          <w:sz w:val="20"/>
          <w:szCs w:val="20"/>
        </w:rPr>
      </w:pPr>
      <w:r w:rsidRPr="00BA33F3">
        <w:rPr>
          <w:sz w:val="20"/>
          <w:szCs w:val="20"/>
        </w:rPr>
        <w:lastRenderedPageBreak/>
        <w:t>3.1</w:t>
      </w:r>
      <w:r>
        <w:rPr>
          <w:sz w:val="20"/>
          <w:szCs w:val="20"/>
        </w:rPr>
        <w:t>. Analise</w:t>
      </w:r>
      <w:r w:rsidR="00C35254" w:rsidRPr="00BA33F3">
        <w:rPr>
          <w:sz w:val="20"/>
          <w:szCs w:val="20"/>
        </w:rPr>
        <w:t xml:space="preserve"> agora os resultados em saúde e as variáveis intersetoriais selecionadas. Quais as diferenças entre as regiões da OMS?</w:t>
      </w:r>
    </w:p>
    <w:p w:rsidR="00A708DE" w:rsidRDefault="00A708DE" w:rsidP="00A708DE">
      <w:pPr>
        <w:pStyle w:val="PargrafodaLista"/>
        <w:spacing w:line="360" w:lineRule="auto"/>
        <w:ind w:left="360"/>
        <w:jc w:val="both"/>
        <w:rPr>
          <w:b/>
          <w:sz w:val="20"/>
          <w:szCs w:val="20"/>
        </w:rPr>
      </w:pPr>
    </w:p>
    <w:p w:rsidR="00A708DE" w:rsidRPr="00A708DE" w:rsidRDefault="00A708DE" w:rsidP="00A708DE">
      <w:pPr>
        <w:spacing w:line="360" w:lineRule="auto"/>
        <w:jc w:val="both"/>
        <w:rPr>
          <w:sz w:val="20"/>
          <w:szCs w:val="20"/>
        </w:rPr>
      </w:pPr>
      <w:r w:rsidRPr="00A708DE">
        <w:rPr>
          <w:b/>
          <w:sz w:val="20"/>
          <w:szCs w:val="20"/>
        </w:rPr>
        <w:t>Tabela 6</w:t>
      </w:r>
      <w:r w:rsidRPr="00A708DE">
        <w:rPr>
          <w:sz w:val="20"/>
          <w:szCs w:val="20"/>
        </w:rPr>
        <w:t xml:space="preserve"> – Resultados em saúde e variáveis intersetoriais,</w:t>
      </w:r>
      <w:r>
        <w:rPr>
          <w:sz w:val="20"/>
          <w:szCs w:val="20"/>
        </w:rPr>
        <w:t xml:space="preserve"> </w:t>
      </w:r>
      <w:r w:rsidRPr="00A708DE">
        <w:rPr>
          <w:sz w:val="20"/>
          <w:szCs w:val="20"/>
        </w:rPr>
        <w:t>para as regiões da OMS, m</w:t>
      </w:r>
      <w:r w:rsidR="00CF595B">
        <w:rPr>
          <w:sz w:val="20"/>
          <w:szCs w:val="20"/>
        </w:rPr>
        <w:t>e</w:t>
      </w:r>
      <w:r w:rsidRPr="00A708DE">
        <w:rPr>
          <w:sz w:val="20"/>
          <w:szCs w:val="20"/>
        </w:rPr>
        <w:t>dia</w:t>
      </w:r>
      <w:r w:rsidR="00CF595B">
        <w:rPr>
          <w:sz w:val="20"/>
          <w:szCs w:val="20"/>
        </w:rPr>
        <w:t>na</w:t>
      </w:r>
      <w:bookmarkStart w:id="0" w:name="_GoBack"/>
      <w:bookmarkEnd w:id="0"/>
      <w:r w:rsidRPr="00A708DE">
        <w:rPr>
          <w:sz w:val="20"/>
          <w:szCs w:val="20"/>
        </w:rPr>
        <w:t>s dos valores de 2010 e 2015.</w:t>
      </w:r>
    </w:p>
    <w:tbl>
      <w:tblPr>
        <w:tblW w:w="0" w:type="auto"/>
        <w:tblCellMar>
          <w:left w:w="70" w:type="dxa"/>
          <w:right w:w="70" w:type="dxa"/>
        </w:tblCellMar>
        <w:tblLook w:val="04A0" w:firstRow="1" w:lastRow="0" w:firstColumn="1" w:lastColumn="0" w:noHBand="0" w:noVBand="1"/>
      </w:tblPr>
      <w:tblGrid>
        <w:gridCol w:w="2581"/>
        <w:gridCol w:w="1495"/>
        <w:gridCol w:w="1297"/>
        <w:gridCol w:w="1306"/>
        <w:gridCol w:w="1705"/>
        <w:gridCol w:w="521"/>
        <w:gridCol w:w="1263"/>
        <w:gridCol w:w="1445"/>
        <w:gridCol w:w="1039"/>
        <w:gridCol w:w="1352"/>
      </w:tblGrid>
      <w:tr w:rsidR="00EF3E84" w:rsidRPr="00BA33F3" w:rsidTr="00BA33F3">
        <w:trPr>
          <w:trHeight w:val="270"/>
        </w:trPr>
        <w:tc>
          <w:tcPr>
            <w:tcW w:w="0" w:type="auto"/>
            <w:vMerge w:val="restart"/>
            <w:tcBorders>
              <w:top w:val="nil"/>
              <w:left w:val="nil"/>
              <w:bottom w:val="nil"/>
              <w:right w:val="nil"/>
            </w:tcBorders>
            <w:shd w:val="clear" w:color="auto" w:fill="auto"/>
            <w:noWrap/>
            <w:vAlign w:val="bottom"/>
            <w:hideMark/>
          </w:tcPr>
          <w:p w:rsidR="00EF3E84" w:rsidRPr="00BA33F3" w:rsidRDefault="00EF3E84" w:rsidP="00EF3E84">
            <w:pPr>
              <w:spacing w:after="0" w:line="240" w:lineRule="auto"/>
              <w:rPr>
                <w:rFonts w:ascii="Arial" w:eastAsia="Times New Roman" w:hAnsi="Arial" w:cs="Arial"/>
                <w:sz w:val="18"/>
                <w:szCs w:val="18"/>
                <w:lang w:eastAsia="pt-BR"/>
              </w:rPr>
            </w:pPr>
            <w:r w:rsidRPr="00BA33F3">
              <w:rPr>
                <w:rFonts w:ascii="Arial" w:eastAsia="Times New Roman" w:hAnsi="Arial" w:cs="Arial"/>
                <w:sz w:val="18"/>
                <w:szCs w:val="18"/>
                <w:lang w:eastAsia="pt-BR"/>
              </w:rPr>
              <w:t xml:space="preserve">Grupos de países </w:t>
            </w:r>
          </w:p>
        </w:tc>
        <w:tc>
          <w:tcPr>
            <w:tcW w:w="0" w:type="auto"/>
            <w:gridSpan w:val="3"/>
            <w:tcBorders>
              <w:top w:val="nil"/>
              <w:left w:val="nil"/>
              <w:bottom w:val="nil"/>
              <w:right w:val="nil"/>
            </w:tcBorders>
            <w:shd w:val="clear" w:color="000000" w:fill="D9E1F2"/>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Resultados em saúde</w:t>
            </w:r>
          </w:p>
        </w:tc>
        <w:tc>
          <w:tcPr>
            <w:tcW w:w="0" w:type="auto"/>
            <w:gridSpan w:val="6"/>
            <w:tcBorders>
              <w:top w:val="nil"/>
              <w:left w:val="nil"/>
              <w:bottom w:val="nil"/>
              <w:right w:val="nil"/>
            </w:tcBorders>
            <w:shd w:val="clear" w:color="000000" w:fill="CCCCFF"/>
            <w:noWrap/>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Variáveis intersetoriais</w:t>
            </w:r>
          </w:p>
        </w:tc>
      </w:tr>
      <w:tr w:rsidR="00ED19BE" w:rsidRPr="00BA33F3" w:rsidTr="00BA33F3">
        <w:trPr>
          <w:trHeight w:val="1035"/>
        </w:trPr>
        <w:tc>
          <w:tcPr>
            <w:tcW w:w="0" w:type="auto"/>
            <w:vMerge/>
            <w:tcBorders>
              <w:top w:val="nil"/>
              <w:left w:val="nil"/>
              <w:bottom w:val="nil"/>
              <w:right w:val="nil"/>
            </w:tcBorders>
            <w:vAlign w:val="center"/>
            <w:hideMark/>
          </w:tcPr>
          <w:p w:rsidR="00EF3E84" w:rsidRPr="00BA33F3" w:rsidRDefault="00EF3E84" w:rsidP="00EF3E84">
            <w:pPr>
              <w:spacing w:after="0" w:line="240" w:lineRule="auto"/>
              <w:rPr>
                <w:rFonts w:ascii="Arial" w:eastAsia="Times New Roman" w:hAnsi="Arial" w:cs="Arial"/>
                <w:sz w:val="18"/>
                <w:szCs w:val="18"/>
                <w:lang w:eastAsia="pt-BR"/>
              </w:rPr>
            </w:pPr>
          </w:p>
        </w:tc>
        <w:tc>
          <w:tcPr>
            <w:tcW w:w="0" w:type="auto"/>
            <w:tcBorders>
              <w:top w:val="nil"/>
              <w:left w:val="nil"/>
              <w:bottom w:val="nil"/>
              <w:right w:val="nil"/>
            </w:tcBorders>
            <w:shd w:val="clear" w:color="000000" w:fill="D9E1F2"/>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Expectativa de vida ao nascer</w:t>
            </w:r>
          </w:p>
        </w:tc>
        <w:tc>
          <w:tcPr>
            <w:tcW w:w="0" w:type="auto"/>
            <w:tcBorders>
              <w:top w:val="nil"/>
              <w:left w:val="nil"/>
              <w:bottom w:val="nil"/>
              <w:right w:val="nil"/>
            </w:tcBorders>
            <w:shd w:val="clear" w:color="000000" w:fill="D9E1F2"/>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Mortalidade infantil</w:t>
            </w:r>
          </w:p>
        </w:tc>
        <w:tc>
          <w:tcPr>
            <w:tcW w:w="0" w:type="auto"/>
            <w:tcBorders>
              <w:top w:val="nil"/>
              <w:left w:val="nil"/>
              <w:bottom w:val="nil"/>
              <w:right w:val="nil"/>
            </w:tcBorders>
            <w:shd w:val="clear" w:color="000000" w:fill="D9E1F2"/>
            <w:vAlign w:val="bottom"/>
            <w:hideMark/>
          </w:tcPr>
          <w:p w:rsidR="00EF3E84" w:rsidRPr="00BA33F3" w:rsidRDefault="00EF3E84" w:rsidP="00ED19BE">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 de morte</w:t>
            </w:r>
            <w:r w:rsidR="00593E6D">
              <w:rPr>
                <w:rFonts w:ascii="Arial" w:eastAsia="Times New Roman" w:hAnsi="Arial" w:cs="Arial"/>
                <w:b/>
                <w:bCs/>
                <w:sz w:val="18"/>
                <w:szCs w:val="18"/>
                <w:lang w:eastAsia="pt-BR"/>
              </w:rPr>
              <w:t>s</w:t>
            </w:r>
            <w:r w:rsidRPr="00BA33F3">
              <w:rPr>
                <w:rFonts w:ascii="Arial" w:eastAsia="Times New Roman" w:hAnsi="Arial" w:cs="Arial"/>
                <w:b/>
                <w:bCs/>
                <w:sz w:val="18"/>
                <w:szCs w:val="18"/>
                <w:lang w:eastAsia="pt-BR"/>
              </w:rPr>
              <w:t xml:space="preserve"> </w:t>
            </w:r>
            <w:r w:rsidR="00ED19BE">
              <w:rPr>
                <w:rFonts w:ascii="Arial" w:eastAsia="Times New Roman" w:hAnsi="Arial" w:cs="Arial"/>
                <w:b/>
                <w:bCs/>
                <w:sz w:val="18"/>
                <w:szCs w:val="18"/>
                <w:lang w:eastAsia="pt-BR"/>
              </w:rPr>
              <w:t xml:space="preserve">causas </w:t>
            </w:r>
            <w:r w:rsidRPr="00BA33F3">
              <w:rPr>
                <w:rFonts w:ascii="Arial" w:eastAsia="Times New Roman" w:hAnsi="Arial" w:cs="Arial"/>
                <w:b/>
                <w:bCs/>
                <w:sz w:val="18"/>
                <w:szCs w:val="18"/>
                <w:lang w:eastAsia="pt-BR"/>
              </w:rPr>
              <w:t>evitáveis</w:t>
            </w:r>
          </w:p>
        </w:tc>
        <w:tc>
          <w:tcPr>
            <w:tcW w:w="0" w:type="auto"/>
            <w:tcBorders>
              <w:top w:val="nil"/>
              <w:left w:val="nil"/>
              <w:bottom w:val="nil"/>
              <w:right w:val="nil"/>
            </w:tcBorders>
            <w:shd w:val="clear" w:color="000000" w:fill="CCCCFF"/>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Concentração de renda percentil</w:t>
            </w:r>
            <w:r w:rsidRPr="00BA33F3">
              <w:rPr>
                <w:rFonts w:ascii="Arial" w:eastAsia="Times New Roman" w:hAnsi="Arial" w:cs="Arial"/>
                <w:b/>
                <w:bCs/>
                <w:sz w:val="18"/>
                <w:szCs w:val="18"/>
                <w:lang w:eastAsia="pt-BR"/>
              </w:rPr>
              <w:br/>
              <w:t xml:space="preserve"> mais rico</w:t>
            </w:r>
            <w:r w:rsidR="004531D5" w:rsidRPr="00BA33F3">
              <w:rPr>
                <w:rFonts w:ascii="Arial" w:eastAsia="Times New Roman" w:hAnsi="Arial" w:cs="Arial"/>
                <w:b/>
                <w:bCs/>
                <w:sz w:val="18"/>
                <w:szCs w:val="18"/>
                <w:lang w:eastAsia="pt-BR"/>
              </w:rPr>
              <w:t>#</w:t>
            </w:r>
          </w:p>
        </w:tc>
        <w:tc>
          <w:tcPr>
            <w:tcW w:w="0" w:type="auto"/>
            <w:tcBorders>
              <w:top w:val="nil"/>
              <w:left w:val="nil"/>
              <w:bottom w:val="nil"/>
              <w:right w:val="nil"/>
            </w:tcBorders>
            <w:shd w:val="clear" w:color="000000" w:fill="CCCCFF"/>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IDH</w:t>
            </w:r>
            <w:r w:rsidR="008553A7" w:rsidRPr="00BA33F3">
              <w:rPr>
                <w:rFonts w:ascii="Arial" w:eastAsia="Times New Roman" w:hAnsi="Arial" w:cs="Arial"/>
                <w:b/>
                <w:bCs/>
                <w:sz w:val="18"/>
                <w:szCs w:val="18"/>
                <w:lang w:eastAsia="pt-BR"/>
              </w:rPr>
              <w:t>*</w:t>
            </w:r>
          </w:p>
        </w:tc>
        <w:tc>
          <w:tcPr>
            <w:tcW w:w="0" w:type="auto"/>
            <w:tcBorders>
              <w:top w:val="nil"/>
              <w:left w:val="nil"/>
              <w:bottom w:val="nil"/>
              <w:right w:val="nil"/>
            </w:tcBorders>
            <w:shd w:val="clear" w:color="000000" w:fill="CCCCFF"/>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Iniquidade de gênero</w:t>
            </w:r>
            <w:r w:rsidR="008553A7" w:rsidRPr="00BA33F3">
              <w:rPr>
                <w:rFonts w:ascii="Arial" w:eastAsia="Times New Roman" w:hAnsi="Arial" w:cs="Arial"/>
                <w:b/>
                <w:bCs/>
                <w:sz w:val="18"/>
                <w:szCs w:val="18"/>
                <w:lang w:eastAsia="pt-BR"/>
              </w:rPr>
              <w:t>*</w:t>
            </w:r>
          </w:p>
        </w:tc>
        <w:tc>
          <w:tcPr>
            <w:tcW w:w="0" w:type="auto"/>
            <w:tcBorders>
              <w:top w:val="nil"/>
              <w:left w:val="nil"/>
              <w:bottom w:val="nil"/>
              <w:right w:val="nil"/>
            </w:tcBorders>
            <w:shd w:val="clear" w:color="000000" w:fill="CCCCFF"/>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Taxa de desemprego</w:t>
            </w:r>
            <w:r w:rsidR="008553A7" w:rsidRPr="00BA33F3">
              <w:rPr>
                <w:rFonts w:ascii="Arial" w:eastAsia="Times New Roman" w:hAnsi="Arial" w:cs="Arial"/>
                <w:b/>
                <w:bCs/>
                <w:sz w:val="18"/>
                <w:szCs w:val="18"/>
                <w:lang w:eastAsia="pt-BR"/>
              </w:rPr>
              <w:t>*</w:t>
            </w:r>
          </w:p>
        </w:tc>
        <w:tc>
          <w:tcPr>
            <w:tcW w:w="0" w:type="auto"/>
            <w:tcBorders>
              <w:top w:val="nil"/>
              <w:left w:val="nil"/>
              <w:bottom w:val="nil"/>
              <w:right w:val="nil"/>
            </w:tcBorders>
            <w:shd w:val="clear" w:color="000000" w:fill="CCCCFF"/>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Poluição urbana</w:t>
            </w:r>
          </w:p>
        </w:tc>
        <w:tc>
          <w:tcPr>
            <w:tcW w:w="0" w:type="auto"/>
            <w:tcBorders>
              <w:top w:val="nil"/>
              <w:left w:val="nil"/>
              <w:bottom w:val="nil"/>
              <w:right w:val="nil"/>
            </w:tcBorders>
            <w:shd w:val="clear" w:color="000000" w:fill="CCCCFF"/>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Saneamento básico</w:t>
            </w:r>
          </w:p>
        </w:tc>
      </w:tr>
      <w:tr w:rsidR="00ED19BE" w:rsidRPr="00BA33F3" w:rsidTr="00BA33F3">
        <w:trPr>
          <w:trHeight w:val="450"/>
        </w:trPr>
        <w:tc>
          <w:tcPr>
            <w:tcW w:w="0" w:type="auto"/>
            <w:tcBorders>
              <w:top w:val="nil"/>
              <w:left w:val="nil"/>
              <w:bottom w:val="nil"/>
              <w:right w:val="nil"/>
            </w:tcBorders>
            <w:shd w:val="clear" w:color="auto" w:fill="auto"/>
            <w:noWrap/>
            <w:vAlign w:val="bottom"/>
            <w:hideMark/>
          </w:tcPr>
          <w:p w:rsidR="00EF3E84" w:rsidRPr="00BA33F3" w:rsidRDefault="00EF3E84" w:rsidP="00EF3E84">
            <w:pPr>
              <w:spacing w:after="0" w:line="240" w:lineRule="auto"/>
              <w:rPr>
                <w:rFonts w:ascii="Arial" w:eastAsia="Times New Roman" w:hAnsi="Arial" w:cs="Arial"/>
                <w:sz w:val="18"/>
                <w:szCs w:val="18"/>
                <w:lang w:eastAsia="pt-BR"/>
              </w:rPr>
            </w:pPr>
            <w:r w:rsidRPr="00BA33F3">
              <w:rPr>
                <w:rFonts w:ascii="Arial" w:eastAsia="Times New Roman" w:hAnsi="Arial" w:cs="Arial"/>
                <w:sz w:val="18"/>
                <w:szCs w:val="18"/>
                <w:lang w:eastAsia="pt-BR"/>
              </w:rPr>
              <w:t>AFRO - África Subsaariana</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60,45</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52,65</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21,20</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0,07</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0,49</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0,57</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6,20</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29,70</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30,50</w:t>
            </w:r>
          </w:p>
        </w:tc>
      </w:tr>
      <w:tr w:rsidR="00ED19BE" w:rsidRPr="00BA33F3" w:rsidTr="00BA33F3">
        <w:trPr>
          <w:trHeight w:val="780"/>
        </w:trPr>
        <w:tc>
          <w:tcPr>
            <w:tcW w:w="0" w:type="auto"/>
            <w:tcBorders>
              <w:top w:val="nil"/>
              <w:left w:val="nil"/>
              <w:bottom w:val="nil"/>
              <w:right w:val="nil"/>
            </w:tcBorders>
            <w:shd w:val="clear" w:color="auto" w:fill="auto"/>
            <w:noWrap/>
            <w:vAlign w:val="bottom"/>
            <w:hideMark/>
          </w:tcPr>
          <w:p w:rsidR="00EF3E84" w:rsidRPr="00BA33F3" w:rsidRDefault="00EF3E84" w:rsidP="00EF3E84">
            <w:pPr>
              <w:spacing w:after="0" w:line="240" w:lineRule="auto"/>
              <w:rPr>
                <w:rFonts w:ascii="Arial" w:eastAsia="Times New Roman" w:hAnsi="Arial" w:cs="Arial"/>
                <w:sz w:val="18"/>
                <w:szCs w:val="18"/>
                <w:lang w:eastAsia="pt-BR"/>
              </w:rPr>
            </w:pPr>
            <w:r w:rsidRPr="00BA33F3">
              <w:rPr>
                <w:rFonts w:ascii="Arial" w:eastAsia="Times New Roman" w:hAnsi="Arial" w:cs="Arial"/>
                <w:sz w:val="18"/>
                <w:szCs w:val="18"/>
                <w:lang w:eastAsia="pt-BR"/>
              </w:rPr>
              <w:t>EMRO - Mediterrâneo Oriental</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73,60</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16,15</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19,55</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0,19</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0,69</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0,49</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8,95</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41,35</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91,00</w:t>
            </w:r>
          </w:p>
        </w:tc>
      </w:tr>
      <w:tr w:rsidR="00ED19BE" w:rsidRPr="00BA33F3" w:rsidTr="00BA33F3">
        <w:trPr>
          <w:trHeight w:val="510"/>
        </w:trPr>
        <w:tc>
          <w:tcPr>
            <w:tcW w:w="0" w:type="auto"/>
            <w:tcBorders>
              <w:top w:val="nil"/>
              <w:left w:val="nil"/>
              <w:bottom w:val="nil"/>
              <w:right w:val="nil"/>
            </w:tcBorders>
            <w:shd w:val="clear" w:color="auto" w:fill="auto"/>
            <w:noWrap/>
            <w:vAlign w:val="bottom"/>
            <w:hideMark/>
          </w:tcPr>
          <w:p w:rsidR="00EF3E84" w:rsidRPr="00BA33F3" w:rsidRDefault="00EF3E84" w:rsidP="00EF3E84">
            <w:pPr>
              <w:spacing w:after="0" w:line="240" w:lineRule="auto"/>
              <w:rPr>
                <w:rFonts w:ascii="Arial" w:eastAsia="Times New Roman" w:hAnsi="Arial" w:cs="Arial"/>
                <w:sz w:val="18"/>
                <w:szCs w:val="18"/>
                <w:lang w:eastAsia="pt-BR"/>
              </w:rPr>
            </w:pPr>
            <w:r w:rsidRPr="00BA33F3">
              <w:rPr>
                <w:rFonts w:ascii="Arial" w:eastAsia="Times New Roman" w:hAnsi="Arial" w:cs="Arial"/>
                <w:sz w:val="18"/>
                <w:szCs w:val="18"/>
                <w:lang w:eastAsia="pt-BR"/>
              </w:rPr>
              <w:t>EURO - Europa</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77,55</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3,95</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17,70</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0,08</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0,84</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0,15</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7,85</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15,60</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98,00</w:t>
            </w:r>
          </w:p>
        </w:tc>
      </w:tr>
      <w:tr w:rsidR="00ED19BE" w:rsidRPr="00BA33F3" w:rsidTr="00BA33F3">
        <w:trPr>
          <w:trHeight w:val="525"/>
        </w:trPr>
        <w:tc>
          <w:tcPr>
            <w:tcW w:w="0" w:type="auto"/>
            <w:tcBorders>
              <w:top w:val="nil"/>
              <w:left w:val="nil"/>
              <w:bottom w:val="nil"/>
              <w:right w:val="nil"/>
            </w:tcBorders>
            <w:shd w:val="clear" w:color="auto" w:fill="auto"/>
            <w:noWrap/>
            <w:vAlign w:val="bottom"/>
            <w:hideMark/>
          </w:tcPr>
          <w:p w:rsidR="00EF3E84" w:rsidRPr="00BA33F3" w:rsidRDefault="00EF3E84" w:rsidP="00EF3E84">
            <w:pPr>
              <w:spacing w:after="0" w:line="240" w:lineRule="auto"/>
              <w:rPr>
                <w:rFonts w:ascii="Arial" w:eastAsia="Times New Roman" w:hAnsi="Arial" w:cs="Arial"/>
                <w:sz w:val="18"/>
                <w:szCs w:val="18"/>
                <w:lang w:eastAsia="pt-BR"/>
              </w:rPr>
            </w:pPr>
            <w:r w:rsidRPr="00BA33F3">
              <w:rPr>
                <w:rFonts w:ascii="Arial" w:eastAsia="Times New Roman" w:hAnsi="Arial" w:cs="Arial"/>
                <w:sz w:val="18"/>
                <w:szCs w:val="18"/>
                <w:lang w:eastAsia="pt-BR"/>
              </w:rPr>
              <w:t>PAHO - Américas</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74,70</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15,20</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17,05</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0,22</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0,74</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0,41</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7,60</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19,00</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87,00</w:t>
            </w:r>
          </w:p>
        </w:tc>
      </w:tr>
      <w:tr w:rsidR="00ED19BE" w:rsidRPr="00BA33F3" w:rsidTr="00BA33F3">
        <w:trPr>
          <w:trHeight w:val="780"/>
        </w:trPr>
        <w:tc>
          <w:tcPr>
            <w:tcW w:w="0" w:type="auto"/>
            <w:tcBorders>
              <w:top w:val="nil"/>
              <w:left w:val="nil"/>
              <w:bottom w:val="nil"/>
              <w:right w:val="nil"/>
            </w:tcBorders>
            <w:shd w:val="clear" w:color="auto" w:fill="auto"/>
            <w:noWrap/>
            <w:vAlign w:val="bottom"/>
            <w:hideMark/>
          </w:tcPr>
          <w:p w:rsidR="00EF3E84" w:rsidRPr="00BA33F3" w:rsidRDefault="00EF3E84" w:rsidP="00EF3E84">
            <w:pPr>
              <w:spacing w:after="0" w:line="240" w:lineRule="auto"/>
              <w:rPr>
                <w:rFonts w:ascii="Arial" w:eastAsia="Times New Roman" w:hAnsi="Arial" w:cs="Arial"/>
                <w:sz w:val="18"/>
                <w:szCs w:val="18"/>
                <w:lang w:eastAsia="pt-BR"/>
              </w:rPr>
            </w:pPr>
            <w:r w:rsidRPr="00BA33F3">
              <w:rPr>
                <w:rFonts w:ascii="Arial" w:eastAsia="Times New Roman" w:hAnsi="Arial" w:cs="Arial"/>
                <w:sz w:val="18"/>
                <w:szCs w:val="18"/>
                <w:lang w:eastAsia="pt-BR"/>
              </w:rPr>
              <w:t>SEARO - Sudeste Asiático</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69,35</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28,70</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23,35</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0,21</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0,62</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0,48</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3,45</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31,00</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66,00</w:t>
            </w:r>
          </w:p>
        </w:tc>
      </w:tr>
      <w:tr w:rsidR="00ED19BE" w:rsidRPr="00BA33F3" w:rsidTr="00BA33F3">
        <w:trPr>
          <w:trHeight w:val="525"/>
        </w:trPr>
        <w:tc>
          <w:tcPr>
            <w:tcW w:w="0" w:type="auto"/>
            <w:tcBorders>
              <w:top w:val="nil"/>
              <w:left w:val="nil"/>
              <w:bottom w:val="nil"/>
              <w:right w:val="nil"/>
            </w:tcBorders>
            <w:shd w:val="clear" w:color="auto" w:fill="auto"/>
            <w:noWrap/>
            <w:vAlign w:val="bottom"/>
            <w:hideMark/>
          </w:tcPr>
          <w:p w:rsidR="00EF3E84" w:rsidRPr="00BA33F3" w:rsidRDefault="00EF3E84" w:rsidP="00EF3E84">
            <w:pPr>
              <w:spacing w:after="0" w:line="240" w:lineRule="auto"/>
              <w:rPr>
                <w:rFonts w:ascii="Arial" w:eastAsia="Times New Roman" w:hAnsi="Arial" w:cs="Arial"/>
                <w:sz w:val="18"/>
                <w:szCs w:val="18"/>
                <w:lang w:eastAsia="pt-BR"/>
              </w:rPr>
            </w:pPr>
            <w:r w:rsidRPr="00BA33F3">
              <w:rPr>
                <w:rFonts w:ascii="Arial" w:eastAsia="Times New Roman" w:hAnsi="Arial" w:cs="Arial"/>
                <w:sz w:val="18"/>
                <w:szCs w:val="18"/>
                <w:lang w:eastAsia="pt-BR"/>
              </w:rPr>
              <w:t>WPRO - Pacífico Ocidental</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72,85</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18,50</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22,80</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0,12</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0,71</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0,31</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3,65</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11,80</w:t>
            </w:r>
          </w:p>
        </w:tc>
        <w:tc>
          <w:tcPr>
            <w:tcW w:w="0" w:type="auto"/>
            <w:tcBorders>
              <w:top w:val="nil"/>
              <w:left w:val="nil"/>
              <w:bottom w:val="nil"/>
              <w:right w:val="nil"/>
            </w:tcBorders>
            <w:shd w:val="clear" w:color="auto" w:fill="auto"/>
            <w:noWrap/>
            <w:vAlign w:val="center"/>
            <w:hideMark/>
          </w:tcPr>
          <w:p w:rsidR="00EF3E84" w:rsidRPr="00BA33F3" w:rsidRDefault="00EF3E84" w:rsidP="00EF3E84">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86,00</w:t>
            </w:r>
          </w:p>
        </w:tc>
      </w:tr>
    </w:tbl>
    <w:p w:rsidR="00BA33F3" w:rsidRDefault="00BA33F3" w:rsidP="008553A7">
      <w:pPr>
        <w:spacing w:line="360" w:lineRule="auto"/>
        <w:ind w:left="360"/>
        <w:jc w:val="both"/>
        <w:rPr>
          <w:sz w:val="16"/>
          <w:szCs w:val="16"/>
        </w:rPr>
      </w:pPr>
    </w:p>
    <w:p w:rsidR="008553A7" w:rsidRPr="00B547C0" w:rsidRDefault="008553A7" w:rsidP="008553A7">
      <w:pPr>
        <w:spacing w:line="360" w:lineRule="auto"/>
        <w:ind w:left="360"/>
        <w:jc w:val="both"/>
        <w:rPr>
          <w:sz w:val="16"/>
          <w:szCs w:val="16"/>
        </w:rPr>
      </w:pPr>
      <w:r>
        <w:rPr>
          <w:sz w:val="16"/>
          <w:szCs w:val="16"/>
        </w:rPr>
        <w:t>Fonte: OMS e *UNDNP, 2010 e 2015</w:t>
      </w:r>
      <w:r w:rsidR="004531D5">
        <w:rPr>
          <w:sz w:val="16"/>
          <w:szCs w:val="16"/>
        </w:rPr>
        <w:t xml:space="preserve">. # World </w:t>
      </w:r>
      <w:proofErr w:type="spellStart"/>
      <w:r w:rsidR="004531D5">
        <w:rPr>
          <w:sz w:val="16"/>
          <w:szCs w:val="16"/>
        </w:rPr>
        <w:t>inequality</w:t>
      </w:r>
      <w:proofErr w:type="spellEnd"/>
      <w:r w:rsidR="004531D5">
        <w:rPr>
          <w:sz w:val="16"/>
          <w:szCs w:val="16"/>
        </w:rPr>
        <w:t xml:space="preserve"> </w:t>
      </w:r>
      <w:proofErr w:type="spellStart"/>
      <w:r w:rsidR="004531D5">
        <w:rPr>
          <w:sz w:val="16"/>
          <w:szCs w:val="16"/>
        </w:rPr>
        <w:t>databse</w:t>
      </w:r>
      <w:proofErr w:type="spellEnd"/>
      <w:r w:rsidR="004531D5">
        <w:rPr>
          <w:sz w:val="16"/>
          <w:szCs w:val="16"/>
        </w:rPr>
        <w:t xml:space="preserve"> (WID)</w:t>
      </w:r>
      <w:r w:rsidR="00A8123A">
        <w:rPr>
          <w:sz w:val="16"/>
          <w:szCs w:val="16"/>
        </w:rPr>
        <w:t>, 2010 e 2015</w:t>
      </w:r>
      <w:r w:rsidR="004531D5">
        <w:rPr>
          <w:sz w:val="16"/>
          <w:szCs w:val="16"/>
        </w:rPr>
        <w:t>.</w:t>
      </w:r>
    </w:p>
    <w:p w:rsidR="00895E33" w:rsidRDefault="00895E33">
      <w:r>
        <w:br w:type="page"/>
      </w:r>
    </w:p>
    <w:p w:rsidR="00C35254" w:rsidRPr="00BA33F3" w:rsidRDefault="00895E33">
      <w:pPr>
        <w:rPr>
          <w:sz w:val="20"/>
          <w:szCs w:val="20"/>
        </w:rPr>
      </w:pPr>
      <w:r w:rsidRPr="00BA33F3">
        <w:rPr>
          <w:sz w:val="20"/>
          <w:szCs w:val="20"/>
        </w:rPr>
        <w:lastRenderedPageBreak/>
        <w:t>3.2. Compare</w:t>
      </w:r>
      <w:r w:rsidR="00C35254" w:rsidRPr="00BA33F3">
        <w:rPr>
          <w:sz w:val="20"/>
          <w:szCs w:val="20"/>
        </w:rPr>
        <w:t xml:space="preserve"> as variáveis abaixo, com os tipos de sistemas de saúde. Algum tipo lhe parece melhor</w:t>
      </w:r>
      <w:r w:rsidR="002F19D9" w:rsidRPr="00BA33F3">
        <w:rPr>
          <w:sz w:val="20"/>
          <w:szCs w:val="20"/>
        </w:rPr>
        <w:t xml:space="preserve"> (ou pior)</w:t>
      </w:r>
      <w:r w:rsidR="00C35254" w:rsidRPr="00BA33F3">
        <w:rPr>
          <w:sz w:val="20"/>
          <w:szCs w:val="20"/>
        </w:rPr>
        <w:t xml:space="preserve"> que os demais, em relação aos resultados encontrados?</w:t>
      </w:r>
      <w:r w:rsidR="00022BF8">
        <w:rPr>
          <w:sz w:val="20"/>
          <w:szCs w:val="20"/>
        </w:rPr>
        <w:t xml:space="preserve"> Compare também com os resultados do Brasil.</w:t>
      </w:r>
    </w:p>
    <w:p w:rsidR="00C35254" w:rsidRDefault="00C35254"/>
    <w:p w:rsidR="00A708DE" w:rsidRPr="00A708DE" w:rsidRDefault="00A708DE" w:rsidP="00A708DE">
      <w:pPr>
        <w:spacing w:line="360" w:lineRule="auto"/>
        <w:jc w:val="both"/>
        <w:rPr>
          <w:sz w:val="20"/>
          <w:szCs w:val="20"/>
        </w:rPr>
      </w:pPr>
      <w:r w:rsidRPr="00A708DE">
        <w:rPr>
          <w:b/>
          <w:sz w:val="20"/>
          <w:szCs w:val="20"/>
        </w:rPr>
        <w:t>Tabela 7</w:t>
      </w:r>
      <w:r w:rsidRPr="00A708DE">
        <w:rPr>
          <w:sz w:val="20"/>
          <w:szCs w:val="20"/>
        </w:rPr>
        <w:t xml:space="preserve"> – Resultados em saúde e variáveis intersetoriais, para países selecionados por tipos </w:t>
      </w:r>
      <w:r w:rsidR="00D67E7A">
        <w:rPr>
          <w:sz w:val="20"/>
          <w:szCs w:val="20"/>
        </w:rPr>
        <w:t xml:space="preserve">de sistema de saúde, </w:t>
      </w:r>
      <w:r w:rsidRPr="00A708DE">
        <w:rPr>
          <w:sz w:val="20"/>
          <w:szCs w:val="20"/>
        </w:rPr>
        <w:t>valores de 2015.</w:t>
      </w:r>
    </w:p>
    <w:tbl>
      <w:tblPr>
        <w:tblW w:w="0" w:type="auto"/>
        <w:tblCellMar>
          <w:left w:w="70" w:type="dxa"/>
          <w:right w:w="70" w:type="dxa"/>
        </w:tblCellMar>
        <w:tblLook w:val="04A0" w:firstRow="1" w:lastRow="0" w:firstColumn="1" w:lastColumn="0" w:noHBand="0" w:noVBand="1"/>
      </w:tblPr>
      <w:tblGrid>
        <w:gridCol w:w="2409"/>
        <w:gridCol w:w="1549"/>
        <w:gridCol w:w="1318"/>
        <w:gridCol w:w="1367"/>
        <w:gridCol w:w="1759"/>
        <w:gridCol w:w="491"/>
        <w:gridCol w:w="1278"/>
        <w:gridCol w:w="1399"/>
        <w:gridCol w:w="1061"/>
        <w:gridCol w:w="1373"/>
      </w:tblGrid>
      <w:tr w:rsidR="00ED19BE" w:rsidRPr="00BA33F3" w:rsidTr="00BA33F3">
        <w:trPr>
          <w:trHeight w:val="885"/>
        </w:trPr>
        <w:tc>
          <w:tcPr>
            <w:tcW w:w="0" w:type="auto"/>
            <w:tcBorders>
              <w:top w:val="nil"/>
              <w:left w:val="nil"/>
              <w:bottom w:val="nil"/>
              <w:right w:val="nil"/>
            </w:tcBorders>
            <w:shd w:val="clear" w:color="auto" w:fill="auto"/>
            <w:noWrap/>
            <w:vAlign w:val="bottom"/>
            <w:hideMark/>
          </w:tcPr>
          <w:p w:rsidR="00EF3E84" w:rsidRPr="00BA33F3" w:rsidRDefault="00EF3E84" w:rsidP="00EF3E84">
            <w:pPr>
              <w:spacing w:after="0" w:line="240" w:lineRule="auto"/>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Países selecionados</w:t>
            </w:r>
          </w:p>
        </w:tc>
        <w:tc>
          <w:tcPr>
            <w:tcW w:w="0" w:type="auto"/>
            <w:tcBorders>
              <w:top w:val="nil"/>
              <w:left w:val="nil"/>
              <w:bottom w:val="nil"/>
              <w:right w:val="nil"/>
            </w:tcBorders>
            <w:shd w:val="clear" w:color="000000" w:fill="D9E1F2"/>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Expectativa de vida ao nascer</w:t>
            </w:r>
          </w:p>
        </w:tc>
        <w:tc>
          <w:tcPr>
            <w:tcW w:w="0" w:type="auto"/>
            <w:tcBorders>
              <w:top w:val="nil"/>
              <w:left w:val="nil"/>
              <w:bottom w:val="nil"/>
              <w:right w:val="nil"/>
            </w:tcBorders>
            <w:shd w:val="clear" w:color="000000" w:fill="D9E1F2"/>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Mortalidade infantil</w:t>
            </w:r>
          </w:p>
        </w:tc>
        <w:tc>
          <w:tcPr>
            <w:tcW w:w="0" w:type="auto"/>
            <w:tcBorders>
              <w:top w:val="nil"/>
              <w:left w:val="nil"/>
              <w:bottom w:val="nil"/>
              <w:right w:val="nil"/>
            </w:tcBorders>
            <w:shd w:val="clear" w:color="000000" w:fill="D9E1F2"/>
            <w:vAlign w:val="bottom"/>
            <w:hideMark/>
          </w:tcPr>
          <w:p w:rsidR="00EF3E84" w:rsidRPr="00BA33F3" w:rsidRDefault="00EF3E84" w:rsidP="00ED19BE">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 de morte</w:t>
            </w:r>
            <w:r w:rsidR="00593E6D">
              <w:rPr>
                <w:rFonts w:ascii="Arial" w:eastAsia="Times New Roman" w:hAnsi="Arial" w:cs="Arial"/>
                <w:b/>
                <w:bCs/>
                <w:sz w:val="18"/>
                <w:szCs w:val="18"/>
                <w:lang w:eastAsia="pt-BR"/>
              </w:rPr>
              <w:t>s</w:t>
            </w:r>
            <w:r w:rsidRPr="00BA33F3">
              <w:rPr>
                <w:rFonts w:ascii="Arial" w:eastAsia="Times New Roman" w:hAnsi="Arial" w:cs="Arial"/>
                <w:b/>
                <w:bCs/>
                <w:sz w:val="18"/>
                <w:szCs w:val="18"/>
                <w:lang w:eastAsia="pt-BR"/>
              </w:rPr>
              <w:t xml:space="preserve"> </w:t>
            </w:r>
            <w:r w:rsidR="00ED19BE">
              <w:rPr>
                <w:rFonts w:ascii="Arial" w:eastAsia="Times New Roman" w:hAnsi="Arial" w:cs="Arial"/>
                <w:b/>
                <w:bCs/>
                <w:sz w:val="18"/>
                <w:szCs w:val="18"/>
                <w:lang w:eastAsia="pt-BR"/>
              </w:rPr>
              <w:t xml:space="preserve">causas </w:t>
            </w:r>
            <w:r w:rsidRPr="00BA33F3">
              <w:rPr>
                <w:rFonts w:ascii="Arial" w:eastAsia="Times New Roman" w:hAnsi="Arial" w:cs="Arial"/>
                <w:b/>
                <w:bCs/>
                <w:sz w:val="18"/>
                <w:szCs w:val="18"/>
                <w:lang w:eastAsia="pt-BR"/>
              </w:rPr>
              <w:t>evitáveis</w:t>
            </w:r>
          </w:p>
        </w:tc>
        <w:tc>
          <w:tcPr>
            <w:tcW w:w="0" w:type="auto"/>
            <w:tcBorders>
              <w:top w:val="nil"/>
              <w:left w:val="nil"/>
              <w:bottom w:val="nil"/>
              <w:right w:val="nil"/>
            </w:tcBorders>
            <w:shd w:val="clear" w:color="000000" w:fill="CCCCFF"/>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Concentração de renda percentil</w:t>
            </w:r>
            <w:r w:rsidRPr="00BA33F3">
              <w:rPr>
                <w:rFonts w:ascii="Arial" w:eastAsia="Times New Roman" w:hAnsi="Arial" w:cs="Arial"/>
                <w:b/>
                <w:bCs/>
                <w:sz w:val="18"/>
                <w:szCs w:val="18"/>
                <w:lang w:eastAsia="pt-BR"/>
              </w:rPr>
              <w:br/>
              <w:t xml:space="preserve"> mais rico</w:t>
            </w:r>
          </w:p>
        </w:tc>
        <w:tc>
          <w:tcPr>
            <w:tcW w:w="0" w:type="auto"/>
            <w:tcBorders>
              <w:top w:val="nil"/>
              <w:left w:val="nil"/>
              <w:bottom w:val="nil"/>
              <w:right w:val="nil"/>
            </w:tcBorders>
            <w:shd w:val="clear" w:color="000000" w:fill="CCCCFF"/>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IDH</w:t>
            </w:r>
          </w:p>
        </w:tc>
        <w:tc>
          <w:tcPr>
            <w:tcW w:w="0" w:type="auto"/>
            <w:tcBorders>
              <w:top w:val="nil"/>
              <w:left w:val="nil"/>
              <w:bottom w:val="nil"/>
              <w:right w:val="nil"/>
            </w:tcBorders>
            <w:shd w:val="clear" w:color="000000" w:fill="CCCCFF"/>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Iniquidade de gênero</w:t>
            </w:r>
          </w:p>
        </w:tc>
        <w:tc>
          <w:tcPr>
            <w:tcW w:w="0" w:type="auto"/>
            <w:tcBorders>
              <w:top w:val="nil"/>
              <w:left w:val="nil"/>
              <w:bottom w:val="nil"/>
              <w:right w:val="nil"/>
            </w:tcBorders>
            <w:shd w:val="clear" w:color="000000" w:fill="CCCCFF"/>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Taxa de desemprego</w:t>
            </w:r>
          </w:p>
        </w:tc>
        <w:tc>
          <w:tcPr>
            <w:tcW w:w="0" w:type="auto"/>
            <w:tcBorders>
              <w:top w:val="nil"/>
              <w:left w:val="nil"/>
              <w:bottom w:val="nil"/>
              <w:right w:val="nil"/>
            </w:tcBorders>
            <w:shd w:val="clear" w:color="000000" w:fill="CCCCFF"/>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Poluição urbana</w:t>
            </w:r>
          </w:p>
        </w:tc>
        <w:tc>
          <w:tcPr>
            <w:tcW w:w="0" w:type="auto"/>
            <w:tcBorders>
              <w:top w:val="nil"/>
              <w:left w:val="nil"/>
              <w:bottom w:val="nil"/>
              <w:right w:val="nil"/>
            </w:tcBorders>
            <w:shd w:val="clear" w:color="000000" w:fill="CCCCFF"/>
            <w:vAlign w:val="bottom"/>
            <w:hideMark/>
          </w:tcPr>
          <w:p w:rsidR="00EF3E84" w:rsidRPr="00BA33F3" w:rsidRDefault="00EF3E84" w:rsidP="00EF3E84">
            <w:pPr>
              <w:spacing w:after="0" w:line="240" w:lineRule="auto"/>
              <w:jc w:val="center"/>
              <w:rPr>
                <w:rFonts w:ascii="Arial" w:eastAsia="Times New Roman" w:hAnsi="Arial" w:cs="Arial"/>
                <w:b/>
                <w:bCs/>
                <w:sz w:val="18"/>
                <w:szCs w:val="18"/>
                <w:lang w:eastAsia="pt-BR"/>
              </w:rPr>
            </w:pPr>
            <w:r w:rsidRPr="00BA33F3">
              <w:rPr>
                <w:rFonts w:ascii="Arial" w:eastAsia="Times New Roman" w:hAnsi="Arial" w:cs="Arial"/>
                <w:b/>
                <w:bCs/>
                <w:sz w:val="18"/>
                <w:szCs w:val="18"/>
                <w:lang w:eastAsia="pt-BR"/>
              </w:rPr>
              <w:t>Saneamento básico</w:t>
            </w:r>
          </w:p>
        </w:tc>
      </w:tr>
      <w:tr w:rsidR="00ED19BE" w:rsidRPr="00BA33F3" w:rsidTr="00BA33F3">
        <w:trPr>
          <w:trHeight w:val="660"/>
        </w:trPr>
        <w:tc>
          <w:tcPr>
            <w:tcW w:w="0" w:type="auto"/>
            <w:tcBorders>
              <w:top w:val="nil"/>
              <w:left w:val="nil"/>
              <w:bottom w:val="nil"/>
              <w:right w:val="nil"/>
            </w:tcBorders>
            <w:shd w:val="clear" w:color="auto" w:fill="auto"/>
            <w:noWrap/>
            <w:vAlign w:val="bottom"/>
            <w:hideMark/>
          </w:tcPr>
          <w:p w:rsidR="00053E0C" w:rsidRDefault="00053E0C" w:rsidP="00053E0C">
            <w:pPr>
              <w:spacing w:after="0" w:line="240" w:lineRule="auto"/>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Reino Unido</w:t>
            </w:r>
            <w:r>
              <w:rPr>
                <w:rFonts w:ascii="Arial" w:eastAsia="Times New Roman" w:hAnsi="Arial" w:cs="Arial"/>
                <w:b/>
                <w:bCs/>
                <w:sz w:val="16"/>
                <w:szCs w:val="16"/>
                <w:lang w:eastAsia="pt-BR"/>
              </w:rPr>
              <w:t xml:space="preserve"> </w:t>
            </w:r>
          </w:p>
          <w:p w:rsidR="00053E0C" w:rsidRPr="00AB58B9" w:rsidRDefault="00053E0C" w:rsidP="00053E0C">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(Serviço Nacional de Saúde)</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81,10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3,80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11,20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0,13</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0,91</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0,12</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4,30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10,60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99,00</w:t>
            </w:r>
          </w:p>
        </w:tc>
      </w:tr>
      <w:tr w:rsidR="00ED19BE" w:rsidRPr="00BA33F3" w:rsidTr="00BA33F3">
        <w:trPr>
          <w:trHeight w:val="240"/>
        </w:trPr>
        <w:tc>
          <w:tcPr>
            <w:tcW w:w="0" w:type="auto"/>
            <w:tcBorders>
              <w:top w:val="nil"/>
              <w:left w:val="nil"/>
              <w:bottom w:val="nil"/>
              <w:right w:val="nil"/>
            </w:tcBorders>
            <w:shd w:val="clear" w:color="auto" w:fill="auto"/>
            <w:noWrap/>
            <w:vAlign w:val="bottom"/>
            <w:hideMark/>
          </w:tcPr>
          <w:p w:rsidR="00053E0C" w:rsidRPr="00AB58B9" w:rsidRDefault="00053E0C"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r>
      <w:tr w:rsidR="00ED19BE" w:rsidRPr="00BA33F3" w:rsidTr="00BA33F3">
        <w:trPr>
          <w:trHeight w:val="600"/>
        </w:trPr>
        <w:tc>
          <w:tcPr>
            <w:tcW w:w="0" w:type="auto"/>
            <w:tcBorders>
              <w:top w:val="nil"/>
              <w:left w:val="nil"/>
              <w:bottom w:val="nil"/>
              <w:right w:val="nil"/>
            </w:tcBorders>
            <w:shd w:val="clear" w:color="auto" w:fill="auto"/>
            <w:noWrap/>
            <w:vAlign w:val="bottom"/>
            <w:hideMark/>
          </w:tcPr>
          <w:p w:rsidR="00053E0C" w:rsidRDefault="00053E0C" w:rsidP="00053E0C">
            <w:pPr>
              <w:spacing w:after="0" w:line="240" w:lineRule="auto"/>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Canadá</w:t>
            </w:r>
          </w:p>
          <w:p w:rsidR="00053E0C" w:rsidRPr="00AB58B9" w:rsidRDefault="00053E0C" w:rsidP="00053E0C">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(Seguro Saúde Nacional)</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82,60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4,70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10,00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0,14</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0,89</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0,09</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6,40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6,70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99,00</w:t>
            </w:r>
          </w:p>
        </w:tc>
      </w:tr>
      <w:tr w:rsidR="00ED19BE" w:rsidRPr="00BA33F3" w:rsidTr="00BA33F3">
        <w:trPr>
          <w:trHeight w:val="255"/>
        </w:trPr>
        <w:tc>
          <w:tcPr>
            <w:tcW w:w="0" w:type="auto"/>
            <w:tcBorders>
              <w:top w:val="nil"/>
              <w:left w:val="nil"/>
              <w:bottom w:val="nil"/>
              <w:right w:val="nil"/>
            </w:tcBorders>
            <w:shd w:val="clear" w:color="auto" w:fill="auto"/>
            <w:noWrap/>
            <w:vAlign w:val="bottom"/>
            <w:hideMark/>
          </w:tcPr>
          <w:p w:rsidR="00053E0C" w:rsidRPr="00AB58B9" w:rsidRDefault="00053E0C"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r>
      <w:tr w:rsidR="00ED19BE" w:rsidRPr="00BA33F3" w:rsidTr="00BA33F3">
        <w:trPr>
          <w:trHeight w:val="435"/>
        </w:trPr>
        <w:tc>
          <w:tcPr>
            <w:tcW w:w="0" w:type="auto"/>
            <w:tcBorders>
              <w:top w:val="nil"/>
              <w:left w:val="nil"/>
              <w:bottom w:val="nil"/>
              <w:right w:val="nil"/>
            </w:tcBorders>
            <w:shd w:val="clear" w:color="auto" w:fill="auto"/>
            <w:noWrap/>
            <w:vAlign w:val="bottom"/>
            <w:hideMark/>
          </w:tcPr>
          <w:p w:rsidR="00053E0C" w:rsidRDefault="00053E0C" w:rsidP="00053E0C">
            <w:pPr>
              <w:spacing w:after="0" w:line="240" w:lineRule="auto"/>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Estados Unidos</w:t>
            </w:r>
          </w:p>
          <w:p w:rsidR="00053E0C" w:rsidRPr="00AB58B9" w:rsidRDefault="00053E0C" w:rsidP="00053E0C">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(Sistema privado de saúde)</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78,60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5,80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14,30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0,20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0,90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0,19</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4,40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7,60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100,00</w:t>
            </w:r>
          </w:p>
        </w:tc>
      </w:tr>
      <w:tr w:rsidR="00ED19BE" w:rsidRPr="00BA33F3" w:rsidTr="00BA33F3">
        <w:trPr>
          <w:trHeight w:val="180"/>
        </w:trPr>
        <w:tc>
          <w:tcPr>
            <w:tcW w:w="0" w:type="auto"/>
            <w:tcBorders>
              <w:top w:val="nil"/>
              <w:left w:val="nil"/>
              <w:bottom w:val="nil"/>
              <w:right w:val="nil"/>
            </w:tcBorders>
            <w:shd w:val="clear" w:color="auto" w:fill="auto"/>
            <w:noWrap/>
            <w:vAlign w:val="bottom"/>
            <w:hideMark/>
          </w:tcPr>
          <w:p w:rsidR="00053E0C" w:rsidRPr="00AB58B9" w:rsidRDefault="00053E0C"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r>
      <w:tr w:rsidR="00ED19BE" w:rsidRPr="00BA33F3" w:rsidTr="00BA33F3">
        <w:trPr>
          <w:trHeight w:val="570"/>
        </w:trPr>
        <w:tc>
          <w:tcPr>
            <w:tcW w:w="0" w:type="auto"/>
            <w:tcBorders>
              <w:top w:val="nil"/>
              <w:left w:val="nil"/>
              <w:bottom w:val="nil"/>
              <w:right w:val="nil"/>
            </w:tcBorders>
            <w:shd w:val="clear" w:color="auto" w:fill="auto"/>
            <w:noWrap/>
            <w:vAlign w:val="bottom"/>
            <w:hideMark/>
          </w:tcPr>
          <w:p w:rsidR="00053E0C" w:rsidRDefault="00053E0C" w:rsidP="00053E0C">
            <w:pPr>
              <w:spacing w:after="0" w:line="240" w:lineRule="auto"/>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Alemanha</w:t>
            </w:r>
          </w:p>
          <w:p w:rsidR="00053E0C" w:rsidRPr="00AB58B9" w:rsidRDefault="00053E0C" w:rsidP="00053E0C">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(Seguro Saúde Social)</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80,60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3,30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12,50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0,11</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0,93</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0,07</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3,70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11,90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99,00</w:t>
            </w:r>
          </w:p>
        </w:tc>
      </w:tr>
      <w:tr w:rsidR="00ED19BE" w:rsidRPr="00BA33F3" w:rsidTr="00BA33F3">
        <w:trPr>
          <w:trHeight w:val="255"/>
        </w:trPr>
        <w:tc>
          <w:tcPr>
            <w:tcW w:w="0" w:type="auto"/>
            <w:tcBorders>
              <w:top w:val="nil"/>
              <w:left w:val="nil"/>
              <w:bottom w:val="nil"/>
              <w:right w:val="nil"/>
            </w:tcBorders>
            <w:shd w:val="clear" w:color="auto" w:fill="auto"/>
            <w:noWrap/>
            <w:vAlign w:val="bottom"/>
            <w:hideMark/>
          </w:tcPr>
          <w:p w:rsidR="00053E0C" w:rsidRPr="00AB58B9" w:rsidRDefault="00053E0C" w:rsidP="00053E0C">
            <w:pPr>
              <w:spacing w:after="0" w:line="240" w:lineRule="auto"/>
              <w:jc w:val="center"/>
              <w:rPr>
                <w:rFonts w:ascii="Arial" w:eastAsia="Times New Roman" w:hAnsi="Arial" w:cs="Arial"/>
                <w:sz w:val="16"/>
                <w:szCs w:val="16"/>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Times New Roman" w:eastAsia="Times New Roman" w:hAnsi="Times New Roman" w:cs="Times New Roman"/>
                <w:sz w:val="18"/>
                <w:szCs w:val="18"/>
                <w:lang w:eastAsia="pt-BR"/>
              </w:rPr>
            </w:pPr>
          </w:p>
        </w:tc>
      </w:tr>
      <w:tr w:rsidR="00ED19BE" w:rsidRPr="00BA33F3" w:rsidTr="00BA33F3">
        <w:trPr>
          <w:trHeight w:val="510"/>
        </w:trPr>
        <w:tc>
          <w:tcPr>
            <w:tcW w:w="0" w:type="auto"/>
            <w:tcBorders>
              <w:top w:val="nil"/>
              <w:left w:val="nil"/>
              <w:bottom w:val="nil"/>
              <w:right w:val="nil"/>
            </w:tcBorders>
            <w:shd w:val="clear" w:color="auto" w:fill="auto"/>
            <w:noWrap/>
            <w:vAlign w:val="bottom"/>
            <w:hideMark/>
          </w:tcPr>
          <w:p w:rsidR="00053E0C" w:rsidRDefault="00053E0C" w:rsidP="00053E0C">
            <w:pPr>
              <w:spacing w:after="0" w:line="240" w:lineRule="auto"/>
              <w:rPr>
                <w:rFonts w:ascii="Arial" w:eastAsia="Times New Roman" w:hAnsi="Arial" w:cs="Arial"/>
                <w:b/>
                <w:bCs/>
                <w:sz w:val="16"/>
                <w:szCs w:val="16"/>
                <w:lang w:eastAsia="pt-BR"/>
              </w:rPr>
            </w:pPr>
            <w:r w:rsidRPr="00AB58B9">
              <w:rPr>
                <w:rFonts w:ascii="Arial" w:eastAsia="Times New Roman" w:hAnsi="Arial" w:cs="Arial"/>
                <w:b/>
                <w:bCs/>
                <w:sz w:val="16"/>
                <w:szCs w:val="16"/>
                <w:lang w:eastAsia="pt-BR"/>
              </w:rPr>
              <w:t>França</w:t>
            </w:r>
          </w:p>
          <w:p w:rsidR="00053E0C" w:rsidRPr="00AB58B9" w:rsidRDefault="00053E0C" w:rsidP="00053E0C">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(Seguro Saúde Social Estatal)</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82,70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3,50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10,80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0,11</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0,90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0,08</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9,70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12,40</w:t>
            </w:r>
          </w:p>
        </w:tc>
        <w:tc>
          <w:tcPr>
            <w:tcW w:w="0" w:type="auto"/>
            <w:tcBorders>
              <w:top w:val="nil"/>
              <w:left w:val="nil"/>
              <w:bottom w:val="nil"/>
              <w:right w:val="nil"/>
            </w:tcBorders>
            <w:shd w:val="clear" w:color="auto" w:fill="auto"/>
            <w:noWrap/>
            <w:vAlign w:val="center"/>
            <w:hideMark/>
          </w:tcPr>
          <w:p w:rsidR="00053E0C" w:rsidRPr="00BA33F3" w:rsidRDefault="00053E0C" w:rsidP="00053E0C">
            <w:pPr>
              <w:spacing w:after="0" w:line="240" w:lineRule="auto"/>
              <w:jc w:val="center"/>
              <w:rPr>
                <w:rFonts w:ascii="Arial" w:eastAsia="Times New Roman" w:hAnsi="Arial" w:cs="Arial"/>
                <w:sz w:val="18"/>
                <w:szCs w:val="18"/>
                <w:lang w:eastAsia="pt-BR"/>
              </w:rPr>
            </w:pPr>
            <w:r w:rsidRPr="00BA33F3">
              <w:rPr>
                <w:rFonts w:ascii="Arial" w:eastAsia="Times New Roman" w:hAnsi="Arial" w:cs="Arial"/>
                <w:sz w:val="18"/>
                <w:szCs w:val="18"/>
                <w:lang w:eastAsia="pt-BR"/>
              </w:rPr>
              <w:t>99,00</w:t>
            </w:r>
          </w:p>
        </w:tc>
      </w:tr>
      <w:tr w:rsidR="00ED19BE" w:rsidRPr="00BA33F3" w:rsidTr="00D67E7A">
        <w:trPr>
          <w:trHeight w:val="218"/>
        </w:trPr>
        <w:tc>
          <w:tcPr>
            <w:tcW w:w="0" w:type="auto"/>
            <w:tcBorders>
              <w:top w:val="nil"/>
              <w:left w:val="nil"/>
              <w:bottom w:val="nil"/>
              <w:right w:val="nil"/>
            </w:tcBorders>
            <w:shd w:val="clear" w:color="auto" w:fill="auto"/>
            <w:noWrap/>
            <w:vAlign w:val="bottom"/>
          </w:tcPr>
          <w:p w:rsidR="00D67E7A" w:rsidRPr="00AB58B9" w:rsidRDefault="00D67E7A" w:rsidP="00053E0C">
            <w:pPr>
              <w:spacing w:after="0" w:line="240" w:lineRule="auto"/>
              <w:rPr>
                <w:rFonts w:ascii="Arial" w:eastAsia="Times New Roman" w:hAnsi="Arial" w:cs="Arial"/>
                <w:b/>
                <w:bCs/>
                <w:sz w:val="16"/>
                <w:szCs w:val="16"/>
                <w:lang w:eastAsia="pt-BR"/>
              </w:rPr>
            </w:pPr>
          </w:p>
        </w:tc>
        <w:tc>
          <w:tcPr>
            <w:tcW w:w="0" w:type="auto"/>
            <w:tcBorders>
              <w:top w:val="nil"/>
              <w:left w:val="nil"/>
              <w:bottom w:val="nil"/>
              <w:right w:val="nil"/>
            </w:tcBorders>
            <w:shd w:val="clear" w:color="auto" w:fill="auto"/>
            <w:noWrap/>
            <w:vAlign w:val="center"/>
          </w:tcPr>
          <w:p w:rsidR="00D67E7A" w:rsidRPr="00BA33F3" w:rsidRDefault="00D67E7A" w:rsidP="00053E0C">
            <w:pPr>
              <w:spacing w:after="0" w:line="240" w:lineRule="auto"/>
              <w:jc w:val="center"/>
              <w:rPr>
                <w:rFonts w:ascii="Arial" w:eastAsia="Times New Roman" w:hAnsi="Arial" w:cs="Arial"/>
                <w:sz w:val="18"/>
                <w:szCs w:val="18"/>
                <w:lang w:eastAsia="pt-BR"/>
              </w:rPr>
            </w:pPr>
          </w:p>
        </w:tc>
        <w:tc>
          <w:tcPr>
            <w:tcW w:w="0" w:type="auto"/>
            <w:tcBorders>
              <w:top w:val="nil"/>
              <w:left w:val="nil"/>
              <w:bottom w:val="nil"/>
              <w:right w:val="nil"/>
            </w:tcBorders>
            <w:shd w:val="clear" w:color="auto" w:fill="auto"/>
            <w:noWrap/>
            <w:vAlign w:val="center"/>
          </w:tcPr>
          <w:p w:rsidR="00D67E7A" w:rsidRPr="00BA33F3" w:rsidRDefault="00D67E7A" w:rsidP="00053E0C">
            <w:pPr>
              <w:spacing w:after="0" w:line="240" w:lineRule="auto"/>
              <w:jc w:val="center"/>
              <w:rPr>
                <w:rFonts w:ascii="Arial" w:eastAsia="Times New Roman" w:hAnsi="Arial" w:cs="Arial"/>
                <w:sz w:val="18"/>
                <w:szCs w:val="18"/>
                <w:lang w:eastAsia="pt-BR"/>
              </w:rPr>
            </w:pPr>
          </w:p>
        </w:tc>
        <w:tc>
          <w:tcPr>
            <w:tcW w:w="0" w:type="auto"/>
            <w:tcBorders>
              <w:top w:val="nil"/>
              <w:left w:val="nil"/>
              <w:bottom w:val="nil"/>
              <w:right w:val="nil"/>
            </w:tcBorders>
            <w:shd w:val="clear" w:color="auto" w:fill="auto"/>
            <w:noWrap/>
            <w:vAlign w:val="center"/>
          </w:tcPr>
          <w:p w:rsidR="00D67E7A" w:rsidRPr="00BA33F3" w:rsidRDefault="00D67E7A" w:rsidP="00053E0C">
            <w:pPr>
              <w:spacing w:after="0" w:line="240" w:lineRule="auto"/>
              <w:jc w:val="center"/>
              <w:rPr>
                <w:rFonts w:ascii="Arial" w:eastAsia="Times New Roman" w:hAnsi="Arial" w:cs="Arial"/>
                <w:sz w:val="18"/>
                <w:szCs w:val="18"/>
                <w:lang w:eastAsia="pt-BR"/>
              </w:rPr>
            </w:pPr>
          </w:p>
        </w:tc>
        <w:tc>
          <w:tcPr>
            <w:tcW w:w="0" w:type="auto"/>
            <w:tcBorders>
              <w:top w:val="nil"/>
              <w:left w:val="nil"/>
              <w:bottom w:val="nil"/>
              <w:right w:val="nil"/>
            </w:tcBorders>
            <w:shd w:val="clear" w:color="auto" w:fill="auto"/>
            <w:noWrap/>
            <w:vAlign w:val="center"/>
          </w:tcPr>
          <w:p w:rsidR="00D67E7A" w:rsidRPr="00BA33F3" w:rsidRDefault="00D67E7A" w:rsidP="00053E0C">
            <w:pPr>
              <w:spacing w:after="0" w:line="240" w:lineRule="auto"/>
              <w:jc w:val="center"/>
              <w:rPr>
                <w:rFonts w:ascii="Arial" w:eastAsia="Times New Roman" w:hAnsi="Arial" w:cs="Arial"/>
                <w:sz w:val="18"/>
                <w:szCs w:val="18"/>
                <w:lang w:eastAsia="pt-BR"/>
              </w:rPr>
            </w:pPr>
          </w:p>
        </w:tc>
        <w:tc>
          <w:tcPr>
            <w:tcW w:w="0" w:type="auto"/>
            <w:tcBorders>
              <w:top w:val="nil"/>
              <w:left w:val="nil"/>
              <w:bottom w:val="nil"/>
              <w:right w:val="nil"/>
            </w:tcBorders>
            <w:shd w:val="clear" w:color="auto" w:fill="auto"/>
            <w:noWrap/>
            <w:vAlign w:val="center"/>
          </w:tcPr>
          <w:p w:rsidR="00D67E7A" w:rsidRPr="00BA33F3" w:rsidRDefault="00D67E7A" w:rsidP="00053E0C">
            <w:pPr>
              <w:spacing w:after="0" w:line="240" w:lineRule="auto"/>
              <w:jc w:val="center"/>
              <w:rPr>
                <w:rFonts w:ascii="Arial" w:eastAsia="Times New Roman" w:hAnsi="Arial" w:cs="Arial"/>
                <w:sz w:val="18"/>
                <w:szCs w:val="18"/>
                <w:lang w:eastAsia="pt-BR"/>
              </w:rPr>
            </w:pPr>
          </w:p>
        </w:tc>
        <w:tc>
          <w:tcPr>
            <w:tcW w:w="0" w:type="auto"/>
            <w:tcBorders>
              <w:top w:val="nil"/>
              <w:left w:val="nil"/>
              <w:bottom w:val="nil"/>
              <w:right w:val="nil"/>
            </w:tcBorders>
            <w:shd w:val="clear" w:color="auto" w:fill="auto"/>
            <w:noWrap/>
            <w:vAlign w:val="center"/>
          </w:tcPr>
          <w:p w:rsidR="00D67E7A" w:rsidRPr="00BA33F3" w:rsidRDefault="00D67E7A" w:rsidP="00053E0C">
            <w:pPr>
              <w:spacing w:after="0" w:line="240" w:lineRule="auto"/>
              <w:jc w:val="center"/>
              <w:rPr>
                <w:rFonts w:ascii="Arial" w:eastAsia="Times New Roman" w:hAnsi="Arial" w:cs="Arial"/>
                <w:sz w:val="18"/>
                <w:szCs w:val="18"/>
                <w:lang w:eastAsia="pt-BR"/>
              </w:rPr>
            </w:pPr>
          </w:p>
        </w:tc>
        <w:tc>
          <w:tcPr>
            <w:tcW w:w="0" w:type="auto"/>
            <w:tcBorders>
              <w:top w:val="nil"/>
              <w:left w:val="nil"/>
              <w:bottom w:val="nil"/>
              <w:right w:val="nil"/>
            </w:tcBorders>
            <w:shd w:val="clear" w:color="auto" w:fill="auto"/>
            <w:noWrap/>
            <w:vAlign w:val="center"/>
          </w:tcPr>
          <w:p w:rsidR="00D67E7A" w:rsidRPr="00BA33F3" w:rsidRDefault="00D67E7A" w:rsidP="00053E0C">
            <w:pPr>
              <w:spacing w:after="0" w:line="240" w:lineRule="auto"/>
              <w:jc w:val="center"/>
              <w:rPr>
                <w:rFonts w:ascii="Arial" w:eastAsia="Times New Roman" w:hAnsi="Arial" w:cs="Arial"/>
                <w:sz w:val="18"/>
                <w:szCs w:val="18"/>
                <w:lang w:eastAsia="pt-BR"/>
              </w:rPr>
            </w:pPr>
          </w:p>
        </w:tc>
        <w:tc>
          <w:tcPr>
            <w:tcW w:w="0" w:type="auto"/>
            <w:tcBorders>
              <w:top w:val="nil"/>
              <w:left w:val="nil"/>
              <w:bottom w:val="nil"/>
              <w:right w:val="nil"/>
            </w:tcBorders>
            <w:shd w:val="clear" w:color="auto" w:fill="auto"/>
            <w:noWrap/>
            <w:vAlign w:val="center"/>
          </w:tcPr>
          <w:p w:rsidR="00D67E7A" w:rsidRPr="00BA33F3" w:rsidRDefault="00D67E7A" w:rsidP="00053E0C">
            <w:pPr>
              <w:spacing w:after="0" w:line="240" w:lineRule="auto"/>
              <w:jc w:val="center"/>
              <w:rPr>
                <w:rFonts w:ascii="Arial" w:eastAsia="Times New Roman" w:hAnsi="Arial" w:cs="Arial"/>
                <w:sz w:val="18"/>
                <w:szCs w:val="18"/>
                <w:lang w:eastAsia="pt-BR"/>
              </w:rPr>
            </w:pPr>
          </w:p>
        </w:tc>
        <w:tc>
          <w:tcPr>
            <w:tcW w:w="0" w:type="auto"/>
            <w:tcBorders>
              <w:top w:val="nil"/>
              <w:left w:val="nil"/>
              <w:bottom w:val="nil"/>
              <w:right w:val="nil"/>
            </w:tcBorders>
            <w:shd w:val="clear" w:color="auto" w:fill="auto"/>
            <w:noWrap/>
            <w:vAlign w:val="center"/>
          </w:tcPr>
          <w:p w:rsidR="00D67E7A" w:rsidRPr="00BA33F3" w:rsidRDefault="00D67E7A" w:rsidP="00053E0C">
            <w:pPr>
              <w:spacing w:after="0" w:line="240" w:lineRule="auto"/>
              <w:jc w:val="center"/>
              <w:rPr>
                <w:rFonts w:ascii="Arial" w:eastAsia="Times New Roman" w:hAnsi="Arial" w:cs="Arial"/>
                <w:sz w:val="18"/>
                <w:szCs w:val="18"/>
                <w:lang w:eastAsia="pt-BR"/>
              </w:rPr>
            </w:pPr>
          </w:p>
        </w:tc>
      </w:tr>
      <w:tr w:rsidR="00ED19BE" w:rsidRPr="00BA33F3" w:rsidTr="005E0630">
        <w:trPr>
          <w:trHeight w:val="510"/>
        </w:trPr>
        <w:tc>
          <w:tcPr>
            <w:tcW w:w="0" w:type="auto"/>
            <w:tcBorders>
              <w:top w:val="nil"/>
              <w:left w:val="nil"/>
              <w:bottom w:val="nil"/>
              <w:right w:val="nil"/>
            </w:tcBorders>
            <w:shd w:val="clear" w:color="auto" w:fill="E2EFD9" w:themeFill="accent6" w:themeFillTint="33"/>
            <w:noWrap/>
            <w:vAlign w:val="bottom"/>
          </w:tcPr>
          <w:p w:rsidR="00D67E7A" w:rsidRPr="00AB58B9" w:rsidRDefault="00D67E7A" w:rsidP="00053E0C">
            <w:pPr>
              <w:spacing w:after="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BRASIL</w:t>
            </w:r>
          </w:p>
        </w:tc>
        <w:tc>
          <w:tcPr>
            <w:tcW w:w="0" w:type="auto"/>
            <w:tcBorders>
              <w:top w:val="nil"/>
              <w:left w:val="nil"/>
              <w:bottom w:val="nil"/>
              <w:right w:val="nil"/>
            </w:tcBorders>
            <w:shd w:val="clear" w:color="auto" w:fill="E2EFD9" w:themeFill="accent6" w:themeFillTint="33"/>
            <w:noWrap/>
            <w:vAlign w:val="center"/>
          </w:tcPr>
          <w:p w:rsidR="00D67E7A" w:rsidRPr="00BA33F3" w:rsidRDefault="00D67E7A" w:rsidP="00053E0C">
            <w:pPr>
              <w:spacing w:after="0"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74,90</w:t>
            </w:r>
          </w:p>
        </w:tc>
        <w:tc>
          <w:tcPr>
            <w:tcW w:w="0" w:type="auto"/>
            <w:tcBorders>
              <w:top w:val="nil"/>
              <w:left w:val="nil"/>
              <w:bottom w:val="nil"/>
              <w:right w:val="nil"/>
            </w:tcBorders>
            <w:shd w:val="clear" w:color="auto" w:fill="E2EFD9" w:themeFill="accent6" w:themeFillTint="33"/>
            <w:noWrap/>
            <w:vAlign w:val="center"/>
          </w:tcPr>
          <w:p w:rsidR="00D67E7A" w:rsidRPr="00BA33F3" w:rsidRDefault="00ED19BE" w:rsidP="00053E0C">
            <w:pPr>
              <w:spacing w:after="0"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14,00</w:t>
            </w:r>
          </w:p>
        </w:tc>
        <w:tc>
          <w:tcPr>
            <w:tcW w:w="0" w:type="auto"/>
            <w:tcBorders>
              <w:top w:val="nil"/>
              <w:left w:val="nil"/>
              <w:bottom w:val="nil"/>
              <w:right w:val="nil"/>
            </w:tcBorders>
            <w:shd w:val="clear" w:color="auto" w:fill="E2EFD9" w:themeFill="accent6" w:themeFillTint="33"/>
            <w:noWrap/>
            <w:vAlign w:val="center"/>
          </w:tcPr>
          <w:p w:rsidR="00D67E7A" w:rsidRPr="00BA33F3" w:rsidRDefault="00ED19BE" w:rsidP="00053E0C">
            <w:pPr>
              <w:spacing w:after="0"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17,00</w:t>
            </w:r>
          </w:p>
        </w:tc>
        <w:tc>
          <w:tcPr>
            <w:tcW w:w="0" w:type="auto"/>
            <w:tcBorders>
              <w:top w:val="nil"/>
              <w:left w:val="nil"/>
              <w:bottom w:val="nil"/>
              <w:right w:val="nil"/>
            </w:tcBorders>
            <w:shd w:val="clear" w:color="auto" w:fill="E2EFD9" w:themeFill="accent6" w:themeFillTint="33"/>
            <w:noWrap/>
            <w:vAlign w:val="center"/>
          </w:tcPr>
          <w:p w:rsidR="00D67E7A" w:rsidRPr="00BA33F3" w:rsidRDefault="005E0630" w:rsidP="00053E0C">
            <w:pPr>
              <w:spacing w:after="0"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0,28</w:t>
            </w:r>
          </w:p>
        </w:tc>
        <w:tc>
          <w:tcPr>
            <w:tcW w:w="0" w:type="auto"/>
            <w:tcBorders>
              <w:top w:val="nil"/>
              <w:left w:val="nil"/>
              <w:bottom w:val="nil"/>
              <w:right w:val="nil"/>
            </w:tcBorders>
            <w:shd w:val="clear" w:color="auto" w:fill="E2EFD9" w:themeFill="accent6" w:themeFillTint="33"/>
            <w:noWrap/>
            <w:vAlign w:val="center"/>
          </w:tcPr>
          <w:p w:rsidR="00D67E7A" w:rsidRPr="00BA33F3" w:rsidRDefault="005E0630" w:rsidP="00053E0C">
            <w:pPr>
              <w:spacing w:after="0"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0,76</w:t>
            </w:r>
          </w:p>
        </w:tc>
        <w:tc>
          <w:tcPr>
            <w:tcW w:w="0" w:type="auto"/>
            <w:tcBorders>
              <w:top w:val="nil"/>
              <w:left w:val="nil"/>
              <w:bottom w:val="nil"/>
              <w:right w:val="nil"/>
            </w:tcBorders>
            <w:shd w:val="clear" w:color="auto" w:fill="E2EFD9" w:themeFill="accent6" w:themeFillTint="33"/>
            <w:noWrap/>
            <w:vAlign w:val="center"/>
          </w:tcPr>
          <w:p w:rsidR="00D67E7A" w:rsidRPr="00BA33F3" w:rsidRDefault="005E0630" w:rsidP="00053E0C">
            <w:pPr>
              <w:spacing w:after="0"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0,41</w:t>
            </w:r>
          </w:p>
        </w:tc>
        <w:tc>
          <w:tcPr>
            <w:tcW w:w="0" w:type="auto"/>
            <w:tcBorders>
              <w:top w:val="nil"/>
              <w:left w:val="nil"/>
              <w:bottom w:val="nil"/>
              <w:right w:val="nil"/>
            </w:tcBorders>
            <w:shd w:val="clear" w:color="auto" w:fill="E2EFD9" w:themeFill="accent6" w:themeFillTint="33"/>
            <w:noWrap/>
            <w:vAlign w:val="center"/>
          </w:tcPr>
          <w:p w:rsidR="00D67E7A" w:rsidRPr="00BA33F3" w:rsidRDefault="005E0630" w:rsidP="00053E0C">
            <w:pPr>
              <w:spacing w:after="0"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12,90</w:t>
            </w:r>
          </w:p>
        </w:tc>
        <w:tc>
          <w:tcPr>
            <w:tcW w:w="0" w:type="auto"/>
            <w:tcBorders>
              <w:top w:val="nil"/>
              <w:left w:val="nil"/>
              <w:bottom w:val="nil"/>
              <w:right w:val="nil"/>
            </w:tcBorders>
            <w:shd w:val="clear" w:color="auto" w:fill="E2EFD9" w:themeFill="accent6" w:themeFillTint="33"/>
            <w:noWrap/>
            <w:vAlign w:val="center"/>
          </w:tcPr>
          <w:p w:rsidR="00D67E7A" w:rsidRPr="00BA33F3" w:rsidRDefault="005E0630" w:rsidP="00053E0C">
            <w:pPr>
              <w:spacing w:after="0"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11,80</w:t>
            </w:r>
          </w:p>
        </w:tc>
        <w:tc>
          <w:tcPr>
            <w:tcW w:w="0" w:type="auto"/>
            <w:tcBorders>
              <w:top w:val="nil"/>
              <w:left w:val="nil"/>
              <w:bottom w:val="nil"/>
              <w:right w:val="nil"/>
            </w:tcBorders>
            <w:shd w:val="clear" w:color="auto" w:fill="E2EFD9" w:themeFill="accent6" w:themeFillTint="33"/>
            <w:noWrap/>
            <w:vAlign w:val="center"/>
          </w:tcPr>
          <w:p w:rsidR="00D67E7A" w:rsidRPr="00BA33F3" w:rsidRDefault="005E0630" w:rsidP="00053E0C">
            <w:pPr>
              <w:spacing w:after="0"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87,00</w:t>
            </w:r>
          </w:p>
        </w:tc>
      </w:tr>
    </w:tbl>
    <w:p w:rsidR="00BA33F3" w:rsidRDefault="00BA33F3" w:rsidP="0025247F">
      <w:pPr>
        <w:spacing w:line="360" w:lineRule="auto"/>
        <w:ind w:left="360"/>
        <w:jc w:val="both"/>
        <w:rPr>
          <w:sz w:val="16"/>
          <w:szCs w:val="16"/>
        </w:rPr>
      </w:pPr>
    </w:p>
    <w:p w:rsidR="0025247F" w:rsidRPr="00B547C0" w:rsidRDefault="0025247F" w:rsidP="0025247F">
      <w:pPr>
        <w:spacing w:line="360" w:lineRule="auto"/>
        <w:ind w:left="360"/>
        <w:jc w:val="both"/>
        <w:rPr>
          <w:sz w:val="16"/>
          <w:szCs w:val="16"/>
        </w:rPr>
      </w:pPr>
      <w:r>
        <w:rPr>
          <w:sz w:val="16"/>
          <w:szCs w:val="16"/>
        </w:rPr>
        <w:t xml:space="preserve">Fonte: OMS e *UNDNP, 2010 e 2015. # World </w:t>
      </w:r>
      <w:proofErr w:type="spellStart"/>
      <w:r>
        <w:rPr>
          <w:sz w:val="16"/>
          <w:szCs w:val="16"/>
        </w:rPr>
        <w:t>inequality</w:t>
      </w:r>
      <w:proofErr w:type="spellEnd"/>
      <w:r>
        <w:rPr>
          <w:sz w:val="16"/>
          <w:szCs w:val="16"/>
        </w:rPr>
        <w:t xml:space="preserve"> </w:t>
      </w:r>
      <w:proofErr w:type="spellStart"/>
      <w:r>
        <w:rPr>
          <w:sz w:val="16"/>
          <w:szCs w:val="16"/>
        </w:rPr>
        <w:t>databse</w:t>
      </w:r>
      <w:proofErr w:type="spellEnd"/>
      <w:r>
        <w:rPr>
          <w:sz w:val="16"/>
          <w:szCs w:val="16"/>
        </w:rPr>
        <w:t xml:space="preserve"> (WID)</w:t>
      </w:r>
      <w:r w:rsidR="00A8123A">
        <w:rPr>
          <w:sz w:val="16"/>
          <w:szCs w:val="16"/>
        </w:rPr>
        <w:t>, 2010 e 2015</w:t>
      </w:r>
      <w:r>
        <w:rPr>
          <w:sz w:val="16"/>
          <w:szCs w:val="16"/>
        </w:rPr>
        <w:t>.</w:t>
      </w:r>
    </w:p>
    <w:p w:rsidR="00895E33" w:rsidRDefault="00895E33">
      <w:r>
        <w:br w:type="page"/>
      </w:r>
    </w:p>
    <w:p w:rsidR="00074689" w:rsidRDefault="00074689" w:rsidP="00D709AD">
      <w:pPr>
        <w:spacing w:line="360" w:lineRule="auto"/>
        <w:ind w:left="360"/>
        <w:jc w:val="both"/>
      </w:pPr>
    </w:p>
    <w:p w:rsidR="00074689" w:rsidRDefault="00074689" w:rsidP="00D709AD">
      <w:pPr>
        <w:spacing w:line="360" w:lineRule="auto"/>
        <w:ind w:left="360"/>
        <w:jc w:val="both"/>
      </w:pPr>
    </w:p>
    <w:p w:rsidR="00074689" w:rsidRPr="00074689" w:rsidRDefault="00074689" w:rsidP="00D709AD">
      <w:pPr>
        <w:spacing w:line="360" w:lineRule="auto"/>
        <w:ind w:left="360"/>
        <w:jc w:val="both"/>
        <w:rPr>
          <w:sz w:val="32"/>
          <w:szCs w:val="32"/>
        </w:rPr>
      </w:pPr>
      <w:r>
        <w:rPr>
          <w:sz w:val="32"/>
          <w:szCs w:val="32"/>
        </w:rPr>
        <w:t>ANEXO – GLOSSÁRIO DE VARIÁVEIS</w:t>
      </w:r>
    </w:p>
    <w:p w:rsidR="00074689" w:rsidRDefault="00074689" w:rsidP="00D709AD">
      <w:pPr>
        <w:spacing w:line="360" w:lineRule="auto"/>
        <w:ind w:left="360"/>
        <w:jc w:val="both"/>
      </w:pPr>
    </w:p>
    <w:p w:rsidR="00074689" w:rsidRDefault="00074689" w:rsidP="00D709AD">
      <w:pPr>
        <w:spacing w:line="360" w:lineRule="auto"/>
        <w:ind w:left="360"/>
        <w:jc w:val="both"/>
      </w:pPr>
    </w:p>
    <w:p w:rsidR="00074689" w:rsidRDefault="00074689" w:rsidP="00D709AD">
      <w:pPr>
        <w:spacing w:line="360" w:lineRule="auto"/>
        <w:ind w:left="360"/>
        <w:jc w:val="both"/>
      </w:pPr>
    </w:p>
    <w:p w:rsidR="00074689" w:rsidRDefault="00074689" w:rsidP="00D709AD">
      <w:pPr>
        <w:spacing w:line="360" w:lineRule="auto"/>
        <w:ind w:left="360"/>
        <w:jc w:val="both"/>
      </w:pPr>
    </w:p>
    <w:p w:rsidR="00074689" w:rsidRDefault="00074689" w:rsidP="00D709AD">
      <w:pPr>
        <w:spacing w:line="360" w:lineRule="auto"/>
        <w:ind w:left="360"/>
        <w:jc w:val="both"/>
      </w:pPr>
    </w:p>
    <w:p w:rsidR="00074689" w:rsidRDefault="00074689" w:rsidP="00D709AD">
      <w:pPr>
        <w:spacing w:line="360" w:lineRule="auto"/>
        <w:ind w:left="360"/>
        <w:jc w:val="both"/>
      </w:pPr>
    </w:p>
    <w:p w:rsidR="00074689" w:rsidRDefault="00074689" w:rsidP="00D709AD">
      <w:pPr>
        <w:spacing w:line="360" w:lineRule="auto"/>
        <w:ind w:left="360"/>
        <w:jc w:val="both"/>
      </w:pPr>
    </w:p>
    <w:p w:rsidR="00074689" w:rsidRDefault="00074689" w:rsidP="00D709AD">
      <w:pPr>
        <w:spacing w:line="360" w:lineRule="auto"/>
        <w:ind w:left="360"/>
        <w:jc w:val="both"/>
      </w:pPr>
    </w:p>
    <w:p w:rsidR="00074689" w:rsidRDefault="00074689" w:rsidP="00D709AD">
      <w:pPr>
        <w:spacing w:line="360" w:lineRule="auto"/>
        <w:ind w:left="360"/>
        <w:jc w:val="both"/>
      </w:pPr>
    </w:p>
    <w:p w:rsidR="00074689" w:rsidRDefault="00074689" w:rsidP="00D709AD">
      <w:pPr>
        <w:spacing w:line="360" w:lineRule="auto"/>
        <w:ind w:left="360"/>
        <w:jc w:val="both"/>
      </w:pPr>
    </w:p>
    <w:p w:rsidR="00895E33" w:rsidRDefault="00895E33">
      <w:r>
        <w:br w:type="page"/>
      </w:r>
    </w:p>
    <w:tbl>
      <w:tblPr>
        <w:tblW w:w="14743" w:type="dxa"/>
        <w:jc w:val="center"/>
        <w:tblLayout w:type="fixed"/>
        <w:tblCellMar>
          <w:left w:w="70" w:type="dxa"/>
          <w:right w:w="70" w:type="dxa"/>
        </w:tblCellMar>
        <w:tblLook w:val="04A0" w:firstRow="1" w:lastRow="0" w:firstColumn="1" w:lastColumn="0" w:noHBand="0" w:noVBand="1"/>
      </w:tblPr>
      <w:tblGrid>
        <w:gridCol w:w="2694"/>
        <w:gridCol w:w="8080"/>
        <w:gridCol w:w="1134"/>
        <w:gridCol w:w="2835"/>
      </w:tblGrid>
      <w:tr w:rsidR="00B36FC7" w:rsidRPr="008373CB" w:rsidTr="008373CB">
        <w:trPr>
          <w:trHeight w:val="713"/>
          <w:jc w:val="center"/>
        </w:trPr>
        <w:tc>
          <w:tcPr>
            <w:tcW w:w="2694" w:type="dxa"/>
            <w:tcBorders>
              <w:top w:val="nil"/>
              <w:left w:val="nil"/>
              <w:bottom w:val="nil"/>
              <w:right w:val="nil"/>
            </w:tcBorders>
            <w:shd w:val="clear" w:color="000000" w:fill="FFF2CC"/>
            <w:vAlign w:val="center"/>
          </w:tcPr>
          <w:p w:rsidR="00B36FC7" w:rsidRPr="008373CB" w:rsidRDefault="00B36FC7" w:rsidP="00A8046E">
            <w:pPr>
              <w:spacing w:after="0" w:line="240" w:lineRule="auto"/>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lastRenderedPageBreak/>
              <w:t>Variáve</w:t>
            </w:r>
            <w:r w:rsidR="00A8046E" w:rsidRPr="008373CB">
              <w:rPr>
                <w:rFonts w:ascii="Arial" w:eastAsia="Times New Roman" w:hAnsi="Arial" w:cs="Arial"/>
                <w:b/>
                <w:bCs/>
                <w:sz w:val="16"/>
                <w:szCs w:val="16"/>
                <w:lang w:eastAsia="pt-BR"/>
              </w:rPr>
              <w:t>is – recursos financeiros</w:t>
            </w:r>
          </w:p>
        </w:tc>
        <w:tc>
          <w:tcPr>
            <w:tcW w:w="8080" w:type="dxa"/>
            <w:tcBorders>
              <w:top w:val="nil"/>
              <w:left w:val="nil"/>
              <w:bottom w:val="nil"/>
              <w:right w:val="nil"/>
            </w:tcBorders>
            <w:shd w:val="clear" w:color="000000" w:fill="FFF2CC"/>
            <w:vAlign w:val="center"/>
          </w:tcPr>
          <w:p w:rsidR="00B36FC7" w:rsidRPr="008373CB" w:rsidRDefault="00B36FC7" w:rsidP="00C53FB1">
            <w:pPr>
              <w:spacing w:after="0" w:line="240" w:lineRule="auto"/>
              <w:jc w:val="center"/>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Descrição</w:t>
            </w:r>
          </w:p>
        </w:tc>
        <w:tc>
          <w:tcPr>
            <w:tcW w:w="1134" w:type="dxa"/>
            <w:tcBorders>
              <w:top w:val="nil"/>
              <w:left w:val="nil"/>
              <w:bottom w:val="nil"/>
              <w:right w:val="nil"/>
            </w:tcBorders>
            <w:shd w:val="clear" w:color="000000" w:fill="FFF2CC"/>
            <w:vAlign w:val="center"/>
          </w:tcPr>
          <w:p w:rsidR="00B36FC7" w:rsidRPr="008373CB" w:rsidRDefault="00B36FC7" w:rsidP="00A91D01">
            <w:pPr>
              <w:spacing w:after="0" w:line="240" w:lineRule="auto"/>
              <w:jc w:val="center"/>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Fonte</w:t>
            </w:r>
          </w:p>
        </w:tc>
        <w:tc>
          <w:tcPr>
            <w:tcW w:w="2835" w:type="dxa"/>
            <w:tcBorders>
              <w:top w:val="nil"/>
              <w:left w:val="nil"/>
              <w:bottom w:val="nil"/>
              <w:right w:val="nil"/>
            </w:tcBorders>
            <w:shd w:val="clear" w:color="000000" w:fill="FFF2CC"/>
            <w:vAlign w:val="center"/>
          </w:tcPr>
          <w:p w:rsidR="00B36FC7" w:rsidRPr="008373CB" w:rsidRDefault="00B36FC7" w:rsidP="00A91D01">
            <w:pPr>
              <w:spacing w:after="0" w:line="240" w:lineRule="auto"/>
              <w:jc w:val="center"/>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Link</w:t>
            </w:r>
          </w:p>
        </w:tc>
      </w:tr>
      <w:tr w:rsidR="00B36FC7" w:rsidRPr="008373CB" w:rsidTr="008373CB">
        <w:trPr>
          <w:trHeight w:val="979"/>
          <w:jc w:val="center"/>
        </w:trPr>
        <w:tc>
          <w:tcPr>
            <w:tcW w:w="2694" w:type="dxa"/>
            <w:tcBorders>
              <w:top w:val="nil"/>
              <w:left w:val="nil"/>
              <w:bottom w:val="nil"/>
              <w:right w:val="nil"/>
            </w:tcBorders>
            <w:shd w:val="clear" w:color="000000" w:fill="FFF2CC"/>
            <w:vAlign w:val="center"/>
            <w:hideMark/>
          </w:tcPr>
          <w:p w:rsidR="00B36FC7" w:rsidRPr="008373CB" w:rsidRDefault="00B36FC7" w:rsidP="00A91D01">
            <w:pPr>
              <w:spacing w:after="0" w:line="240" w:lineRule="auto"/>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Gasto em saúde per capita (PPP)</w:t>
            </w:r>
          </w:p>
          <w:p w:rsidR="00B36FC7" w:rsidRPr="008373CB" w:rsidRDefault="00B36FC7" w:rsidP="00A91D01">
            <w:pPr>
              <w:spacing w:after="0" w:line="240" w:lineRule="auto"/>
              <w:rPr>
                <w:rFonts w:ascii="Arial" w:eastAsia="Times New Roman" w:hAnsi="Arial" w:cs="Arial"/>
                <w:b/>
                <w:bCs/>
                <w:sz w:val="16"/>
                <w:szCs w:val="16"/>
                <w:lang w:eastAsia="pt-BR"/>
              </w:rPr>
            </w:pPr>
          </w:p>
        </w:tc>
        <w:tc>
          <w:tcPr>
            <w:tcW w:w="8080" w:type="dxa"/>
            <w:tcBorders>
              <w:top w:val="nil"/>
              <w:left w:val="nil"/>
              <w:bottom w:val="nil"/>
              <w:right w:val="nil"/>
            </w:tcBorders>
            <w:shd w:val="clear" w:color="000000" w:fill="FFF2CC"/>
            <w:vAlign w:val="center"/>
            <w:hideMark/>
          </w:tcPr>
          <w:p w:rsidR="00B36FC7" w:rsidRPr="008373CB" w:rsidRDefault="00A91D01" w:rsidP="00A91D01">
            <w:pPr>
              <w:spacing w:after="0" w:line="240" w:lineRule="auto"/>
              <w:jc w:val="both"/>
              <w:rPr>
                <w:rFonts w:ascii="Arial" w:eastAsia="Times New Roman" w:hAnsi="Arial" w:cs="Arial"/>
                <w:bCs/>
                <w:sz w:val="16"/>
                <w:szCs w:val="16"/>
                <w:lang w:eastAsia="pt-BR"/>
              </w:rPr>
            </w:pPr>
            <w:r w:rsidRPr="008373CB">
              <w:rPr>
                <w:rFonts w:ascii="Arial" w:eastAsia="Times New Roman" w:hAnsi="Arial" w:cs="Arial"/>
                <w:bCs/>
                <w:sz w:val="16"/>
                <w:szCs w:val="16"/>
                <w:lang w:eastAsia="pt-BR"/>
              </w:rPr>
              <w:t xml:space="preserve">Estima os gastos com saúde por pessoa em dólares americanos, levando em consideração a paridade de compra entre moedas (PPP). Contribui para a compreensão do gasto em saúde em relação ao tamanho da população, facilitando a comparação internacional e também ao poder de compra da respectiva moeda. Este indicador aproxima quanto, em média, é gasto em saúde </w:t>
            </w:r>
            <w:r w:rsidR="00E95BBB">
              <w:rPr>
                <w:rFonts w:ascii="Arial" w:eastAsia="Times New Roman" w:hAnsi="Arial" w:cs="Arial"/>
                <w:bCs/>
                <w:sz w:val="16"/>
                <w:szCs w:val="16"/>
                <w:lang w:eastAsia="pt-BR"/>
              </w:rPr>
              <w:t>por</w:t>
            </w:r>
            <w:r w:rsidRPr="008373CB">
              <w:rPr>
                <w:rFonts w:ascii="Arial" w:eastAsia="Times New Roman" w:hAnsi="Arial" w:cs="Arial"/>
                <w:bCs/>
                <w:sz w:val="16"/>
                <w:szCs w:val="16"/>
                <w:lang w:eastAsia="pt-BR"/>
              </w:rPr>
              <w:t xml:space="preserve"> pessoa no respectivo ano e país.</w:t>
            </w:r>
          </w:p>
          <w:p w:rsidR="00A91D01" w:rsidRPr="008373CB" w:rsidRDefault="00A91D01" w:rsidP="00A91D01">
            <w:pPr>
              <w:spacing w:after="0" w:line="240" w:lineRule="auto"/>
              <w:jc w:val="both"/>
              <w:rPr>
                <w:rFonts w:ascii="Arial" w:eastAsia="Times New Roman" w:hAnsi="Arial" w:cs="Arial"/>
                <w:bCs/>
                <w:sz w:val="16"/>
                <w:szCs w:val="16"/>
                <w:lang w:eastAsia="pt-BR"/>
              </w:rPr>
            </w:pPr>
          </w:p>
        </w:tc>
        <w:tc>
          <w:tcPr>
            <w:tcW w:w="1134" w:type="dxa"/>
            <w:tcBorders>
              <w:top w:val="nil"/>
              <w:left w:val="nil"/>
              <w:bottom w:val="nil"/>
              <w:right w:val="nil"/>
            </w:tcBorders>
            <w:shd w:val="clear" w:color="000000" w:fill="FFF2CC"/>
            <w:vAlign w:val="center"/>
          </w:tcPr>
          <w:p w:rsidR="00B36FC7" w:rsidRPr="008373CB" w:rsidRDefault="00B36FC7" w:rsidP="00B36FC7">
            <w:pPr>
              <w:spacing w:after="0" w:line="240" w:lineRule="auto"/>
              <w:jc w:val="center"/>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OMS</w:t>
            </w:r>
          </w:p>
        </w:tc>
        <w:tc>
          <w:tcPr>
            <w:tcW w:w="2835" w:type="dxa"/>
            <w:tcBorders>
              <w:top w:val="nil"/>
              <w:left w:val="nil"/>
              <w:bottom w:val="nil"/>
              <w:right w:val="nil"/>
            </w:tcBorders>
            <w:shd w:val="clear" w:color="000000" w:fill="FFF2CC"/>
            <w:vAlign w:val="center"/>
            <w:hideMark/>
          </w:tcPr>
          <w:p w:rsidR="00B36FC7" w:rsidRPr="008373CB" w:rsidRDefault="00CF595B" w:rsidP="00B36FC7">
            <w:pPr>
              <w:spacing w:after="0" w:line="240" w:lineRule="auto"/>
              <w:jc w:val="center"/>
              <w:rPr>
                <w:rFonts w:ascii="Arial" w:eastAsia="Times New Roman" w:hAnsi="Arial" w:cs="Arial"/>
                <w:b/>
                <w:bCs/>
                <w:sz w:val="16"/>
                <w:szCs w:val="16"/>
                <w:lang w:eastAsia="pt-BR"/>
              </w:rPr>
            </w:pPr>
            <w:hyperlink r:id="rId18" w:history="1">
              <w:r w:rsidR="00B36FC7" w:rsidRPr="008373CB">
                <w:rPr>
                  <w:rStyle w:val="Hyperlink"/>
                  <w:rFonts w:ascii="Arial" w:hAnsi="Arial" w:cs="Arial"/>
                  <w:sz w:val="16"/>
                  <w:szCs w:val="16"/>
                </w:rPr>
                <w:t>https://apps.who.int/nha/database/Select/Indicators/en</w:t>
              </w:r>
            </w:hyperlink>
          </w:p>
        </w:tc>
      </w:tr>
      <w:tr w:rsidR="00A91D01" w:rsidRPr="008373CB" w:rsidTr="008373CB">
        <w:trPr>
          <w:trHeight w:val="710"/>
          <w:jc w:val="center"/>
        </w:trPr>
        <w:tc>
          <w:tcPr>
            <w:tcW w:w="2694" w:type="dxa"/>
            <w:tcBorders>
              <w:top w:val="nil"/>
              <w:left w:val="nil"/>
              <w:bottom w:val="nil"/>
              <w:right w:val="nil"/>
            </w:tcBorders>
            <w:shd w:val="clear" w:color="000000" w:fill="FFF2CC"/>
            <w:vAlign w:val="center"/>
          </w:tcPr>
          <w:p w:rsidR="00A91D01" w:rsidRPr="008373CB" w:rsidRDefault="00A91D01" w:rsidP="00A91D01">
            <w:pPr>
              <w:spacing w:after="0" w:line="240" w:lineRule="auto"/>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Gasto em saúde % PIB</w:t>
            </w:r>
          </w:p>
        </w:tc>
        <w:tc>
          <w:tcPr>
            <w:tcW w:w="8080" w:type="dxa"/>
            <w:tcBorders>
              <w:top w:val="nil"/>
              <w:left w:val="nil"/>
              <w:bottom w:val="nil"/>
              <w:right w:val="nil"/>
            </w:tcBorders>
            <w:shd w:val="clear" w:color="000000" w:fill="FFF2CC"/>
            <w:vAlign w:val="center"/>
          </w:tcPr>
          <w:p w:rsidR="00A91D01" w:rsidRPr="008373CB" w:rsidRDefault="00A91D01" w:rsidP="00A91D01">
            <w:pPr>
              <w:spacing w:after="0" w:line="240" w:lineRule="auto"/>
              <w:jc w:val="both"/>
              <w:rPr>
                <w:rFonts w:ascii="Arial" w:hAnsi="Arial" w:cs="Arial"/>
                <w:sz w:val="16"/>
                <w:szCs w:val="16"/>
              </w:rPr>
            </w:pPr>
            <w:r w:rsidRPr="008373CB">
              <w:rPr>
                <w:rFonts w:ascii="Arial" w:hAnsi="Arial" w:cs="Arial"/>
                <w:sz w:val="16"/>
                <w:szCs w:val="16"/>
              </w:rPr>
              <w:t>Descreve a parcela dos gastos com saúde em cada país em relação ao tamanho de sua economia, para um ano específico. Mostra a importância do setor da saúde na economia e indica a prioridade social, medida em termos monetários, dada à saúde.</w:t>
            </w:r>
          </w:p>
          <w:p w:rsidR="00A91D01" w:rsidRPr="008373CB" w:rsidRDefault="00A91D01" w:rsidP="00A91D01">
            <w:pPr>
              <w:spacing w:after="0" w:line="240" w:lineRule="auto"/>
              <w:jc w:val="both"/>
              <w:rPr>
                <w:rFonts w:ascii="Arial" w:eastAsia="Times New Roman" w:hAnsi="Arial" w:cs="Arial"/>
                <w:bCs/>
                <w:sz w:val="16"/>
                <w:szCs w:val="16"/>
                <w:lang w:eastAsia="pt-BR"/>
              </w:rPr>
            </w:pPr>
          </w:p>
        </w:tc>
        <w:tc>
          <w:tcPr>
            <w:tcW w:w="1134" w:type="dxa"/>
            <w:tcBorders>
              <w:top w:val="nil"/>
              <w:left w:val="nil"/>
              <w:bottom w:val="nil"/>
              <w:right w:val="nil"/>
            </w:tcBorders>
            <w:shd w:val="clear" w:color="000000" w:fill="FFF2CC"/>
            <w:vAlign w:val="center"/>
          </w:tcPr>
          <w:p w:rsidR="00A91D01" w:rsidRPr="008373CB" w:rsidRDefault="00A91D01" w:rsidP="00A91D01">
            <w:pPr>
              <w:spacing w:after="0" w:line="240" w:lineRule="auto"/>
              <w:jc w:val="center"/>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OMS</w:t>
            </w:r>
          </w:p>
        </w:tc>
        <w:tc>
          <w:tcPr>
            <w:tcW w:w="2835" w:type="dxa"/>
            <w:tcBorders>
              <w:top w:val="nil"/>
              <w:left w:val="nil"/>
              <w:bottom w:val="nil"/>
              <w:right w:val="nil"/>
            </w:tcBorders>
            <w:shd w:val="clear" w:color="000000" w:fill="FFF2CC"/>
            <w:vAlign w:val="center"/>
          </w:tcPr>
          <w:p w:rsidR="00A91D01" w:rsidRPr="008373CB" w:rsidRDefault="00CF595B" w:rsidP="00A91D01">
            <w:pPr>
              <w:spacing w:after="0" w:line="240" w:lineRule="auto"/>
              <w:jc w:val="center"/>
              <w:rPr>
                <w:rFonts w:ascii="Arial" w:eastAsia="Times New Roman" w:hAnsi="Arial" w:cs="Arial"/>
                <w:b/>
                <w:bCs/>
                <w:sz w:val="16"/>
                <w:szCs w:val="16"/>
                <w:lang w:eastAsia="pt-BR"/>
              </w:rPr>
            </w:pPr>
            <w:hyperlink r:id="rId19" w:history="1">
              <w:r w:rsidR="00A91D01" w:rsidRPr="008373CB">
                <w:rPr>
                  <w:rStyle w:val="Hyperlink"/>
                  <w:rFonts w:ascii="Arial" w:hAnsi="Arial" w:cs="Arial"/>
                  <w:sz w:val="16"/>
                  <w:szCs w:val="16"/>
                </w:rPr>
                <w:t>https://apps.who.int/nha/database/Select/Indicators/en</w:t>
              </w:r>
            </w:hyperlink>
          </w:p>
        </w:tc>
      </w:tr>
      <w:tr w:rsidR="00A91D01" w:rsidRPr="008373CB" w:rsidTr="008373CB">
        <w:trPr>
          <w:trHeight w:val="848"/>
          <w:jc w:val="center"/>
        </w:trPr>
        <w:tc>
          <w:tcPr>
            <w:tcW w:w="2694" w:type="dxa"/>
            <w:tcBorders>
              <w:top w:val="nil"/>
              <w:left w:val="nil"/>
              <w:bottom w:val="nil"/>
              <w:right w:val="nil"/>
            </w:tcBorders>
            <w:shd w:val="clear" w:color="000000" w:fill="FFF2CC"/>
            <w:vAlign w:val="center"/>
          </w:tcPr>
          <w:p w:rsidR="00A91D01" w:rsidRPr="008373CB" w:rsidRDefault="00A91D01" w:rsidP="00A91D01">
            <w:pPr>
              <w:spacing w:after="0" w:line="240" w:lineRule="auto"/>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Gasto em saúde % gastos governamentais</w:t>
            </w:r>
          </w:p>
        </w:tc>
        <w:tc>
          <w:tcPr>
            <w:tcW w:w="8080" w:type="dxa"/>
            <w:tcBorders>
              <w:top w:val="nil"/>
              <w:left w:val="nil"/>
              <w:bottom w:val="nil"/>
              <w:right w:val="nil"/>
            </w:tcBorders>
            <w:shd w:val="clear" w:color="000000" w:fill="FFF2CC"/>
            <w:vAlign w:val="center"/>
          </w:tcPr>
          <w:p w:rsidR="00A91D01" w:rsidRPr="008373CB" w:rsidRDefault="00033A8B" w:rsidP="00A91D01">
            <w:pPr>
              <w:spacing w:after="0" w:line="240" w:lineRule="auto"/>
              <w:jc w:val="both"/>
              <w:rPr>
                <w:rFonts w:ascii="Arial" w:hAnsi="Arial" w:cs="Arial"/>
                <w:sz w:val="16"/>
                <w:szCs w:val="16"/>
              </w:rPr>
            </w:pPr>
            <w:r w:rsidRPr="008373CB">
              <w:rPr>
                <w:rFonts w:ascii="Arial" w:hAnsi="Arial" w:cs="Arial"/>
                <w:sz w:val="16"/>
                <w:szCs w:val="16"/>
              </w:rPr>
              <w:t>A</w:t>
            </w:r>
            <w:r w:rsidR="00A91D01" w:rsidRPr="008373CB">
              <w:rPr>
                <w:rFonts w:ascii="Arial" w:hAnsi="Arial" w:cs="Arial"/>
                <w:sz w:val="16"/>
                <w:szCs w:val="16"/>
              </w:rPr>
              <w:t>proxima a prioridade da saúde nos gastos públicos em cada país. Ele reflete a parcela das despesas domésticas do governo em saúde nas despesas gerais do governo em cada ano. Expressa prioridade para a saúde comparando o tamanho dos gastos atuais em saúde pública em relação ao tamanho total dos gastos do governo. Este indicador é, portanto, um dos principais indicadores que medem os gastos públicos em saúde.</w:t>
            </w:r>
          </w:p>
          <w:p w:rsidR="00A91D01" w:rsidRPr="008373CB" w:rsidRDefault="00A91D01" w:rsidP="00A91D01">
            <w:pPr>
              <w:spacing w:after="0" w:line="240" w:lineRule="auto"/>
              <w:jc w:val="both"/>
              <w:rPr>
                <w:rFonts w:ascii="Arial" w:hAnsi="Arial" w:cs="Arial"/>
                <w:sz w:val="16"/>
                <w:szCs w:val="16"/>
              </w:rPr>
            </w:pPr>
          </w:p>
        </w:tc>
        <w:tc>
          <w:tcPr>
            <w:tcW w:w="1134" w:type="dxa"/>
            <w:tcBorders>
              <w:top w:val="nil"/>
              <w:left w:val="nil"/>
              <w:bottom w:val="nil"/>
              <w:right w:val="nil"/>
            </w:tcBorders>
            <w:shd w:val="clear" w:color="000000" w:fill="FFF2CC"/>
            <w:vAlign w:val="center"/>
          </w:tcPr>
          <w:p w:rsidR="00A91D01" w:rsidRPr="008373CB" w:rsidRDefault="00A91D01" w:rsidP="00A91D01">
            <w:pPr>
              <w:spacing w:after="0" w:line="240" w:lineRule="auto"/>
              <w:jc w:val="center"/>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OMS</w:t>
            </w:r>
          </w:p>
        </w:tc>
        <w:tc>
          <w:tcPr>
            <w:tcW w:w="2835" w:type="dxa"/>
            <w:tcBorders>
              <w:top w:val="nil"/>
              <w:left w:val="nil"/>
              <w:bottom w:val="nil"/>
              <w:right w:val="nil"/>
            </w:tcBorders>
            <w:shd w:val="clear" w:color="000000" w:fill="FFF2CC"/>
            <w:vAlign w:val="center"/>
          </w:tcPr>
          <w:p w:rsidR="00A91D01" w:rsidRPr="008373CB" w:rsidRDefault="00CF595B" w:rsidP="00A91D01">
            <w:pPr>
              <w:spacing w:after="0" w:line="240" w:lineRule="auto"/>
              <w:jc w:val="center"/>
              <w:rPr>
                <w:rFonts w:ascii="Arial" w:eastAsia="Times New Roman" w:hAnsi="Arial" w:cs="Arial"/>
                <w:b/>
                <w:bCs/>
                <w:sz w:val="16"/>
                <w:szCs w:val="16"/>
                <w:lang w:eastAsia="pt-BR"/>
              </w:rPr>
            </w:pPr>
            <w:hyperlink r:id="rId20" w:history="1">
              <w:r w:rsidR="00A91D01" w:rsidRPr="008373CB">
                <w:rPr>
                  <w:rStyle w:val="Hyperlink"/>
                  <w:rFonts w:ascii="Arial" w:hAnsi="Arial" w:cs="Arial"/>
                  <w:sz w:val="16"/>
                  <w:szCs w:val="16"/>
                </w:rPr>
                <w:t>https://apps.who.int/nha/database/Select/Indicators/en</w:t>
              </w:r>
            </w:hyperlink>
          </w:p>
        </w:tc>
      </w:tr>
      <w:tr w:rsidR="00A91D01" w:rsidRPr="008373CB" w:rsidTr="008373CB">
        <w:trPr>
          <w:trHeight w:val="716"/>
          <w:jc w:val="center"/>
        </w:trPr>
        <w:tc>
          <w:tcPr>
            <w:tcW w:w="2694" w:type="dxa"/>
            <w:tcBorders>
              <w:top w:val="nil"/>
              <w:left w:val="nil"/>
              <w:bottom w:val="nil"/>
              <w:right w:val="nil"/>
            </w:tcBorders>
            <w:shd w:val="clear" w:color="000000" w:fill="FFF2CC"/>
            <w:vAlign w:val="center"/>
          </w:tcPr>
          <w:p w:rsidR="00A91D01" w:rsidRPr="008373CB" w:rsidRDefault="00A91D01" w:rsidP="00A91D01">
            <w:pPr>
              <w:spacing w:after="0" w:line="240" w:lineRule="auto"/>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Taxas</w:t>
            </w:r>
            <w:r w:rsidR="009F3269" w:rsidRPr="008373CB">
              <w:rPr>
                <w:rFonts w:ascii="Arial" w:eastAsia="Times New Roman" w:hAnsi="Arial" w:cs="Arial"/>
                <w:b/>
                <w:bCs/>
                <w:sz w:val="16"/>
                <w:szCs w:val="16"/>
                <w:lang w:eastAsia="pt-BR"/>
              </w:rPr>
              <w:t xml:space="preserve"> (% gastos correntes em saúde)</w:t>
            </w:r>
          </w:p>
        </w:tc>
        <w:tc>
          <w:tcPr>
            <w:tcW w:w="8080" w:type="dxa"/>
            <w:tcBorders>
              <w:top w:val="nil"/>
              <w:left w:val="nil"/>
              <w:bottom w:val="nil"/>
              <w:right w:val="nil"/>
            </w:tcBorders>
            <w:shd w:val="clear" w:color="000000" w:fill="FFF2CC"/>
            <w:vAlign w:val="center"/>
          </w:tcPr>
          <w:p w:rsidR="00A91D01" w:rsidRPr="008373CB" w:rsidRDefault="00CF6A2C" w:rsidP="00033A8B">
            <w:pPr>
              <w:spacing w:after="0" w:line="240" w:lineRule="auto"/>
              <w:jc w:val="both"/>
              <w:rPr>
                <w:rFonts w:ascii="Arial" w:hAnsi="Arial" w:cs="Arial"/>
                <w:sz w:val="16"/>
                <w:szCs w:val="16"/>
              </w:rPr>
            </w:pPr>
            <w:r w:rsidRPr="008373CB">
              <w:rPr>
                <w:rFonts w:ascii="Arial" w:hAnsi="Arial" w:cs="Arial"/>
                <w:sz w:val="16"/>
                <w:szCs w:val="16"/>
              </w:rPr>
              <w:t>E</w:t>
            </w:r>
            <w:r w:rsidR="00033A8B" w:rsidRPr="008373CB">
              <w:rPr>
                <w:rFonts w:ascii="Arial" w:hAnsi="Arial" w:cs="Arial"/>
                <w:sz w:val="16"/>
                <w:szCs w:val="16"/>
              </w:rPr>
              <w:t>stima quanto os países gastam em saúde através de acordos de financiamento do governo. Este indicador mostra a parcela de recursos combinados de sistemas obrigatórios não contributivos (taxas) do total de gastos atuais com saúde.</w:t>
            </w:r>
          </w:p>
          <w:p w:rsidR="00033A8B" w:rsidRPr="008373CB" w:rsidRDefault="00033A8B" w:rsidP="00033A8B">
            <w:pPr>
              <w:spacing w:after="0" w:line="240" w:lineRule="auto"/>
              <w:jc w:val="both"/>
              <w:rPr>
                <w:rFonts w:ascii="Arial" w:hAnsi="Arial" w:cs="Arial"/>
                <w:sz w:val="16"/>
                <w:szCs w:val="16"/>
              </w:rPr>
            </w:pPr>
          </w:p>
        </w:tc>
        <w:tc>
          <w:tcPr>
            <w:tcW w:w="1134" w:type="dxa"/>
            <w:tcBorders>
              <w:top w:val="nil"/>
              <w:left w:val="nil"/>
              <w:bottom w:val="nil"/>
              <w:right w:val="nil"/>
            </w:tcBorders>
            <w:shd w:val="clear" w:color="000000" w:fill="FFF2CC"/>
            <w:vAlign w:val="center"/>
          </w:tcPr>
          <w:p w:rsidR="00A91D01" w:rsidRPr="008373CB" w:rsidRDefault="00A91D01" w:rsidP="00A91D01">
            <w:pPr>
              <w:spacing w:after="0" w:line="240" w:lineRule="auto"/>
              <w:jc w:val="center"/>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OMS</w:t>
            </w:r>
          </w:p>
        </w:tc>
        <w:tc>
          <w:tcPr>
            <w:tcW w:w="2835" w:type="dxa"/>
            <w:tcBorders>
              <w:top w:val="nil"/>
              <w:left w:val="nil"/>
              <w:bottom w:val="nil"/>
              <w:right w:val="nil"/>
            </w:tcBorders>
            <w:shd w:val="clear" w:color="000000" w:fill="FFF2CC"/>
            <w:vAlign w:val="center"/>
          </w:tcPr>
          <w:p w:rsidR="00A91D01" w:rsidRPr="008373CB" w:rsidRDefault="00CF595B" w:rsidP="00A91D01">
            <w:pPr>
              <w:spacing w:after="0" w:line="240" w:lineRule="auto"/>
              <w:jc w:val="center"/>
              <w:rPr>
                <w:rFonts w:ascii="Arial" w:eastAsia="Times New Roman" w:hAnsi="Arial" w:cs="Arial"/>
                <w:b/>
                <w:bCs/>
                <w:sz w:val="16"/>
                <w:szCs w:val="16"/>
                <w:lang w:eastAsia="pt-BR"/>
              </w:rPr>
            </w:pPr>
            <w:hyperlink r:id="rId21" w:history="1">
              <w:r w:rsidR="00A91D01" w:rsidRPr="008373CB">
                <w:rPr>
                  <w:rStyle w:val="Hyperlink"/>
                  <w:rFonts w:ascii="Arial" w:hAnsi="Arial" w:cs="Arial"/>
                  <w:sz w:val="16"/>
                  <w:szCs w:val="16"/>
                </w:rPr>
                <w:t>https://apps.who.int/nha/database/Select/Indicators/en</w:t>
              </w:r>
            </w:hyperlink>
          </w:p>
        </w:tc>
      </w:tr>
      <w:tr w:rsidR="00A91D01" w:rsidRPr="008373CB" w:rsidTr="008373CB">
        <w:trPr>
          <w:trHeight w:val="713"/>
          <w:jc w:val="center"/>
        </w:trPr>
        <w:tc>
          <w:tcPr>
            <w:tcW w:w="2694" w:type="dxa"/>
            <w:tcBorders>
              <w:top w:val="nil"/>
              <w:left w:val="nil"/>
              <w:bottom w:val="nil"/>
              <w:right w:val="nil"/>
            </w:tcBorders>
            <w:shd w:val="clear" w:color="000000" w:fill="FFF2CC"/>
            <w:vAlign w:val="center"/>
          </w:tcPr>
          <w:p w:rsidR="00A91D01" w:rsidRPr="008373CB" w:rsidRDefault="00A91D01" w:rsidP="00A91D01">
            <w:pPr>
              <w:spacing w:after="0" w:line="240" w:lineRule="auto"/>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Seguridade social</w:t>
            </w:r>
            <w:r w:rsidR="009F3269" w:rsidRPr="008373CB">
              <w:rPr>
                <w:rFonts w:ascii="Arial" w:eastAsia="Times New Roman" w:hAnsi="Arial" w:cs="Arial"/>
                <w:b/>
                <w:bCs/>
                <w:sz w:val="16"/>
                <w:szCs w:val="16"/>
                <w:lang w:eastAsia="pt-BR"/>
              </w:rPr>
              <w:t xml:space="preserve"> (% gastos correntes em saúde)</w:t>
            </w:r>
          </w:p>
        </w:tc>
        <w:tc>
          <w:tcPr>
            <w:tcW w:w="8080" w:type="dxa"/>
            <w:tcBorders>
              <w:top w:val="nil"/>
              <w:left w:val="nil"/>
              <w:bottom w:val="nil"/>
              <w:right w:val="nil"/>
            </w:tcBorders>
            <w:shd w:val="clear" w:color="000000" w:fill="FFF2CC"/>
            <w:vAlign w:val="center"/>
          </w:tcPr>
          <w:p w:rsidR="00CF6A2C" w:rsidRPr="008373CB" w:rsidRDefault="00972713" w:rsidP="00033A8B">
            <w:pPr>
              <w:spacing w:after="0" w:line="240" w:lineRule="auto"/>
              <w:jc w:val="both"/>
              <w:rPr>
                <w:rFonts w:ascii="Arial" w:hAnsi="Arial" w:cs="Arial"/>
                <w:sz w:val="16"/>
                <w:szCs w:val="16"/>
              </w:rPr>
            </w:pPr>
            <w:r w:rsidRPr="008373CB">
              <w:rPr>
                <w:rFonts w:ascii="Arial" w:hAnsi="Arial" w:cs="Arial"/>
                <w:sz w:val="16"/>
                <w:szCs w:val="16"/>
              </w:rPr>
              <w:t>Denota o papel do seguro social de saúde no financiamento da saúde, como uma parcela das despesas gerais atuais com saúde. Este indicador mostra a parcela dos recursos combinados pré-pagos dos esquemas contributivos de seguro social de saúde das despesas gerais atuais com saúde.</w:t>
            </w:r>
          </w:p>
        </w:tc>
        <w:tc>
          <w:tcPr>
            <w:tcW w:w="1134" w:type="dxa"/>
            <w:tcBorders>
              <w:top w:val="nil"/>
              <w:left w:val="nil"/>
              <w:bottom w:val="nil"/>
              <w:right w:val="nil"/>
            </w:tcBorders>
            <w:shd w:val="clear" w:color="000000" w:fill="FFF2CC"/>
            <w:vAlign w:val="center"/>
          </w:tcPr>
          <w:p w:rsidR="00A91D01" w:rsidRPr="008373CB" w:rsidRDefault="00A91D01" w:rsidP="00A91D01">
            <w:pPr>
              <w:spacing w:after="0" w:line="240" w:lineRule="auto"/>
              <w:jc w:val="center"/>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OMS</w:t>
            </w:r>
          </w:p>
        </w:tc>
        <w:tc>
          <w:tcPr>
            <w:tcW w:w="2835" w:type="dxa"/>
            <w:tcBorders>
              <w:top w:val="nil"/>
              <w:left w:val="nil"/>
              <w:bottom w:val="nil"/>
              <w:right w:val="nil"/>
            </w:tcBorders>
            <w:shd w:val="clear" w:color="000000" w:fill="FFF2CC"/>
            <w:vAlign w:val="center"/>
          </w:tcPr>
          <w:p w:rsidR="00A91D01" w:rsidRPr="008373CB" w:rsidRDefault="00CF595B" w:rsidP="00A91D01">
            <w:pPr>
              <w:spacing w:after="0" w:line="240" w:lineRule="auto"/>
              <w:jc w:val="center"/>
              <w:rPr>
                <w:rFonts w:ascii="Arial" w:eastAsia="Times New Roman" w:hAnsi="Arial" w:cs="Arial"/>
                <w:b/>
                <w:bCs/>
                <w:sz w:val="16"/>
                <w:szCs w:val="16"/>
                <w:lang w:eastAsia="pt-BR"/>
              </w:rPr>
            </w:pPr>
            <w:hyperlink r:id="rId22" w:history="1">
              <w:r w:rsidR="00A91D01" w:rsidRPr="008373CB">
                <w:rPr>
                  <w:rStyle w:val="Hyperlink"/>
                  <w:rFonts w:ascii="Arial" w:hAnsi="Arial" w:cs="Arial"/>
                  <w:sz w:val="16"/>
                  <w:szCs w:val="16"/>
                </w:rPr>
                <w:t>https://apps.who.int/nha/database/Select/Indicators/en</w:t>
              </w:r>
            </w:hyperlink>
          </w:p>
        </w:tc>
      </w:tr>
      <w:tr w:rsidR="00A91D01" w:rsidRPr="008373CB" w:rsidTr="008373CB">
        <w:trPr>
          <w:trHeight w:val="418"/>
          <w:jc w:val="center"/>
        </w:trPr>
        <w:tc>
          <w:tcPr>
            <w:tcW w:w="2694" w:type="dxa"/>
            <w:tcBorders>
              <w:top w:val="nil"/>
              <w:left w:val="nil"/>
              <w:bottom w:val="nil"/>
              <w:right w:val="nil"/>
            </w:tcBorders>
            <w:shd w:val="clear" w:color="000000" w:fill="FFF2CC"/>
            <w:vAlign w:val="center"/>
          </w:tcPr>
          <w:p w:rsidR="00A91D01" w:rsidRPr="008373CB" w:rsidRDefault="00A91D01" w:rsidP="00A91D01">
            <w:pPr>
              <w:spacing w:after="0" w:line="240" w:lineRule="auto"/>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Recursos públicos</w:t>
            </w:r>
            <w:r w:rsidR="009F3269" w:rsidRPr="008373CB">
              <w:rPr>
                <w:rFonts w:ascii="Arial" w:eastAsia="Times New Roman" w:hAnsi="Arial" w:cs="Arial"/>
                <w:b/>
                <w:bCs/>
                <w:sz w:val="16"/>
                <w:szCs w:val="16"/>
                <w:lang w:eastAsia="pt-BR"/>
              </w:rPr>
              <w:t xml:space="preserve"> (% gastos correntes em saúde)</w:t>
            </w:r>
          </w:p>
        </w:tc>
        <w:tc>
          <w:tcPr>
            <w:tcW w:w="8080" w:type="dxa"/>
            <w:tcBorders>
              <w:top w:val="nil"/>
              <w:left w:val="nil"/>
              <w:bottom w:val="nil"/>
              <w:right w:val="nil"/>
            </w:tcBorders>
            <w:shd w:val="clear" w:color="000000" w:fill="FFF2CC"/>
            <w:vAlign w:val="center"/>
          </w:tcPr>
          <w:p w:rsidR="00A91D01" w:rsidRPr="008373CB" w:rsidRDefault="002630BD" w:rsidP="008E3298">
            <w:pPr>
              <w:spacing w:after="0" w:line="240" w:lineRule="auto"/>
              <w:jc w:val="both"/>
              <w:rPr>
                <w:rFonts w:ascii="Arial" w:eastAsia="Times New Roman" w:hAnsi="Arial" w:cs="Arial"/>
                <w:bCs/>
                <w:sz w:val="16"/>
                <w:szCs w:val="16"/>
                <w:lang w:eastAsia="pt-BR"/>
              </w:rPr>
            </w:pPr>
            <w:r w:rsidRPr="008373CB">
              <w:rPr>
                <w:rFonts w:ascii="Arial" w:hAnsi="Arial" w:cs="Arial"/>
                <w:sz w:val="16"/>
                <w:szCs w:val="16"/>
              </w:rPr>
              <w:t>Total de taxas mais pagamentos da seguridade social.</w:t>
            </w:r>
          </w:p>
        </w:tc>
        <w:tc>
          <w:tcPr>
            <w:tcW w:w="1134" w:type="dxa"/>
            <w:tcBorders>
              <w:top w:val="nil"/>
              <w:left w:val="nil"/>
              <w:bottom w:val="nil"/>
              <w:right w:val="nil"/>
            </w:tcBorders>
            <w:shd w:val="clear" w:color="000000" w:fill="FFF2CC"/>
            <w:vAlign w:val="center"/>
          </w:tcPr>
          <w:p w:rsidR="00A91D01" w:rsidRPr="008373CB" w:rsidRDefault="00A91D01" w:rsidP="00A91D01">
            <w:pPr>
              <w:spacing w:after="0" w:line="240" w:lineRule="auto"/>
              <w:jc w:val="center"/>
              <w:rPr>
                <w:rFonts w:ascii="Arial" w:eastAsia="Times New Roman" w:hAnsi="Arial" w:cs="Arial"/>
                <w:b/>
                <w:bCs/>
                <w:sz w:val="16"/>
                <w:szCs w:val="16"/>
                <w:lang w:eastAsia="pt-BR"/>
              </w:rPr>
            </w:pPr>
          </w:p>
        </w:tc>
        <w:tc>
          <w:tcPr>
            <w:tcW w:w="2835" w:type="dxa"/>
            <w:tcBorders>
              <w:top w:val="nil"/>
              <w:left w:val="nil"/>
              <w:bottom w:val="nil"/>
              <w:right w:val="nil"/>
            </w:tcBorders>
            <w:shd w:val="clear" w:color="000000" w:fill="FFF2CC"/>
            <w:vAlign w:val="center"/>
          </w:tcPr>
          <w:p w:rsidR="00A91D01" w:rsidRPr="008373CB" w:rsidRDefault="00A91D01" w:rsidP="00A91D01">
            <w:pPr>
              <w:spacing w:after="0" w:line="240" w:lineRule="auto"/>
              <w:jc w:val="center"/>
              <w:rPr>
                <w:rFonts w:ascii="Arial" w:eastAsia="Times New Roman" w:hAnsi="Arial" w:cs="Arial"/>
                <w:b/>
                <w:bCs/>
                <w:sz w:val="16"/>
                <w:szCs w:val="16"/>
                <w:lang w:eastAsia="pt-BR"/>
              </w:rPr>
            </w:pPr>
          </w:p>
        </w:tc>
      </w:tr>
      <w:tr w:rsidR="00A91D01" w:rsidRPr="008373CB" w:rsidTr="008373CB">
        <w:trPr>
          <w:trHeight w:val="718"/>
          <w:jc w:val="center"/>
        </w:trPr>
        <w:tc>
          <w:tcPr>
            <w:tcW w:w="2694" w:type="dxa"/>
            <w:tcBorders>
              <w:top w:val="nil"/>
              <w:left w:val="nil"/>
              <w:bottom w:val="nil"/>
              <w:right w:val="nil"/>
            </w:tcBorders>
            <w:shd w:val="clear" w:color="000000" w:fill="FFF2CC"/>
            <w:vAlign w:val="center"/>
          </w:tcPr>
          <w:p w:rsidR="00A91D01" w:rsidRPr="008373CB" w:rsidRDefault="00A91D01" w:rsidP="00A91D01">
            <w:pPr>
              <w:spacing w:after="0" w:line="240" w:lineRule="auto"/>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Contribuições voluntárias</w:t>
            </w:r>
            <w:r w:rsidR="009F3269" w:rsidRPr="008373CB">
              <w:rPr>
                <w:rFonts w:ascii="Arial" w:eastAsia="Times New Roman" w:hAnsi="Arial" w:cs="Arial"/>
                <w:b/>
                <w:bCs/>
                <w:sz w:val="16"/>
                <w:szCs w:val="16"/>
                <w:lang w:eastAsia="pt-BR"/>
              </w:rPr>
              <w:t xml:space="preserve"> (% gastos correntes em saúde)</w:t>
            </w:r>
          </w:p>
        </w:tc>
        <w:tc>
          <w:tcPr>
            <w:tcW w:w="8080" w:type="dxa"/>
            <w:tcBorders>
              <w:top w:val="nil"/>
              <w:left w:val="nil"/>
              <w:bottom w:val="nil"/>
              <w:right w:val="nil"/>
            </w:tcBorders>
            <w:shd w:val="clear" w:color="000000" w:fill="FFF2CC"/>
            <w:vAlign w:val="center"/>
          </w:tcPr>
          <w:p w:rsidR="00A91D01" w:rsidRPr="008373CB" w:rsidRDefault="00CF6A2C" w:rsidP="00CF6A2C">
            <w:pPr>
              <w:spacing w:after="0" w:line="240" w:lineRule="auto"/>
              <w:jc w:val="both"/>
              <w:rPr>
                <w:rFonts w:ascii="Arial" w:hAnsi="Arial" w:cs="Arial"/>
                <w:sz w:val="16"/>
                <w:szCs w:val="16"/>
              </w:rPr>
            </w:pPr>
            <w:r w:rsidRPr="008373CB">
              <w:rPr>
                <w:rFonts w:ascii="Arial" w:hAnsi="Arial" w:cs="Arial"/>
                <w:sz w:val="16"/>
                <w:szCs w:val="16"/>
              </w:rPr>
              <w:t>Este indicador calcula quanto os países estão gastando em saúde através de acordos de financiamento voluntário. Mostra a parcela de recursos de esquemas em que a associação ou participação não é obrigatória. Os acordos de financiamento voluntário incluem pagamentos diretos, seguro de saúde voluntário, pagamentos diretos, esquemas empresariais e outros esquemas em que a participação não é obrigatória por lei, incluindo financiamento de doadores externos.</w:t>
            </w:r>
          </w:p>
        </w:tc>
        <w:tc>
          <w:tcPr>
            <w:tcW w:w="1134" w:type="dxa"/>
            <w:tcBorders>
              <w:top w:val="nil"/>
              <w:left w:val="nil"/>
              <w:bottom w:val="nil"/>
              <w:right w:val="nil"/>
            </w:tcBorders>
            <w:shd w:val="clear" w:color="000000" w:fill="FFF2CC"/>
            <w:vAlign w:val="center"/>
          </w:tcPr>
          <w:p w:rsidR="00A91D01" w:rsidRPr="008373CB" w:rsidRDefault="00A91D01" w:rsidP="00A91D01">
            <w:pPr>
              <w:spacing w:after="0" w:line="240" w:lineRule="auto"/>
              <w:jc w:val="center"/>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OMS</w:t>
            </w:r>
          </w:p>
        </w:tc>
        <w:tc>
          <w:tcPr>
            <w:tcW w:w="2835" w:type="dxa"/>
            <w:tcBorders>
              <w:top w:val="nil"/>
              <w:left w:val="nil"/>
              <w:bottom w:val="nil"/>
              <w:right w:val="nil"/>
            </w:tcBorders>
            <w:shd w:val="clear" w:color="000000" w:fill="FFF2CC"/>
            <w:vAlign w:val="center"/>
          </w:tcPr>
          <w:p w:rsidR="00A91D01" w:rsidRPr="008373CB" w:rsidRDefault="00CF595B" w:rsidP="00A91D01">
            <w:pPr>
              <w:spacing w:after="0" w:line="240" w:lineRule="auto"/>
              <w:jc w:val="center"/>
              <w:rPr>
                <w:rFonts w:ascii="Arial" w:eastAsia="Times New Roman" w:hAnsi="Arial" w:cs="Arial"/>
                <w:b/>
                <w:bCs/>
                <w:sz w:val="16"/>
                <w:szCs w:val="16"/>
                <w:lang w:eastAsia="pt-BR"/>
              </w:rPr>
            </w:pPr>
            <w:hyperlink r:id="rId23" w:history="1">
              <w:r w:rsidR="00A91D01" w:rsidRPr="008373CB">
                <w:rPr>
                  <w:rStyle w:val="Hyperlink"/>
                  <w:rFonts w:ascii="Arial" w:hAnsi="Arial" w:cs="Arial"/>
                  <w:sz w:val="16"/>
                  <w:szCs w:val="16"/>
                </w:rPr>
                <w:t>https://apps.who.int/nha/database/Select/Indicators/en</w:t>
              </w:r>
            </w:hyperlink>
          </w:p>
        </w:tc>
      </w:tr>
      <w:tr w:rsidR="00A91D01" w:rsidRPr="008373CB" w:rsidTr="008373CB">
        <w:trPr>
          <w:trHeight w:val="701"/>
          <w:jc w:val="center"/>
        </w:trPr>
        <w:tc>
          <w:tcPr>
            <w:tcW w:w="2694" w:type="dxa"/>
            <w:tcBorders>
              <w:top w:val="nil"/>
              <w:left w:val="nil"/>
              <w:bottom w:val="nil"/>
              <w:right w:val="nil"/>
            </w:tcBorders>
            <w:shd w:val="clear" w:color="000000" w:fill="FFF2CC"/>
            <w:vAlign w:val="center"/>
          </w:tcPr>
          <w:p w:rsidR="00A91D01" w:rsidRPr="008373CB" w:rsidRDefault="00A91D01" w:rsidP="00A91D01">
            <w:pPr>
              <w:spacing w:after="0" w:line="240" w:lineRule="auto"/>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Seguro saúde voluntário</w:t>
            </w:r>
            <w:r w:rsidR="009F3269" w:rsidRPr="008373CB">
              <w:rPr>
                <w:rFonts w:ascii="Arial" w:eastAsia="Times New Roman" w:hAnsi="Arial" w:cs="Arial"/>
                <w:b/>
                <w:bCs/>
                <w:sz w:val="16"/>
                <w:szCs w:val="16"/>
                <w:lang w:eastAsia="pt-BR"/>
              </w:rPr>
              <w:t xml:space="preserve"> (% gastos correntes em saúde)</w:t>
            </w:r>
          </w:p>
        </w:tc>
        <w:tc>
          <w:tcPr>
            <w:tcW w:w="8080" w:type="dxa"/>
            <w:tcBorders>
              <w:top w:val="nil"/>
              <w:left w:val="nil"/>
              <w:bottom w:val="nil"/>
              <w:right w:val="nil"/>
            </w:tcBorders>
            <w:shd w:val="clear" w:color="000000" w:fill="FFF2CC"/>
            <w:vAlign w:val="center"/>
          </w:tcPr>
          <w:p w:rsidR="00A91D01" w:rsidRPr="008373CB" w:rsidRDefault="00972713" w:rsidP="00972713">
            <w:pPr>
              <w:spacing w:after="0" w:line="240" w:lineRule="auto"/>
              <w:jc w:val="both"/>
              <w:rPr>
                <w:rFonts w:ascii="Arial" w:hAnsi="Arial" w:cs="Arial"/>
                <w:sz w:val="16"/>
                <w:szCs w:val="16"/>
              </w:rPr>
            </w:pPr>
            <w:r w:rsidRPr="008373CB">
              <w:rPr>
                <w:rFonts w:ascii="Arial" w:hAnsi="Arial" w:cs="Arial"/>
                <w:sz w:val="16"/>
                <w:szCs w:val="16"/>
              </w:rPr>
              <w:t>A parcela das contribuições privadas pagas antecipadamente ao seguro de saúde voluntário das despesas gerais atuais com saúde indica a proporção de gastos em saúde, financiada domesticamente pelo pagamento e pré-pagamento privados.</w:t>
            </w:r>
          </w:p>
          <w:p w:rsidR="00972713" w:rsidRPr="008373CB" w:rsidRDefault="00972713" w:rsidP="00972713">
            <w:pPr>
              <w:spacing w:after="0" w:line="240" w:lineRule="auto"/>
              <w:jc w:val="both"/>
              <w:rPr>
                <w:rFonts w:ascii="Arial" w:hAnsi="Arial" w:cs="Arial"/>
                <w:sz w:val="16"/>
                <w:szCs w:val="16"/>
              </w:rPr>
            </w:pPr>
          </w:p>
        </w:tc>
        <w:tc>
          <w:tcPr>
            <w:tcW w:w="1134" w:type="dxa"/>
            <w:tcBorders>
              <w:top w:val="nil"/>
              <w:left w:val="nil"/>
              <w:bottom w:val="nil"/>
              <w:right w:val="nil"/>
            </w:tcBorders>
            <w:shd w:val="clear" w:color="000000" w:fill="FFF2CC"/>
            <w:vAlign w:val="center"/>
          </w:tcPr>
          <w:p w:rsidR="00A91D01" w:rsidRPr="008373CB" w:rsidRDefault="00A91D01" w:rsidP="00A91D01">
            <w:pPr>
              <w:spacing w:after="0" w:line="240" w:lineRule="auto"/>
              <w:jc w:val="center"/>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OMS</w:t>
            </w:r>
          </w:p>
        </w:tc>
        <w:tc>
          <w:tcPr>
            <w:tcW w:w="2835" w:type="dxa"/>
            <w:tcBorders>
              <w:top w:val="nil"/>
              <w:left w:val="nil"/>
              <w:bottom w:val="nil"/>
              <w:right w:val="nil"/>
            </w:tcBorders>
            <w:shd w:val="clear" w:color="000000" w:fill="FFF2CC"/>
            <w:vAlign w:val="center"/>
          </w:tcPr>
          <w:p w:rsidR="00A91D01" w:rsidRPr="008373CB" w:rsidRDefault="00CF595B" w:rsidP="00A91D01">
            <w:pPr>
              <w:spacing w:after="0" w:line="240" w:lineRule="auto"/>
              <w:jc w:val="center"/>
              <w:rPr>
                <w:rFonts w:ascii="Arial" w:eastAsia="Times New Roman" w:hAnsi="Arial" w:cs="Arial"/>
                <w:b/>
                <w:bCs/>
                <w:sz w:val="16"/>
                <w:szCs w:val="16"/>
                <w:lang w:eastAsia="pt-BR"/>
              </w:rPr>
            </w:pPr>
            <w:hyperlink r:id="rId24" w:history="1">
              <w:r w:rsidR="00A91D01" w:rsidRPr="008373CB">
                <w:rPr>
                  <w:rStyle w:val="Hyperlink"/>
                  <w:rFonts w:ascii="Arial" w:hAnsi="Arial" w:cs="Arial"/>
                  <w:sz w:val="16"/>
                  <w:szCs w:val="16"/>
                </w:rPr>
                <w:t>https://apps.who.int/nha/database/Select/Indicators/en</w:t>
              </w:r>
            </w:hyperlink>
          </w:p>
        </w:tc>
      </w:tr>
      <w:tr w:rsidR="00A91D01" w:rsidRPr="008373CB" w:rsidTr="008373CB">
        <w:trPr>
          <w:trHeight w:val="569"/>
          <w:jc w:val="center"/>
        </w:trPr>
        <w:tc>
          <w:tcPr>
            <w:tcW w:w="2694" w:type="dxa"/>
            <w:tcBorders>
              <w:top w:val="nil"/>
              <w:left w:val="nil"/>
              <w:bottom w:val="nil"/>
              <w:right w:val="nil"/>
            </w:tcBorders>
            <w:shd w:val="clear" w:color="000000" w:fill="FFF2CC"/>
            <w:vAlign w:val="center"/>
          </w:tcPr>
          <w:p w:rsidR="00A91D01" w:rsidRPr="008373CB" w:rsidRDefault="00A91D01" w:rsidP="00A91D01">
            <w:pPr>
              <w:spacing w:after="0" w:line="240" w:lineRule="auto"/>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Desembolso direto</w:t>
            </w:r>
            <w:r w:rsidR="008B0F24" w:rsidRPr="008373CB">
              <w:rPr>
                <w:rFonts w:ascii="Arial" w:eastAsia="Times New Roman" w:hAnsi="Arial" w:cs="Arial"/>
                <w:b/>
                <w:bCs/>
                <w:sz w:val="16"/>
                <w:szCs w:val="16"/>
                <w:lang w:eastAsia="pt-BR"/>
              </w:rPr>
              <w:t xml:space="preserve"> (</w:t>
            </w:r>
            <w:proofErr w:type="spellStart"/>
            <w:r w:rsidR="008B0F24" w:rsidRPr="008373CB">
              <w:rPr>
                <w:rFonts w:ascii="Arial" w:eastAsia="Times New Roman" w:hAnsi="Arial" w:cs="Arial"/>
                <w:b/>
                <w:bCs/>
                <w:sz w:val="16"/>
                <w:szCs w:val="16"/>
                <w:lang w:eastAsia="pt-BR"/>
              </w:rPr>
              <w:t>out-of</w:t>
            </w:r>
            <w:proofErr w:type="spellEnd"/>
            <w:r w:rsidR="008B0F24" w:rsidRPr="008373CB">
              <w:rPr>
                <w:rFonts w:ascii="Arial" w:eastAsia="Times New Roman" w:hAnsi="Arial" w:cs="Arial"/>
                <w:b/>
                <w:bCs/>
                <w:sz w:val="16"/>
                <w:szCs w:val="16"/>
                <w:lang w:eastAsia="pt-BR"/>
              </w:rPr>
              <w:t xml:space="preserve"> –</w:t>
            </w:r>
            <w:proofErr w:type="spellStart"/>
            <w:r w:rsidR="008B0F24" w:rsidRPr="008373CB">
              <w:rPr>
                <w:rFonts w:ascii="Arial" w:eastAsia="Times New Roman" w:hAnsi="Arial" w:cs="Arial"/>
                <w:b/>
                <w:bCs/>
                <w:sz w:val="16"/>
                <w:szCs w:val="16"/>
                <w:lang w:eastAsia="pt-BR"/>
              </w:rPr>
              <w:t>pocket</w:t>
            </w:r>
            <w:proofErr w:type="spellEnd"/>
            <w:r w:rsidR="009F3269" w:rsidRPr="008373CB">
              <w:rPr>
                <w:rFonts w:ascii="Arial" w:eastAsia="Times New Roman" w:hAnsi="Arial" w:cs="Arial"/>
                <w:b/>
                <w:bCs/>
                <w:sz w:val="16"/>
                <w:szCs w:val="16"/>
                <w:lang w:eastAsia="pt-BR"/>
              </w:rPr>
              <w:t xml:space="preserve"> - % gastos correntes em saúde)</w:t>
            </w:r>
          </w:p>
        </w:tc>
        <w:tc>
          <w:tcPr>
            <w:tcW w:w="8080" w:type="dxa"/>
            <w:tcBorders>
              <w:top w:val="nil"/>
              <w:left w:val="nil"/>
              <w:bottom w:val="nil"/>
              <w:right w:val="nil"/>
            </w:tcBorders>
            <w:shd w:val="clear" w:color="000000" w:fill="FFF2CC"/>
            <w:vAlign w:val="center"/>
          </w:tcPr>
          <w:p w:rsidR="00A91D01" w:rsidRPr="008373CB" w:rsidRDefault="00A91D01" w:rsidP="002630BD">
            <w:pPr>
              <w:spacing w:after="0" w:line="240" w:lineRule="auto"/>
              <w:jc w:val="both"/>
              <w:rPr>
                <w:rFonts w:ascii="Arial" w:hAnsi="Arial" w:cs="Arial"/>
                <w:sz w:val="16"/>
                <w:szCs w:val="16"/>
              </w:rPr>
            </w:pPr>
            <w:r w:rsidRPr="008373CB">
              <w:rPr>
                <w:rFonts w:ascii="Arial" w:hAnsi="Arial" w:cs="Arial"/>
                <w:sz w:val="16"/>
                <w:szCs w:val="16"/>
              </w:rPr>
              <w:t>Registra o valor que as famílias gastam do próprio bolso em cuidados de saúde por pessoa em cada país em dólares americanos. Pagamentos diretos (</w:t>
            </w:r>
            <w:proofErr w:type="spellStart"/>
            <w:r w:rsidRPr="008373CB">
              <w:rPr>
                <w:rFonts w:ascii="Arial" w:hAnsi="Arial" w:cs="Arial"/>
                <w:sz w:val="16"/>
                <w:szCs w:val="16"/>
              </w:rPr>
              <w:t>OOPs</w:t>
            </w:r>
            <w:proofErr w:type="spellEnd"/>
            <w:r w:rsidRPr="008373CB">
              <w:rPr>
                <w:rFonts w:ascii="Arial" w:hAnsi="Arial" w:cs="Arial"/>
                <w:sz w:val="16"/>
                <w:szCs w:val="16"/>
              </w:rPr>
              <w:t>) incluem pagamentos diretos feitos por indivíduos a prestadores de serviços de saúde no momento do uso do serviço</w:t>
            </w:r>
            <w:r w:rsidR="002630BD" w:rsidRPr="008373CB">
              <w:rPr>
                <w:rFonts w:ascii="Arial" w:hAnsi="Arial" w:cs="Arial"/>
                <w:sz w:val="16"/>
                <w:szCs w:val="16"/>
              </w:rPr>
              <w:t>.</w:t>
            </w:r>
            <w:r w:rsidRPr="008373CB">
              <w:rPr>
                <w:rFonts w:ascii="Arial" w:hAnsi="Arial" w:cs="Arial"/>
                <w:sz w:val="16"/>
                <w:szCs w:val="16"/>
              </w:rPr>
              <w:t xml:space="preserve"> Os usuários podem usar esse indicador ao comparar as despesas diretas com saúde pelas famílias</w:t>
            </w:r>
            <w:r w:rsidR="00972713" w:rsidRPr="008373CB">
              <w:rPr>
                <w:rFonts w:ascii="Arial" w:hAnsi="Arial" w:cs="Arial"/>
                <w:sz w:val="16"/>
                <w:szCs w:val="16"/>
              </w:rPr>
              <w:t>.</w:t>
            </w:r>
          </w:p>
          <w:p w:rsidR="00CF6A2C" w:rsidRPr="008373CB" w:rsidRDefault="00CF6A2C" w:rsidP="002630BD">
            <w:pPr>
              <w:spacing w:after="0" w:line="240" w:lineRule="auto"/>
              <w:jc w:val="both"/>
              <w:rPr>
                <w:rFonts w:ascii="Arial" w:hAnsi="Arial" w:cs="Arial"/>
                <w:sz w:val="16"/>
                <w:szCs w:val="16"/>
              </w:rPr>
            </w:pPr>
          </w:p>
        </w:tc>
        <w:tc>
          <w:tcPr>
            <w:tcW w:w="1134" w:type="dxa"/>
            <w:tcBorders>
              <w:top w:val="nil"/>
              <w:left w:val="nil"/>
              <w:bottom w:val="nil"/>
              <w:right w:val="nil"/>
            </w:tcBorders>
            <w:shd w:val="clear" w:color="000000" w:fill="FFF2CC"/>
            <w:vAlign w:val="center"/>
          </w:tcPr>
          <w:p w:rsidR="00A91D01" w:rsidRPr="008373CB" w:rsidRDefault="00A91D01" w:rsidP="00A91D01">
            <w:pPr>
              <w:spacing w:after="0" w:line="240" w:lineRule="auto"/>
              <w:jc w:val="center"/>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OMS</w:t>
            </w:r>
          </w:p>
        </w:tc>
        <w:tc>
          <w:tcPr>
            <w:tcW w:w="2835" w:type="dxa"/>
            <w:tcBorders>
              <w:top w:val="nil"/>
              <w:left w:val="nil"/>
              <w:bottom w:val="nil"/>
              <w:right w:val="nil"/>
            </w:tcBorders>
            <w:shd w:val="clear" w:color="000000" w:fill="FFF2CC"/>
            <w:vAlign w:val="center"/>
          </w:tcPr>
          <w:p w:rsidR="00A91D01" w:rsidRPr="008373CB" w:rsidRDefault="00CF595B" w:rsidP="00A91D01">
            <w:pPr>
              <w:spacing w:after="0" w:line="240" w:lineRule="auto"/>
              <w:jc w:val="center"/>
              <w:rPr>
                <w:rFonts w:ascii="Arial" w:eastAsia="Times New Roman" w:hAnsi="Arial" w:cs="Arial"/>
                <w:b/>
                <w:bCs/>
                <w:sz w:val="16"/>
                <w:szCs w:val="16"/>
                <w:lang w:eastAsia="pt-BR"/>
              </w:rPr>
            </w:pPr>
            <w:hyperlink r:id="rId25" w:history="1">
              <w:r w:rsidR="00A91D01" w:rsidRPr="008373CB">
                <w:rPr>
                  <w:rStyle w:val="Hyperlink"/>
                  <w:rFonts w:ascii="Arial" w:hAnsi="Arial" w:cs="Arial"/>
                  <w:sz w:val="16"/>
                  <w:szCs w:val="16"/>
                </w:rPr>
                <w:t>https://apps.who.int/nha/database/Select/Indicators/en</w:t>
              </w:r>
            </w:hyperlink>
          </w:p>
        </w:tc>
      </w:tr>
      <w:tr w:rsidR="00B36FC7" w:rsidRPr="008373CB" w:rsidTr="008373CB">
        <w:trPr>
          <w:trHeight w:val="569"/>
          <w:jc w:val="center"/>
        </w:trPr>
        <w:tc>
          <w:tcPr>
            <w:tcW w:w="2694" w:type="dxa"/>
            <w:tcBorders>
              <w:top w:val="nil"/>
              <w:left w:val="nil"/>
              <w:bottom w:val="nil"/>
              <w:right w:val="nil"/>
            </w:tcBorders>
            <w:shd w:val="clear" w:color="000000" w:fill="FFF2CC"/>
            <w:vAlign w:val="center"/>
          </w:tcPr>
          <w:p w:rsidR="00B36FC7" w:rsidRPr="008373CB" w:rsidRDefault="00B36FC7" w:rsidP="00A91D01">
            <w:pPr>
              <w:spacing w:after="0" w:line="240" w:lineRule="auto"/>
              <w:rPr>
                <w:rFonts w:ascii="Arial" w:eastAsia="Times New Roman" w:hAnsi="Arial" w:cs="Arial"/>
                <w:b/>
                <w:bCs/>
                <w:sz w:val="16"/>
                <w:szCs w:val="16"/>
                <w:lang w:eastAsia="pt-BR"/>
              </w:rPr>
            </w:pPr>
            <w:r w:rsidRPr="008373CB">
              <w:rPr>
                <w:rFonts w:ascii="Arial" w:eastAsia="Times New Roman" w:hAnsi="Arial" w:cs="Arial"/>
                <w:b/>
                <w:bCs/>
                <w:sz w:val="16"/>
                <w:szCs w:val="16"/>
                <w:lang w:eastAsia="pt-BR"/>
              </w:rPr>
              <w:t>Recursos privados</w:t>
            </w:r>
            <w:r w:rsidR="009F3269" w:rsidRPr="008373CB">
              <w:rPr>
                <w:rFonts w:ascii="Arial" w:eastAsia="Times New Roman" w:hAnsi="Arial" w:cs="Arial"/>
                <w:b/>
                <w:bCs/>
                <w:sz w:val="16"/>
                <w:szCs w:val="16"/>
                <w:lang w:eastAsia="pt-BR"/>
              </w:rPr>
              <w:t xml:space="preserve"> (% gastos correntes em saúde)</w:t>
            </w:r>
          </w:p>
        </w:tc>
        <w:tc>
          <w:tcPr>
            <w:tcW w:w="8080" w:type="dxa"/>
            <w:tcBorders>
              <w:top w:val="nil"/>
              <w:left w:val="nil"/>
              <w:bottom w:val="nil"/>
              <w:right w:val="nil"/>
            </w:tcBorders>
            <w:shd w:val="clear" w:color="000000" w:fill="FFF2CC"/>
            <w:vAlign w:val="center"/>
          </w:tcPr>
          <w:p w:rsidR="00B36FC7" w:rsidRPr="008373CB" w:rsidRDefault="002630BD" w:rsidP="008E3298">
            <w:pPr>
              <w:spacing w:after="0" w:line="240" w:lineRule="auto"/>
              <w:jc w:val="both"/>
              <w:rPr>
                <w:rFonts w:ascii="Arial" w:hAnsi="Arial" w:cs="Arial"/>
                <w:sz w:val="16"/>
                <w:szCs w:val="16"/>
              </w:rPr>
            </w:pPr>
            <w:r w:rsidRPr="008373CB">
              <w:rPr>
                <w:rFonts w:ascii="Arial" w:hAnsi="Arial" w:cs="Arial"/>
                <w:sz w:val="16"/>
                <w:szCs w:val="16"/>
              </w:rPr>
              <w:t xml:space="preserve">Total de contribuições voluntárias (sejam de seguro voluntário ou outras formas, tais como contribuições de entidades filantrópicas ou empresas) </w:t>
            </w:r>
            <w:proofErr w:type="gramStart"/>
            <w:r w:rsidRPr="008373CB">
              <w:rPr>
                <w:rFonts w:ascii="Arial" w:hAnsi="Arial" w:cs="Arial"/>
                <w:sz w:val="16"/>
                <w:szCs w:val="16"/>
              </w:rPr>
              <w:t>+</w:t>
            </w:r>
            <w:proofErr w:type="gramEnd"/>
            <w:r w:rsidRPr="008373CB">
              <w:rPr>
                <w:rFonts w:ascii="Arial" w:hAnsi="Arial" w:cs="Arial"/>
                <w:sz w:val="16"/>
                <w:szCs w:val="16"/>
              </w:rPr>
              <w:t xml:space="preserve"> desembolso direto.</w:t>
            </w:r>
          </w:p>
        </w:tc>
        <w:tc>
          <w:tcPr>
            <w:tcW w:w="1134" w:type="dxa"/>
            <w:tcBorders>
              <w:top w:val="nil"/>
              <w:left w:val="nil"/>
              <w:bottom w:val="nil"/>
              <w:right w:val="nil"/>
            </w:tcBorders>
            <w:shd w:val="clear" w:color="000000" w:fill="FFF2CC"/>
            <w:vAlign w:val="center"/>
          </w:tcPr>
          <w:p w:rsidR="00B36FC7" w:rsidRPr="008373CB" w:rsidRDefault="00B36FC7" w:rsidP="00B36FC7">
            <w:pPr>
              <w:spacing w:after="0" w:line="240" w:lineRule="auto"/>
              <w:jc w:val="center"/>
              <w:rPr>
                <w:rFonts w:ascii="Arial" w:eastAsia="Times New Roman" w:hAnsi="Arial" w:cs="Arial"/>
                <w:b/>
                <w:bCs/>
                <w:sz w:val="16"/>
                <w:szCs w:val="16"/>
                <w:lang w:eastAsia="pt-BR"/>
              </w:rPr>
            </w:pPr>
          </w:p>
        </w:tc>
        <w:tc>
          <w:tcPr>
            <w:tcW w:w="2835" w:type="dxa"/>
            <w:tcBorders>
              <w:top w:val="nil"/>
              <w:left w:val="nil"/>
              <w:bottom w:val="nil"/>
              <w:right w:val="nil"/>
            </w:tcBorders>
            <w:shd w:val="clear" w:color="000000" w:fill="FFF2CC"/>
            <w:vAlign w:val="center"/>
          </w:tcPr>
          <w:p w:rsidR="00B36FC7" w:rsidRPr="008373CB" w:rsidRDefault="00B36FC7" w:rsidP="00B36FC7">
            <w:pPr>
              <w:spacing w:after="0" w:line="240" w:lineRule="auto"/>
              <w:jc w:val="center"/>
              <w:rPr>
                <w:rFonts w:ascii="Arial" w:eastAsia="Times New Roman" w:hAnsi="Arial" w:cs="Arial"/>
                <w:b/>
                <w:bCs/>
                <w:sz w:val="16"/>
                <w:szCs w:val="16"/>
                <w:lang w:eastAsia="pt-BR"/>
              </w:rPr>
            </w:pPr>
          </w:p>
        </w:tc>
      </w:tr>
    </w:tbl>
    <w:p w:rsidR="00562E70" w:rsidRDefault="00562E70" w:rsidP="00D709AD">
      <w:pPr>
        <w:spacing w:line="360" w:lineRule="auto"/>
        <w:ind w:left="360"/>
        <w:jc w:val="both"/>
      </w:pPr>
    </w:p>
    <w:tbl>
      <w:tblPr>
        <w:tblW w:w="0" w:type="auto"/>
        <w:tblCellMar>
          <w:left w:w="70" w:type="dxa"/>
          <w:right w:w="70" w:type="dxa"/>
        </w:tblCellMar>
        <w:tblLook w:val="04A0" w:firstRow="1" w:lastRow="0" w:firstColumn="1" w:lastColumn="0" w:noHBand="0" w:noVBand="1"/>
      </w:tblPr>
      <w:tblGrid>
        <w:gridCol w:w="1972"/>
        <w:gridCol w:w="5256"/>
        <w:gridCol w:w="1984"/>
        <w:gridCol w:w="4792"/>
      </w:tblGrid>
      <w:tr w:rsidR="00715B5C" w:rsidRPr="0058331B" w:rsidTr="0058331B">
        <w:trPr>
          <w:trHeight w:val="700"/>
        </w:trPr>
        <w:tc>
          <w:tcPr>
            <w:tcW w:w="0" w:type="auto"/>
            <w:tcBorders>
              <w:top w:val="nil"/>
              <w:left w:val="nil"/>
              <w:bottom w:val="nil"/>
              <w:right w:val="nil"/>
            </w:tcBorders>
            <w:shd w:val="clear" w:color="000000" w:fill="FCE4D6"/>
            <w:vAlign w:val="center"/>
          </w:tcPr>
          <w:p w:rsidR="00715B5C" w:rsidRPr="0058331B" w:rsidRDefault="00715B5C" w:rsidP="00A8046E">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Variáve</w:t>
            </w:r>
            <w:r w:rsidR="00A8046E" w:rsidRPr="0058331B">
              <w:rPr>
                <w:rFonts w:ascii="Arial" w:eastAsia="Times New Roman" w:hAnsi="Arial" w:cs="Arial"/>
                <w:b/>
                <w:bCs/>
                <w:sz w:val="16"/>
                <w:szCs w:val="16"/>
                <w:lang w:eastAsia="pt-BR"/>
              </w:rPr>
              <w:t>is – recursos humanos e materiais</w:t>
            </w:r>
          </w:p>
        </w:tc>
        <w:tc>
          <w:tcPr>
            <w:tcW w:w="5256" w:type="dxa"/>
            <w:tcBorders>
              <w:top w:val="nil"/>
              <w:left w:val="nil"/>
              <w:bottom w:val="nil"/>
              <w:right w:val="nil"/>
            </w:tcBorders>
            <w:shd w:val="clear" w:color="000000" w:fill="FCE4D6"/>
            <w:vAlign w:val="center"/>
          </w:tcPr>
          <w:p w:rsidR="00715B5C" w:rsidRPr="0058331B" w:rsidRDefault="00715B5C" w:rsidP="00A91D01">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Descrição</w:t>
            </w:r>
          </w:p>
        </w:tc>
        <w:tc>
          <w:tcPr>
            <w:tcW w:w="1984" w:type="dxa"/>
            <w:tcBorders>
              <w:top w:val="nil"/>
              <w:left w:val="nil"/>
              <w:bottom w:val="nil"/>
              <w:right w:val="nil"/>
            </w:tcBorders>
            <w:shd w:val="clear" w:color="000000" w:fill="FCE4D6"/>
            <w:vAlign w:val="center"/>
          </w:tcPr>
          <w:p w:rsidR="00715B5C" w:rsidRPr="0058331B" w:rsidRDefault="00715B5C" w:rsidP="00A91D01">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Fonte</w:t>
            </w:r>
          </w:p>
        </w:tc>
        <w:tc>
          <w:tcPr>
            <w:tcW w:w="4792" w:type="dxa"/>
            <w:tcBorders>
              <w:top w:val="nil"/>
              <w:left w:val="nil"/>
              <w:bottom w:val="nil"/>
              <w:right w:val="nil"/>
            </w:tcBorders>
            <w:shd w:val="clear" w:color="000000" w:fill="FCE4D6"/>
            <w:vAlign w:val="center"/>
          </w:tcPr>
          <w:p w:rsidR="00715B5C" w:rsidRPr="0058331B" w:rsidRDefault="00715B5C" w:rsidP="00A91D01">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Link</w:t>
            </w:r>
          </w:p>
        </w:tc>
      </w:tr>
      <w:tr w:rsidR="005051C9" w:rsidRPr="0058331B" w:rsidTr="0058331B">
        <w:trPr>
          <w:trHeight w:val="657"/>
        </w:trPr>
        <w:tc>
          <w:tcPr>
            <w:tcW w:w="0" w:type="auto"/>
            <w:tcBorders>
              <w:top w:val="nil"/>
              <w:left w:val="nil"/>
              <w:bottom w:val="nil"/>
              <w:right w:val="nil"/>
            </w:tcBorders>
            <w:shd w:val="clear" w:color="000000" w:fill="FCE4D6"/>
            <w:vAlign w:val="center"/>
            <w:hideMark/>
          </w:tcPr>
          <w:p w:rsidR="00452C2D" w:rsidRDefault="005051C9" w:rsidP="005051C9">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Densidade médicos</w:t>
            </w:r>
          </w:p>
          <w:p w:rsidR="005051C9" w:rsidRPr="0058331B" w:rsidRDefault="005051C9" w:rsidP="005051C9">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(10 mil)</w:t>
            </w:r>
          </w:p>
        </w:tc>
        <w:tc>
          <w:tcPr>
            <w:tcW w:w="5256" w:type="dxa"/>
            <w:tcBorders>
              <w:top w:val="nil"/>
              <w:left w:val="nil"/>
              <w:bottom w:val="nil"/>
              <w:right w:val="nil"/>
            </w:tcBorders>
            <w:shd w:val="clear" w:color="000000" w:fill="FCE4D6"/>
            <w:vAlign w:val="center"/>
            <w:hideMark/>
          </w:tcPr>
          <w:p w:rsidR="005051C9" w:rsidRPr="0058331B" w:rsidRDefault="005051C9" w:rsidP="005051C9">
            <w:pPr>
              <w:spacing w:after="0" w:line="240" w:lineRule="auto"/>
              <w:jc w:val="both"/>
              <w:rPr>
                <w:rFonts w:ascii="Arial" w:eastAsia="Times New Roman" w:hAnsi="Arial" w:cs="Arial"/>
                <w:bCs/>
                <w:sz w:val="16"/>
                <w:szCs w:val="16"/>
                <w:lang w:eastAsia="pt-BR"/>
              </w:rPr>
            </w:pPr>
            <w:r w:rsidRPr="0058331B">
              <w:rPr>
                <w:rFonts w:ascii="Arial" w:eastAsia="Times New Roman" w:hAnsi="Arial" w:cs="Arial"/>
                <w:bCs/>
                <w:sz w:val="16"/>
                <w:szCs w:val="16"/>
                <w:lang w:eastAsia="pt-BR"/>
              </w:rPr>
              <w:t>Número de médicos, incluindo médicos generalistas e especialistas, por 10 000 habitantes.</w:t>
            </w:r>
          </w:p>
          <w:p w:rsidR="005051C9" w:rsidRPr="0058331B" w:rsidRDefault="005051C9" w:rsidP="005051C9">
            <w:pPr>
              <w:spacing w:after="0" w:line="240" w:lineRule="auto"/>
              <w:jc w:val="both"/>
              <w:rPr>
                <w:rFonts w:ascii="Arial" w:eastAsia="Times New Roman" w:hAnsi="Arial" w:cs="Arial"/>
                <w:bCs/>
                <w:sz w:val="16"/>
                <w:szCs w:val="16"/>
                <w:lang w:eastAsia="pt-BR"/>
              </w:rPr>
            </w:pPr>
          </w:p>
        </w:tc>
        <w:tc>
          <w:tcPr>
            <w:tcW w:w="1984" w:type="dxa"/>
            <w:tcBorders>
              <w:top w:val="nil"/>
              <w:left w:val="nil"/>
              <w:bottom w:val="nil"/>
              <w:right w:val="nil"/>
            </w:tcBorders>
            <w:shd w:val="clear" w:color="000000" w:fill="FCE4D6"/>
            <w:vAlign w:val="center"/>
            <w:hideMark/>
          </w:tcPr>
          <w:p w:rsidR="005051C9" w:rsidRPr="0058331B" w:rsidRDefault="005051C9" w:rsidP="005051C9">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OMS</w:t>
            </w:r>
          </w:p>
        </w:tc>
        <w:tc>
          <w:tcPr>
            <w:tcW w:w="4792" w:type="dxa"/>
            <w:tcBorders>
              <w:top w:val="nil"/>
              <w:left w:val="nil"/>
              <w:bottom w:val="nil"/>
              <w:right w:val="nil"/>
            </w:tcBorders>
            <w:shd w:val="clear" w:color="000000" w:fill="FCE4D6"/>
            <w:vAlign w:val="center"/>
            <w:hideMark/>
          </w:tcPr>
          <w:p w:rsidR="005051C9" w:rsidRPr="0058331B" w:rsidRDefault="00CF595B" w:rsidP="005051C9">
            <w:pPr>
              <w:rPr>
                <w:sz w:val="16"/>
                <w:szCs w:val="16"/>
              </w:rPr>
            </w:pPr>
            <w:hyperlink r:id="rId26" w:history="1">
              <w:r w:rsidR="005051C9" w:rsidRPr="0058331B">
                <w:rPr>
                  <w:rStyle w:val="Hyperlink"/>
                  <w:sz w:val="16"/>
                  <w:szCs w:val="16"/>
                </w:rPr>
                <w:t>http://apps.who.int/gho/data/node.wrapper.imr?x-id=3354</w:t>
              </w:r>
            </w:hyperlink>
          </w:p>
        </w:tc>
      </w:tr>
      <w:tr w:rsidR="005051C9" w:rsidRPr="0058331B" w:rsidTr="0058331B">
        <w:trPr>
          <w:trHeight w:val="709"/>
        </w:trPr>
        <w:tc>
          <w:tcPr>
            <w:tcW w:w="0" w:type="auto"/>
            <w:tcBorders>
              <w:top w:val="nil"/>
              <w:left w:val="nil"/>
              <w:bottom w:val="nil"/>
              <w:right w:val="nil"/>
            </w:tcBorders>
            <w:shd w:val="clear" w:color="000000" w:fill="FCE4D6"/>
            <w:vAlign w:val="center"/>
          </w:tcPr>
          <w:p w:rsidR="005051C9" w:rsidRPr="0058331B" w:rsidRDefault="005051C9" w:rsidP="008373CB">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Densidade enfermeiros</w:t>
            </w:r>
            <w:r w:rsidR="008373CB">
              <w:rPr>
                <w:rFonts w:ascii="Arial" w:eastAsia="Times New Roman" w:hAnsi="Arial" w:cs="Arial"/>
                <w:b/>
                <w:bCs/>
                <w:sz w:val="16"/>
                <w:szCs w:val="16"/>
                <w:lang w:eastAsia="pt-BR"/>
              </w:rPr>
              <w:t xml:space="preserve"> </w:t>
            </w:r>
            <w:r w:rsidRPr="0058331B">
              <w:rPr>
                <w:rFonts w:ascii="Arial" w:eastAsia="Times New Roman" w:hAnsi="Arial" w:cs="Arial"/>
                <w:b/>
                <w:bCs/>
                <w:sz w:val="16"/>
                <w:szCs w:val="16"/>
                <w:lang w:eastAsia="pt-BR"/>
              </w:rPr>
              <w:t>(10 mil)</w:t>
            </w:r>
          </w:p>
        </w:tc>
        <w:tc>
          <w:tcPr>
            <w:tcW w:w="5256" w:type="dxa"/>
            <w:tcBorders>
              <w:top w:val="nil"/>
              <w:left w:val="nil"/>
              <w:bottom w:val="nil"/>
              <w:right w:val="nil"/>
            </w:tcBorders>
            <w:shd w:val="clear" w:color="000000" w:fill="FCE4D6"/>
            <w:vAlign w:val="center"/>
          </w:tcPr>
          <w:p w:rsidR="005051C9" w:rsidRPr="0058331B" w:rsidRDefault="005051C9" w:rsidP="005051C9">
            <w:pPr>
              <w:spacing w:after="0" w:line="240" w:lineRule="auto"/>
              <w:jc w:val="both"/>
              <w:rPr>
                <w:rFonts w:ascii="Arial" w:eastAsia="Times New Roman" w:hAnsi="Arial" w:cs="Arial"/>
                <w:bCs/>
                <w:sz w:val="16"/>
                <w:szCs w:val="16"/>
                <w:lang w:eastAsia="pt-BR"/>
              </w:rPr>
            </w:pPr>
            <w:r w:rsidRPr="0058331B">
              <w:rPr>
                <w:rFonts w:ascii="Arial" w:eastAsia="Times New Roman" w:hAnsi="Arial" w:cs="Arial"/>
                <w:bCs/>
                <w:sz w:val="16"/>
                <w:szCs w:val="16"/>
                <w:lang w:eastAsia="pt-BR"/>
              </w:rPr>
              <w:t>Número de pessoal de enfermagem e obstetrícia por 10 000 habitantes</w:t>
            </w:r>
          </w:p>
          <w:p w:rsidR="005051C9" w:rsidRPr="0058331B" w:rsidRDefault="005051C9" w:rsidP="005051C9">
            <w:pPr>
              <w:spacing w:after="0" w:line="240" w:lineRule="auto"/>
              <w:jc w:val="both"/>
              <w:rPr>
                <w:rFonts w:ascii="Arial" w:eastAsia="Times New Roman" w:hAnsi="Arial" w:cs="Arial"/>
                <w:bCs/>
                <w:sz w:val="16"/>
                <w:szCs w:val="16"/>
                <w:lang w:eastAsia="pt-BR"/>
              </w:rPr>
            </w:pPr>
          </w:p>
        </w:tc>
        <w:tc>
          <w:tcPr>
            <w:tcW w:w="1984" w:type="dxa"/>
            <w:tcBorders>
              <w:top w:val="nil"/>
              <w:left w:val="nil"/>
              <w:bottom w:val="nil"/>
              <w:right w:val="nil"/>
            </w:tcBorders>
            <w:shd w:val="clear" w:color="000000" w:fill="FCE4D6"/>
            <w:vAlign w:val="center"/>
          </w:tcPr>
          <w:p w:rsidR="005051C9" w:rsidRPr="0058331B" w:rsidRDefault="005051C9" w:rsidP="005051C9">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OMS</w:t>
            </w:r>
          </w:p>
        </w:tc>
        <w:tc>
          <w:tcPr>
            <w:tcW w:w="4792" w:type="dxa"/>
            <w:tcBorders>
              <w:top w:val="nil"/>
              <w:left w:val="nil"/>
              <w:bottom w:val="nil"/>
              <w:right w:val="nil"/>
            </w:tcBorders>
            <w:shd w:val="clear" w:color="000000" w:fill="FCE4D6"/>
            <w:vAlign w:val="center"/>
          </w:tcPr>
          <w:p w:rsidR="005051C9" w:rsidRPr="0058331B" w:rsidRDefault="00CF595B" w:rsidP="005051C9">
            <w:pPr>
              <w:rPr>
                <w:sz w:val="16"/>
                <w:szCs w:val="16"/>
              </w:rPr>
            </w:pPr>
            <w:hyperlink r:id="rId27" w:history="1">
              <w:r w:rsidR="005051C9" w:rsidRPr="0058331B">
                <w:rPr>
                  <w:rStyle w:val="Hyperlink"/>
                  <w:sz w:val="16"/>
                  <w:szCs w:val="16"/>
                </w:rPr>
                <w:t>http://apps.who.int/gho/data/node.wrapper.imr?x-id=3354</w:t>
              </w:r>
            </w:hyperlink>
          </w:p>
        </w:tc>
      </w:tr>
      <w:tr w:rsidR="005051C9" w:rsidRPr="0058331B" w:rsidTr="0058331B">
        <w:trPr>
          <w:trHeight w:val="719"/>
        </w:trPr>
        <w:tc>
          <w:tcPr>
            <w:tcW w:w="0" w:type="auto"/>
            <w:tcBorders>
              <w:top w:val="nil"/>
              <w:left w:val="nil"/>
              <w:bottom w:val="nil"/>
              <w:right w:val="nil"/>
            </w:tcBorders>
            <w:shd w:val="clear" w:color="000000" w:fill="FCE4D6"/>
            <w:vAlign w:val="center"/>
          </w:tcPr>
          <w:p w:rsidR="00452C2D" w:rsidRDefault="005051C9" w:rsidP="005051C9">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Densidade</w:t>
            </w:r>
            <w:r w:rsidR="00452C2D">
              <w:rPr>
                <w:rFonts w:ascii="Arial" w:eastAsia="Times New Roman" w:hAnsi="Arial" w:cs="Arial"/>
                <w:b/>
                <w:bCs/>
                <w:sz w:val="16"/>
                <w:szCs w:val="16"/>
                <w:lang w:eastAsia="pt-BR"/>
              </w:rPr>
              <w:t xml:space="preserve"> de</w:t>
            </w:r>
          </w:p>
          <w:p w:rsidR="00452C2D" w:rsidRDefault="005051C9" w:rsidP="005051C9">
            <w:pPr>
              <w:spacing w:after="0" w:line="240" w:lineRule="auto"/>
              <w:jc w:val="center"/>
              <w:rPr>
                <w:rFonts w:ascii="Arial" w:eastAsia="Times New Roman" w:hAnsi="Arial" w:cs="Arial"/>
                <w:b/>
                <w:bCs/>
                <w:sz w:val="16"/>
                <w:szCs w:val="16"/>
                <w:lang w:eastAsia="pt-BR"/>
              </w:rPr>
            </w:pPr>
            <w:proofErr w:type="gramStart"/>
            <w:r w:rsidRPr="0058331B">
              <w:rPr>
                <w:rFonts w:ascii="Arial" w:eastAsia="Times New Roman" w:hAnsi="Arial" w:cs="Arial"/>
                <w:b/>
                <w:bCs/>
                <w:sz w:val="16"/>
                <w:szCs w:val="16"/>
                <w:lang w:eastAsia="pt-BR"/>
              </w:rPr>
              <w:t>postos</w:t>
            </w:r>
            <w:proofErr w:type="gramEnd"/>
            <w:r w:rsidRPr="0058331B">
              <w:rPr>
                <w:rFonts w:ascii="Arial" w:eastAsia="Times New Roman" w:hAnsi="Arial" w:cs="Arial"/>
                <w:b/>
                <w:bCs/>
                <w:sz w:val="16"/>
                <w:szCs w:val="16"/>
                <w:lang w:eastAsia="pt-BR"/>
              </w:rPr>
              <w:t xml:space="preserve"> de saúde </w:t>
            </w:r>
          </w:p>
          <w:p w:rsidR="005051C9" w:rsidRPr="0058331B" w:rsidRDefault="005051C9" w:rsidP="005051C9">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(100 mil)</w:t>
            </w:r>
          </w:p>
        </w:tc>
        <w:tc>
          <w:tcPr>
            <w:tcW w:w="5256" w:type="dxa"/>
            <w:tcBorders>
              <w:top w:val="nil"/>
              <w:left w:val="nil"/>
              <w:bottom w:val="nil"/>
              <w:right w:val="nil"/>
            </w:tcBorders>
            <w:shd w:val="clear" w:color="000000" w:fill="FCE4D6"/>
            <w:vAlign w:val="center"/>
          </w:tcPr>
          <w:p w:rsidR="005051C9" w:rsidRPr="0058331B" w:rsidRDefault="005051C9" w:rsidP="005051C9">
            <w:pPr>
              <w:spacing w:after="0" w:line="240" w:lineRule="auto"/>
              <w:jc w:val="both"/>
              <w:rPr>
                <w:rFonts w:ascii="Arial" w:eastAsia="Times New Roman" w:hAnsi="Arial" w:cs="Arial"/>
                <w:bCs/>
                <w:sz w:val="16"/>
                <w:szCs w:val="16"/>
                <w:lang w:eastAsia="pt-BR"/>
              </w:rPr>
            </w:pPr>
            <w:r w:rsidRPr="0058331B">
              <w:rPr>
                <w:rFonts w:ascii="Arial" w:eastAsia="Times New Roman" w:hAnsi="Arial" w:cs="Arial"/>
                <w:bCs/>
                <w:sz w:val="16"/>
                <w:szCs w:val="16"/>
                <w:lang w:eastAsia="pt-BR"/>
              </w:rPr>
              <w:t>Número de postos de saúde dos setores público e privado, por 100.000 habitantes. Os postos de saúde são centros comunitários ou ambientes de saúde com um número muito limitado de leitos com recursos limitados de cuidados curativos e preventivos, normalmente assistidos por profissionais de saúde ou enfermeiros.</w:t>
            </w:r>
          </w:p>
          <w:p w:rsidR="005051C9" w:rsidRPr="0058331B" w:rsidRDefault="005051C9" w:rsidP="005051C9">
            <w:pPr>
              <w:spacing w:after="0" w:line="240" w:lineRule="auto"/>
              <w:jc w:val="both"/>
              <w:rPr>
                <w:rFonts w:ascii="Arial" w:eastAsia="Times New Roman" w:hAnsi="Arial" w:cs="Arial"/>
                <w:bCs/>
                <w:sz w:val="16"/>
                <w:szCs w:val="16"/>
                <w:lang w:eastAsia="pt-BR"/>
              </w:rPr>
            </w:pPr>
          </w:p>
        </w:tc>
        <w:tc>
          <w:tcPr>
            <w:tcW w:w="1984" w:type="dxa"/>
            <w:tcBorders>
              <w:top w:val="nil"/>
              <w:left w:val="nil"/>
              <w:bottom w:val="nil"/>
              <w:right w:val="nil"/>
            </w:tcBorders>
            <w:shd w:val="clear" w:color="000000" w:fill="FCE4D6"/>
            <w:vAlign w:val="center"/>
          </w:tcPr>
          <w:p w:rsidR="005051C9" w:rsidRPr="0058331B" w:rsidRDefault="005051C9" w:rsidP="005051C9">
            <w:pPr>
              <w:jc w:val="center"/>
              <w:rPr>
                <w:sz w:val="16"/>
                <w:szCs w:val="16"/>
              </w:rPr>
            </w:pPr>
            <w:r w:rsidRPr="0058331B">
              <w:rPr>
                <w:rFonts w:ascii="Arial" w:eastAsia="Times New Roman" w:hAnsi="Arial" w:cs="Arial"/>
                <w:b/>
                <w:bCs/>
                <w:sz w:val="16"/>
                <w:szCs w:val="16"/>
                <w:lang w:eastAsia="pt-BR"/>
              </w:rPr>
              <w:t>OMS</w:t>
            </w:r>
          </w:p>
        </w:tc>
        <w:tc>
          <w:tcPr>
            <w:tcW w:w="4792" w:type="dxa"/>
            <w:tcBorders>
              <w:top w:val="nil"/>
              <w:left w:val="nil"/>
              <w:bottom w:val="nil"/>
              <w:right w:val="nil"/>
            </w:tcBorders>
            <w:shd w:val="clear" w:color="000000" w:fill="FCE4D6"/>
            <w:vAlign w:val="center"/>
          </w:tcPr>
          <w:p w:rsidR="005051C9" w:rsidRPr="0058331B" w:rsidRDefault="00CF595B" w:rsidP="005051C9">
            <w:pPr>
              <w:rPr>
                <w:sz w:val="16"/>
                <w:szCs w:val="16"/>
              </w:rPr>
            </w:pPr>
            <w:hyperlink r:id="rId28" w:history="1">
              <w:r w:rsidR="005051C9" w:rsidRPr="0058331B">
                <w:rPr>
                  <w:rStyle w:val="Hyperlink"/>
                  <w:sz w:val="16"/>
                  <w:szCs w:val="16"/>
                </w:rPr>
                <w:t>http://apps.who.int/gho/data/node.wrapper.imr?x-id=3354</w:t>
              </w:r>
            </w:hyperlink>
          </w:p>
        </w:tc>
      </w:tr>
      <w:tr w:rsidR="005051C9" w:rsidRPr="0058331B" w:rsidTr="0058331B">
        <w:trPr>
          <w:trHeight w:val="843"/>
        </w:trPr>
        <w:tc>
          <w:tcPr>
            <w:tcW w:w="0" w:type="auto"/>
            <w:tcBorders>
              <w:top w:val="nil"/>
              <w:left w:val="nil"/>
              <w:bottom w:val="nil"/>
              <w:right w:val="nil"/>
            </w:tcBorders>
            <w:shd w:val="clear" w:color="000000" w:fill="FCE4D6"/>
            <w:vAlign w:val="center"/>
          </w:tcPr>
          <w:p w:rsidR="00452C2D" w:rsidRDefault="005051C9" w:rsidP="00452C2D">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 xml:space="preserve">Densidade </w:t>
            </w:r>
            <w:r w:rsidR="00452C2D">
              <w:rPr>
                <w:rFonts w:ascii="Arial" w:eastAsia="Times New Roman" w:hAnsi="Arial" w:cs="Arial"/>
                <w:b/>
                <w:bCs/>
                <w:sz w:val="16"/>
                <w:szCs w:val="16"/>
                <w:lang w:eastAsia="pt-BR"/>
              </w:rPr>
              <w:t xml:space="preserve">de </w:t>
            </w:r>
            <w:r w:rsidRPr="0058331B">
              <w:rPr>
                <w:rFonts w:ascii="Arial" w:eastAsia="Times New Roman" w:hAnsi="Arial" w:cs="Arial"/>
                <w:b/>
                <w:bCs/>
                <w:sz w:val="16"/>
                <w:szCs w:val="16"/>
                <w:lang w:eastAsia="pt-BR"/>
              </w:rPr>
              <w:t>centros de saúde</w:t>
            </w:r>
          </w:p>
          <w:p w:rsidR="005051C9" w:rsidRPr="0058331B" w:rsidRDefault="005051C9" w:rsidP="00452C2D">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(100 mil)</w:t>
            </w:r>
          </w:p>
        </w:tc>
        <w:tc>
          <w:tcPr>
            <w:tcW w:w="5256" w:type="dxa"/>
            <w:tcBorders>
              <w:top w:val="nil"/>
              <w:left w:val="nil"/>
              <w:bottom w:val="nil"/>
              <w:right w:val="nil"/>
            </w:tcBorders>
            <w:shd w:val="clear" w:color="000000" w:fill="FCE4D6"/>
            <w:vAlign w:val="center"/>
          </w:tcPr>
          <w:p w:rsidR="005051C9" w:rsidRPr="0058331B" w:rsidRDefault="005051C9" w:rsidP="000B72A8">
            <w:pPr>
              <w:spacing w:after="0" w:line="240" w:lineRule="auto"/>
              <w:jc w:val="both"/>
              <w:rPr>
                <w:rFonts w:ascii="Arial" w:eastAsia="Times New Roman" w:hAnsi="Arial" w:cs="Arial"/>
                <w:bCs/>
                <w:sz w:val="16"/>
                <w:szCs w:val="16"/>
                <w:lang w:eastAsia="pt-BR"/>
              </w:rPr>
            </w:pPr>
            <w:r w:rsidRPr="0058331B">
              <w:rPr>
                <w:rFonts w:ascii="Arial" w:eastAsia="Times New Roman" w:hAnsi="Arial" w:cs="Arial"/>
                <w:bCs/>
                <w:sz w:val="16"/>
                <w:szCs w:val="16"/>
                <w:lang w:eastAsia="pt-BR"/>
              </w:rPr>
              <w:t xml:space="preserve">Número de centros de saúde ambulatoriais, por 100.000 habitantes. Os centros de saúde ambulatoriais são instalações que se concentram no gerenciamento de cuidados clínicos em nível ambulatorial. Composto por departamentos ambulatoriais de hospitais, atenção primária à saúde e unidades de saúde </w:t>
            </w:r>
            <w:r w:rsidR="000B72A8">
              <w:rPr>
                <w:rFonts w:ascii="Arial" w:eastAsia="Times New Roman" w:hAnsi="Arial" w:cs="Arial"/>
                <w:bCs/>
                <w:sz w:val="16"/>
                <w:szCs w:val="16"/>
                <w:lang w:eastAsia="pt-BR"/>
              </w:rPr>
              <w:t>comunitárias, incluindo centros-</w:t>
            </w:r>
            <w:r w:rsidRPr="0058331B">
              <w:rPr>
                <w:rFonts w:ascii="Arial" w:eastAsia="Times New Roman" w:hAnsi="Arial" w:cs="Arial"/>
                <w:bCs/>
                <w:sz w:val="16"/>
                <w:szCs w:val="16"/>
                <w:lang w:eastAsia="pt-BR"/>
              </w:rPr>
              <w:t>dia</w:t>
            </w:r>
          </w:p>
        </w:tc>
        <w:tc>
          <w:tcPr>
            <w:tcW w:w="1984" w:type="dxa"/>
            <w:tcBorders>
              <w:top w:val="nil"/>
              <w:left w:val="nil"/>
              <w:bottom w:val="nil"/>
              <w:right w:val="nil"/>
            </w:tcBorders>
            <w:shd w:val="clear" w:color="000000" w:fill="FCE4D6"/>
            <w:vAlign w:val="center"/>
          </w:tcPr>
          <w:p w:rsidR="005051C9" w:rsidRPr="0058331B" w:rsidRDefault="005051C9" w:rsidP="005051C9">
            <w:pPr>
              <w:jc w:val="center"/>
              <w:rPr>
                <w:sz w:val="16"/>
                <w:szCs w:val="16"/>
              </w:rPr>
            </w:pPr>
            <w:r w:rsidRPr="0058331B">
              <w:rPr>
                <w:rFonts w:ascii="Arial" w:eastAsia="Times New Roman" w:hAnsi="Arial" w:cs="Arial"/>
                <w:b/>
                <w:bCs/>
                <w:sz w:val="16"/>
                <w:szCs w:val="16"/>
                <w:lang w:eastAsia="pt-BR"/>
              </w:rPr>
              <w:t>OMS</w:t>
            </w:r>
          </w:p>
        </w:tc>
        <w:tc>
          <w:tcPr>
            <w:tcW w:w="4792" w:type="dxa"/>
            <w:tcBorders>
              <w:top w:val="nil"/>
              <w:left w:val="nil"/>
              <w:bottom w:val="nil"/>
              <w:right w:val="nil"/>
            </w:tcBorders>
            <w:shd w:val="clear" w:color="000000" w:fill="FCE4D6"/>
            <w:vAlign w:val="center"/>
          </w:tcPr>
          <w:p w:rsidR="005051C9" w:rsidRPr="0058331B" w:rsidRDefault="00CF595B" w:rsidP="005051C9">
            <w:pPr>
              <w:rPr>
                <w:sz w:val="16"/>
                <w:szCs w:val="16"/>
              </w:rPr>
            </w:pPr>
            <w:hyperlink r:id="rId29" w:history="1">
              <w:r w:rsidR="005051C9" w:rsidRPr="0058331B">
                <w:rPr>
                  <w:rStyle w:val="Hyperlink"/>
                  <w:sz w:val="16"/>
                  <w:szCs w:val="16"/>
                </w:rPr>
                <w:t>http://apps.who.int/gho/data/node.wrapper.imr?x-id=3354</w:t>
              </w:r>
            </w:hyperlink>
          </w:p>
        </w:tc>
      </w:tr>
      <w:tr w:rsidR="005051C9" w:rsidRPr="0058331B" w:rsidTr="0058331B">
        <w:trPr>
          <w:trHeight w:val="854"/>
        </w:trPr>
        <w:tc>
          <w:tcPr>
            <w:tcW w:w="0" w:type="auto"/>
            <w:tcBorders>
              <w:top w:val="nil"/>
              <w:left w:val="nil"/>
              <w:bottom w:val="nil"/>
              <w:right w:val="nil"/>
            </w:tcBorders>
            <w:shd w:val="clear" w:color="000000" w:fill="FCE4D6"/>
            <w:vAlign w:val="center"/>
          </w:tcPr>
          <w:p w:rsidR="005051C9" w:rsidRPr="0058331B" w:rsidRDefault="005051C9" w:rsidP="005051C9">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 xml:space="preserve">Densidade </w:t>
            </w:r>
            <w:r w:rsidR="00452C2D">
              <w:rPr>
                <w:rFonts w:ascii="Arial" w:eastAsia="Times New Roman" w:hAnsi="Arial" w:cs="Arial"/>
                <w:b/>
                <w:bCs/>
                <w:sz w:val="16"/>
                <w:szCs w:val="16"/>
                <w:lang w:eastAsia="pt-BR"/>
              </w:rPr>
              <w:t xml:space="preserve">de </w:t>
            </w:r>
            <w:r w:rsidRPr="0058331B">
              <w:rPr>
                <w:rFonts w:ascii="Arial" w:eastAsia="Times New Roman" w:hAnsi="Arial" w:cs="Arial"/>
                <w:b/>
                <w:bCs/>
                <w:sz w:val="16"/>
                <w:szCs w:val="16"/>
                <w:lang w:eastAsia="pt-BR"/>
              </w:rPr>
              <w:t xml:space="preserve">leitos hospitalares </w:t>
            </w:r>
            <w:r w:rsidRPr="0058331B">
              <w:rPr>
                <w:rFonts w:ascii="Arial" w:eastAsia="Times New Roman" w:hAnsi="Arial" w:cs="Arial"/>
                <w:b/>
                <w:bCs/>
                <w:sz w:val="16"/>
                <w:szCs w:val="16"/>
                <w:lang w:eastAsia="pt-BR"/>
              </w:rPr>
              <w:br/>
              <w:t>(10 mil)</w:t>
            </w:r>
          </w:p>
        </w:tc>
        <w:tc>
          <w:tcPr>
            <w:tcW w:w="5256" w:type="dxa"/>
            <w:tcBorders>
              <w:top w:val="nil"/>
              <w:left w:val="nil"/>
              <w:bottom w:val="nil"/>
              <w:right w:val="nil"/>
            </w:tcBorders>
            <w:shd w:val="clear" w:color="000000" w:fill="FCE4D6"/>
            <w:vAlign w:val="center"/>
          </w:tcPr>
          <w:p w:rsidR="005051C9" w:rsidRPr="0058331B" w:rsidRDefault="005051C9" w:rsidP="005051C9">
            <w:pPr>
              <w:spacing w:after="0" w:line="240" w:lineRule="auto"/>
              <w:jc w:val="both"/>
              <w:rPr>
                <w:rFonts w:ascii="Arial" w:eastAsia="Times New Roman" w:hAnsi="Arial" w:cs="Arial"/>
                <w:bCs/>
                <w:sz w:val="16"/>
                <w:szCs w:val="16"/>
                <w:lang w:eastAsia="pt-BR"/>
              </w:rPr>
            </w:pPr>
            <w:r w:rsidRPr="0058331B">
              <w:rPr>
                <w:rFonts w:ascii="Arial" w:eastAsia="Times New Roman" w:hAnsi="Arial" w:cs="Arial"/>
                <w:bCs/>
                <w:sz w:val="16"/>
                <w:szCs w:val="16"/>
                <w:lang w:eastAsia="pt-BR"/>
              </w:rPr>
              <w:t>O número de leitos hospitalares disponíveis para cada 10.000 habitantes em uma população</w:t>
            </w:r>
          </w:p>
          <w:p w:rsidR="005051C9" w:rsidRPr="0058331B" w:rsidRDefault="005051C9" w:rsidP="005051C9">
            <w:pPr>
              <w:spacing w:after="0" w:line="240" w:lineRule="auto"/>
              <w:jc w:val="both"/>
              <w:rPr>
                <w:rFonts w:ascii="Arial" w:eastAsia="Times New Roman" w:hAnsi="Arial" w:cs="Arial"/>
                <w:bCs/>
                <w:sz w:val="16"/>
                <w:szCs w:val="16"/>
                <w:lang w:eastAsia="pt-BR"/>
              </w:rPr>
            </w:pPr>
          </w:p>
        </w:tc>
        <w:tc>
          <w:tcPr>
            <w:tcW w:w="1984" w:type="dxa"/>
            <w:tcBorders>
              <w:top w:val="nil"/>
              <w:left w:val="nil"/>
              <w:bottom w:val="nil"/>
              <w:right w:val="nil"/>
            </w:tcBorders>
            <w:shd w:val="clear" w:color="000000" w:fill="FCE4D6"/>
            <w:vAlign w:val="center"/>
          </w:tcPr>
          <w:p w:rsidR="005051C9" w:rsidRPr="0058331B" w:rsidRDefault="005051C9" w:rsidP="005051C9">
            <w:pPr>
              <w:jc w:val="center"/>
              <w:rPr>
                <w:sz w:val="16"/>
                <w:szCs w:val="16"/>
              </w:rPr>
            </w:pPr>
            <w:r w:rsidRPr="0058331B">
              <w:rPr>
                <w:rFonts w:ascii="Arial" w:eastAsia="Times New Roman" w:hAnsi="Arial" w:cs="Arial"/>
                <w:b/>
                <w:bCs/>
                <w:sz w:val="16"/>
                <w:szCs w:val="16"/>
                <w:lang w:eastAsia="pt-BR"/>
              </w:rPr>
              <w:t>OMS</w:t>
            </w:r>
          </w:p>
        </w:tc>
        <w:tc>
          <w:tcPr>
            <w:tcW w:w="4792" w:type="dxa"/>
            <w:tcBorders>
              <w:top w:val="nil"/>
              <w:left w:val="nil"/>
              <w:bottom w:val="nil"/>
              <w:right w:val="nil"/>
            </w:tcBorders>
            <w:shd w:val="clear" w:color="000000" w:fill="FCE4D6"/>
            <w:vAlign w:val="center"/>
          </w:tcPr>
          <w:p w:rsidR="005051C9" w:rsidRPr="0058331B" w:rsidRDefault="00CF595B" w:rsidP="005051C9">
            <w:pPr>
              <w:rPr>
                <w:sz w:val="16"/>
                <w:szCs w:val="16"/>
              </w:rPr>
            </w:pPr>
            <w:hyperlink r:id="rId30" w:history="1">
              <w:r w:rsidR="005051C9" w:rsidRPr="0058331B">
                <w:rPr>
                  <w:rStyle w:val="Hyperlink"/>
                  <w:sz w:val="16"/>
                  <w:szCs w:val="16"/>
                </w:rPr>
                <w:t>http://apps.who.int/gho/data/node.wrapper.imr?x-id=3354</w:t>
              </w:r>
            </w:hyperlink>
          </w:p>
        </w:tc>
      </w:tr>
      <w:tr w:rsidR="005051C9" w:rsidRPr="0058331B" w:rsidTr="0058331B">
        <w:trPr>
          <w:trHeight w:val="853"/>
        </w:trPr>
        <w:tc>
          <w:tcPr>
            <w:tcW w:w="0" w:type="auto"/>
            <w:tcBorders>
              <w:top w:val="nil"/>
              <w:left w:val="nil"/>
              <w:bottom w:val="nil"/>
              <w:right w:val="nil"/>
            </w:tcBorders>
            <w:shd w:val="clear" w:color="000000" w:fill="FCE4D6"/>
            <w:vAlign w:val="center"/>
          </w:tcPr>
          <w:p w:rsidR="005051C9" w:rsidRPr="0058331B" w:rsidRDefault="005051C9" w:rsidP="00587F3A">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 xml:space="preserve">Densidade </w:t>
            </w:r>
            <w:r w:rsidR="00452C2D">
              <w:rPr>
                <w:rFonts w:ascii="Arial" w:eastAsia="Times New Roman" w:hAnsi="Arial" w:cs="Arial"/>
                <w:b/>
                <w:bCs/>
                <w:sz w:val="16"/>
                <w:szCs w:val="16"/>
                <w:lang w:eastAsia="pt-BR"/>
              </w:rPr>
              <w:t xml:space="preserve">de </w:t>
            </w:r>
            <w:r w:rsidRPr="0058331B">
              <w:rPr>
                <w:rFonts w:ascii="Arial" w:eastAsia="Times New Roman" w:hAnsi="Arial" w:cs="Arial"/>
                <w:b/>
                <w:bCs/>
                <w:sz w:val="16"/>
                <w:szCs w:val="16"/>
                <w:lang w:eastAsia="pt-BR"/>
              </w:rPr>
              <w:t>hospitais</w:t>
            </w:r>
            <w:r w:rsidR="00587F3A">
              <w:rPr>
                <w:rFonts w:ascii="Arial" w:eastAsia="Times New Roman" w:hAnsi="Arial" w:cs="Arial"/>
                <w:b/>
                <w:bCs/>
                <w:sz w:val="16"/>
                <w:szCs w:val="16"/>
                <w:lang w:eastAsia="pt-BR"/>
              </w:rPr>
              <w:t xml:space="preserve"> </w:t>
            </w:r>
            <w:r w:rsidRPr="0058331B">
              <w:rPr>
                <w:rFonts w:ascii="Arial" w:eastAsia="Times New Roman" w:hAnsi="Arial" w:cs="Arial"/>
                <w:b/>
                <w:bCs/>
                <w:sz w:val="16"/>
                <w:szCs w:val="16"/>
                <w:lang w:eastAsia="pt-BR"/>
              </w:rPr>
              <w:t>(100 mil)</w:t>
            </w:r>
          </w:p>
        </w:tc>
        <w:tc>
          <w:tcPr>
            <w:tcW w:w="5256" w:type="dxa"/>
            <w:tcBorders>
              <w:top w:val="nil"/>
              <w:left w:val="nil"/>
              <w:bottom w:val="nil"/>
              <w:right w:val="nil"/>
            </w:tcBorders>
            <w:shd w:val="clear" w:color="000000" w:fill="FCE4D6"/>
            <w:vAlign w:val="center"/>
          </w:tcPr>
          <w:p w:rsidR="005051C9" w:rsidRPr="0058331B" w:rsidRDefault="005051C9" w:rsidP="005051C9">
            <w:pPr>
              <w:spacing w:after="0" w:line="240" w:lineRule="auto"/>
              <w:jc w:val="both"/>
              <w:rPr>
                <w:rFonts w:ascii="Arial" w:eastAsia="Times New Roman" w:hAnsi="Arial" w:cs="Arial"/>
                <w:bCs/>
                <w:sz w:val="16"/>
                <w:szCs w:val="16"/>
                <w:lang w:eastAsia="pt-BR"/>
              </w:rPr>
            </w:pPr>
            <w:r w:rsidRPr="0058331B">
              <w:rPr>
                <w:rFonts w:ascii="Arial" w:eastAsia="Times New Roman" w:hAnsi="Arial" w:cs="Arial"/>
                <w:bCs/>
                <w:sz w:val="16"/>
                <w:szCs w:val="16"/>
                <w:lang w:eastAsia="pt-BR"/>
              </w:rPr>
              <w:t>Número de hospitais, incluindo as seguintes categorias hospitalares: rural e distrital, provincial (referência de segundo nível), regional / especializado / hospitais de ensino e pesquisa (atenção terciária), dos setores público e privado, por 100.000 habitantes.</w:t>
            </w:r>
          </w:p>
        </w:tc>
        <w:tc>
          <w:tcPr>
            <w:tcW w:w="1984" w:type="dxa"/>
            <w:tcBorders>
              <w:top w:val="nil"/>
              <w:left w:val="nil"/>
              <w:bottom w:val="nil"/>
              <w:right w:val="nil"/>
            </w:tcBorders>
            <w:shd w:val="clear" w:color="000000" w:fill="FCE4D6"/>
            <w:vAlign w:val="center"/>
          </w:tcPr>
          <w:p w:rsidR="005051C9" w:rsidRPr="0058331B" w:rsidRDefault="005051C9" w:rsidP="005051C9">
            <w:pPr>
              <w:jc w:val="center"/>
              <w:rPr>
                <w:sz w:val="16"/>
                <w:szCs w:val="16"/>
              </w:rPr>
            </w:pPr>
            <w:r w:rsidRPr="0058331B">
              <w:rPr>
                <w:rFonts w:ascii="Arial" w:eastAsia="Times New Roman" w:hAnsi="Arial" w:cs="Arial"/>
                <w:b/>
                <w:bCs/>
                <w:sz w:val="16"/>
                <w:szCs w:val="16"/>
                <w:lang w:eastAsia="pt-BR"/>
              </w:rPr>
              <w:t>OMS</w:t>
            </w:r>
          </w:p>
        </w:tc>
        <w:tc>
          <w:tcPr>
            <w:tcW w:w="4792" w:type="dxa"/>
            <w:tcBorders>
              <w:top w:val="nil"/>
              <w:left w:val="nil"/>
              <w:bottom w:val="nil"/>
              <w:right w:val="nil"/>
            </w:tcBorders>
            <w:shd w:val="clear" w:color="000000" w:fill="FCE4D6"/>
            <w:vAlign w:val="center"/>
          </w:tcPr>
          <w:p w:rsidR="005051C9" w:rsidRPr="0058331B" w:rsidRDefault="00CF595B" w:rsidP="005051C9">
            <w:pPr>
              <w:rPr>
                <w:sz w:val="16"/>
                <w:szCs w:val="16"/>
              </w:rPr>
            </w:pPr>
            <w:hyperlink r:id="rId31" w:history="1">
              <w:r w:rsidR="005051C9" w:rsidRPr="0058331B">
                <w:rPr>
                  <w:rStyle w:val="Hyperlink"/>
                  <w:sz w:val="16"/>
                  <w:szCs w:val="16"/>
                </w:rPr>
                <w:t>http://apps.who.int/gho/data/node.wrapper.imr?x-id=3354</w:t>
              </w:r>
            </w:hyperlink>
          </w:p>
        </w:tc>
      </w:tr>
      <w:tr w:rsidR="005051C9" w:rsidRPr="0058331B" w:rsidTr="0058331B">
        <w:trPr>
          <w:trHeight w:val="1035"/>
        </w:trPr>
        <w:tc>
          <w:tcPr>
            <w:tcW w:w="0" w:type="auto"/>
            <w:tcBorders>
              <w:top w:val="nil"/>
              <w:left w:val="nil"/>
              <w:bottom w:val="nil"/>
              <w:right w:val="nil"/>
            </w:tcBorders>
            <w:shd w:val="clear" w:color="000000" w:fill="FCE4D6"/>
            <w:vAlign w:val="center"/>
          </w:tcPr>
          <w:p w:rsidR="00452C2D" w:rsidRDefault="005051C9" w:rsidP="00452C2D">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Consultas</w:t>
            </w:r>
          </w:p>
          <w:p w:rsidR="005051C9" w:rsidRPr="0058331B" w:rsidRDefault="005051C9" w:rsidP="00452C2D">
            <w:pPr>
              <w:spacing w:after="0" w:line="240" w:lineRule="auto"/>
              <w:jc w:val="center"/>
              <w:rPr>
                <w:rFonts w:ascii="Arial" w:eastAsia="Times New Roman" w:hAnsi="Arial" w:cs="Arial"/>
                <w:b/>
                <w:bCs/>
                <w:sz w:val="16"/>
                <w:szCs w:val="16"/>
                <w:lang w:eastAsia="pt-BR"/>
              </w:rPr>
            </w:pPr>
            <w:proofErr w:type="gramStart"/>
            <w:r w:rsidRPr="0058331B">
              <w:rPr>
                <w:rFonts w:ascii="Arial" w:eastAsia="Times New Roman" w:hAnsi="Arial" w:cs="Arial"/>
                <w:b/>
                <w:bCs/>
                <w:sz w:val="16"/>
                <w:szCs w:val="16"/>
                <w:lang w:eastAsia="pt-BR"/>
              </w:rPr>
              <w:t>per</w:t>
            </w:r>
            <w:proofErr w:type="gramEnd"/>
            <w:r w:rsidRPr="0058331B">
              <w:rPr>
                <w:rFonts w:ascii="Arial" w:eastAsia="Times New Roman" w:hAnsi="Arial" w:cs="Arial"/>
                <w:b/>
                <w:bCs/>
                <w:sz w:val="16"/>
                <w:szCs w:val="16"/>
                <w:lang w:eastAsia="pt-BR"/>
              </w:rPr>
              <w:t xml:space="preserve"> capita*</w:t>
            </w:r>
          </w:p>
        </w:tc>
        <w:tc>
          <w:tcPr>
            <w:tcW w:w="5256" w:type="dxa"/>
            <w:tcBorders>
              <w:top w:val="nil"/>
              <w:left w:val="nil"/>
              <w:bottom w:val="nil"/>
              <w:right w:val="nil"/>
            </w:tcBorders>
            <w:shd w:val="clear" w:color="000000" w:fill="FCE4D6"/>
            <w:vAlign w:val="center"/>
          </w:tcPr>
          <w:p w:rsidR="005051C9" w:rsidRPr="00587F3A" w:rsidRDefault="00B36697" w:rsidP="00587F3A">
            <w:pPr>
              <w:spacing w:after="0" w:line="240" w:lineRule="auto"/>
              <w:jc w:val="both"/>
              <w:rPr>
                <w:rFonts w:ascii="Arial" w:eastAsia="Times New Roman" w:hAnsi="Arial" w:cs="Arial"/>
                <w:bCs/>
                <w:sz w:val="16"/>
                <w:szCs w:val="16"/>
                <w:lang w:eastAsia="pt-BR"/>
              </w:rPr>
            </w:pPr>
            <w:r w:rsidRPr="00587F3A">
              <w:rPr>
                <w:rFonts w:ascii="Arial" w:eastAsia="Times New Roman" w:hAnsi="Arial" w:cs="Arial"/>
                <w:bCs/>
                <w:sz w:val="16"/>
                <w:szCs w:val="16"/>
                <w:lang w:eastAsia="pt-BR"/>
              </w:rPr>
              <w:t>Número médio de consultas / visitas com um médico por pessoa, po</w:t>
            </w:r>
            <w:r w:rsidR="00474243" w:rsidRPr="00587F3A">
              <w:rPr>
                <w:rFonts w:ascii="Arial" w:eastAsia="Times New Roman" w:hAnsi="Arial" w:cs="Arial"/>
                <w:bCs/>
                <w:sz w:val="16"/>
                <w:szCs w:val="16"/>
                <w:lang w:eastAsia="pt-BR"/>
              </w:rPr>
              <w:t>r ano</w:t>
            </w:r>
          </w:p>
        </w:tc>
        <w:tc>
          <w:tcPr>
            <w:tcW w:w="1984" w:type="dxa"/>
            <w:tcBorders>
              <w:top w:val="nil"/>
              <w:left w:val="nil"/>
              <w:bottom w:val="nil"/>
              <w:right w:val="nil"/>
            </w:tcBorders>
            <w:shd w:val="clear" w:color="000000" w:fill="FCE4D6"/>
            <w:vAlign w:val="center"/>
          </w:tcPr>
          <w:p w:rsidR="005051C9" w:rsidRPr="0058331B" w:rsidRDefault="005051C9" w:rsidP="005051C9">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Commonwealth</w:t>
            </w:r>
          </w:p>
        </w:tc>
        <w:tc>
          <w:tcPr>
            <w:tcW w:w="4792" w:type="dxa"/>
            <w:tcBorders>
              <w:top w:val="nil"/>
              <w:left w:val="nil"/>
              <w:bottom w:val="nil"/>
              <w:right w:val="nil"/>
            </w:tcBorders>
            <w:shd w:val="clear" w:color="000000" w:fill="FCE4D6"/>
            <w:vAlign w:val="center"/>
          </w:tcPr>
          <w:p w:rsidR="005051C9" w:rsidRDefault="00CF595B" w:rsidP="005051C9">
            <w:pPr>
              <w:rPr>
                <w:rStyle w:val="Hyperlink"/>
                <w:sz w:val="16"/>
                <w:szCs w:val="16"/>
              </w:rPr>
            </w:pPr>
            <w:hyperlink r:id="rId32" w:history="1">
              <w:r w:rsidR="005051C9" w:rsidRPr="0058331B">
                <w:rPr>
                  <w:rStyle w:val="Hyperlink"/>
                  <w:sz w:val="16"/>
                  <w:szCs w:val="16"/>
                </w:rPr>
                <w:t>https://international.commonwealthfund.org/stats</w:t>
              </w:r>
            </w:hyperlink>
          </w:p>
          <w:p w:rsidR="00474243" w:rsidRPr="0058331B" w:rsidRDefault="00474243" w:rsidP="005051C9">
            <w:pPr>
              <w:rPr>
                <w:sz w:val="16"/>
                <w:szCs w:val="16"/>
              </w:rPr>
            </w:pPr>
            <w:r>
              <w:rPr>
                <w:rStyle w:val="Hyperlink"/>
                <w:sz w:val="16"/>
                <w:szCs w:val="16"/>
              </w:rPr>
              <w:t>OCDE</w:t>
            </w:r>
          </w:p>
        </w:tc>
      </w:tr>
      <w:tr w:rsidR="005051C9" w:rsidRPr="0058331B" w:rsidTr="0058331B">
        <w:trPr>
          <w:trHeight w:val="1035"/>
        </w:trPr>
        <w:tc>
          <w:tcPr>
            <w:tcW w:w="0" w:type="auto"/>
            <w:tcBorders>
              <w:top w:val="nil"/>
              <w:left w:val="nil"/>
              <w:bottom w:val="nil"/>
              <w:right w:val="nil"/>
            </w:tcBorders>
            <w:shd w:val="clear" w:color="000000" w:fill="FCE4D6"/>
            <w:vAlign w:val="center"/>
          </w:tcPr>
          <w:p w:rsidR="005051C9" w:rsidRPr="0058331B" w:rsidRDefault="005051C9" w:rsidP="005051C9">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Barreiras ao acesso – custo*</w:t>
            </w:r>
          </w:p>
        </w:tc>
        <w:tc>
          <w:tcPr>
            <w:tcW w:w="5256" w:type="dxa"/>
            <w:tcBorders>
              <w:top w:val="nil"/>
              <w:left w:val="nil"/>
              <w:bottom w:val="nil"/>
              <w:right w:val="nil"/>
            </w:tcBorders>
            <w:shd w:val="clear" w:color="000000" w:fill="FCE4D6"/>
            <w:vAlign w:val="center"/>
          </w:tcPr>
          <w:p w:rsidR="005051C9" w:rsidRPr="00587F3A" w:rsidRDefault="00474243" w:rsidP="00587F3A">
            <w:pPr>
              <w:spacing w:after="0" w:line="240" w:lineRule="auto"/>
              <w:jc w:val="both"/>
              <w:rPr>
                <w:rFonts w:ascii="Arial" w:eastAsia="Times New Roman" w:hAnsi="Arial" w:cs="Arial"/>
                <w:bCs/>
                <w:sz w:val="16"/>
                <w:szCs w:val="16"/>
                <w:lang w:eastAsia="pt-BR"/>
              </w:rPr>
            </w:pPr>
            <w:r w:rsidRPr="00587F3A">
              <w:rPr>
                <w:rFonts w:ascii="Arial" w:eastAsia="Times New Roman" w:hAnsi="Arial" w:cs="Arial"/>
                <w:bCs/>
                <w:sz w:val="16"/>
                <w:szCs w:val="16"/>
                <w:lang w:eastAsia="pt-BR"/>
              </w:rPr>
              <w:t>Existência de problema de saúde, com impossibilidade de realização de consulta médica, devido ao custo</w:t>
            </w:r>
          </w:p>
        </w:tc>
        <w:tc>
          <w:tcPr>
            <w:tcW w:w="1984" w:type="dxa"/>
            <w:tcBorders>
              <w:top w:val="nil"/>
              <w:left w:val="nil"/>
              <w:bottom w:val="nil"/>
              <w:right w:val="nil"/>
            </w:tcBorders>
            <w:shd w:val="clear" w:color="000000" w:fill="FCE4D6"/>
            <w:vAlign w:val="center"/>
          </w:tcPr>
          <w:p w:rsidR="005051C9" w:rsidRPr="0058331B" w:rsidRDefault="005051C9" w:rsidP="005051C9">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Commonwealth</w:t>
            </w:r>
          </w:p>
        </w:tc>
        <w:tc>
          <w:tcPr>
            <w:tcW w:w="4792" w:type="dxa"/>
            <w:tcBorders>
              <w:top w:val="nil"/>
              <w:left w:val="nil"/>
              <w:bottom w:val="nil"/>
              <w:right w:val="nil"/>
            </w:tcBorders>
            <w:shd w:val="clear" w:color="000000" w:fill="FCE4D6"/>
            <w:vAlign w:val="center"/>
          </w:tcPr>
          <w:p w:rsidR="005051C9" w:rsidRDefault="00CF595B" w:rsidP="005051C9">
            <w:pPr>
              <w:rPr>
                <w:rStyle w:val="Hyperlink"/>
                <w:sz w:val="16"/>
                <w:szCs w:val="16"/>
              </w:rPr>
            </w:pPr>
            <w:hyperlink r:id="rId33" w:history="1">
              <w:r w:rsidR="005051C9" w:rsidRPr="0058331B">
                <w:rPr>
                  <w:rStyle w:val="Hyperlink"/>
                  <w:sz w:val="16"/>
                  <w:szCs w:val="16"/>
                </w:rPr>
                <w:t>https://international.commonwealthfund.org/stats</w:t>
              </w:r>
            </w:hyperlink>
          </w:p>
          <w:p w:rsidR="00474243" w:rsidRPr="0058331B" w:rsidRDefault="00474243" w:rsidP="005051C9">
            <w:pPr>
              <w:rPr>
                <w:sz w:val="16"/>
                <w:szCs w:val="16"/>
              </w:rPr>
            </w:pPr>
            <w:r>
              <w:rPr>
                <w:sz w:val="16"/>
                <w:szCs w:val="16"/>
              </w:rPr>
              <w:t>Inquérito de saúde - 2016</w:t>
            </w:r>
          </w:p>
        </w:tc>
      </w:tr>
    </w:tbl>
    <w:p w:rsidR="00562E70" w:rsidRDefault="00562E70" w:rsidP="00D709AD">
      <w:pPr>
        <w:spacing w:line="360" w:lineRule="auto"/>
        <w:ind w:left="360"/>
        <w:jc w:val="both"/>
      </w:pPr>
    </w:p>
    <w:tbl>
      <w:tblPr>
        <w:tblW w:w="0" w:type="auto"/>
        <w:tblCellMar>
          <w:left w:w="70" w:type="dxa"/>
          <w:right w:w="70" w:type="dxa"/>
        </w:tblCellMar>
        <w:tblLook w:val="04A0" w:firstRow="1" w:lastRow="0" w:firstColumn="1" w:lastColumn="0" w:noHBand="0" w:noVBand="1"/>
      </w:tblPr>
      <w:tblGrid>
        <w:gridCol w:w="2274"/>
        <w:gridCol w:w="5806"/>
        <w:gridCol w:w="1559"/>
        <w:gridCol w:w="4365"/>
      </w:tblGrid>
      <w:tr w:rsidR="009D4395" w:rsidRPr="0058331B" w:rsidTr="00954C25">
        <w:trPr>
          <w:trHeight w:val="700"/>
        </w:trPr>
        <w:tc>
          <w:tcPr>
            <w:tcW w:w="2274" w:type="dxa"/>
            <w:tcBorders>
              <w:top w:val="nil"/>
              <w:left w:val="nil"/>
              <w:bottom w:val="nil"/>
              <w:right w:val="nil"/>
            </w:tcBorders>
            <w:shd w:val="clear" w:color="000000" w:fill="E2EFDA"/>
            <w:vAlign w:val="center"/>
          </w:tcPr>
          <w:p w:rsidR="009D4395" w:rsidRPr="0058331B" w:rsidRDefault="00A8046E" w:rsidP="0058331B">
            <w:pPr>
              <w:spacing w:after="0" w:line="240" w:lineRule="auto"/>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Variáveis – resultados intermediários</w:t>
            </w:r>
          </w:p>
        </w:tc>
        <w:tc>
          <w:tcPr>
            <w:tcW w:w="5806" w:type="dxa"/>
            <w:tcBorders>
              <w:top w:val="nil"/>
              <w:left w:val="nil"/>
              <w:bottom w:val="nil"/>
              <w:right w:val="nil"/>
            </w:tcBorders>
            <w:shd w:val="clear" w:color="000000" w:fill="E2EFDA"/>
            <w:vAlign w:val="center"/>
          </w:tcPr>
          <w:p w:rsidR="009D4395" w:rsidRPr="0058331B" w:rsidRDefault="009D4395" w:rsidP="00B36697">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Descrição</w:t>
            </w:r>
          </w:p>
        </w:tc>
        <w:tc>
          <w:tcPr>
            <w:tcW w:w="1559" w:type="dxa"/>
            <w:tcBorders>
              <w:top w:val="nil"/>
              <w:left w:val="nil"/>
              <w:bottom w:val="nil"/>
              <w:right w:val="nil"/>
            </w:tcBorders>
            <w:shd w:val="clear" w:color="000000" w:fill="E2EFDA"/>
            <w:vAlign w:val="center"/>
          </w:tcPr>
          <w:p w:rsidR="009D4395" w:rsidRPr="0058331B" w:rsidRDefault="009D4395" w:rsidP="0006025B">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Fonte</w:t>
            </w:r>
          </w:p>
        </w:tc>
        <w:tc>
          <w:tcPr>
            <w:tcW w:w="4365" w:type="dxa"/>
            <w:tcBorders>
              <w:top w:val="nil"/>
              <w:left w:val="nil"/>
              <w:bottom w:val="nil"/>
              <w:right w:val="nil"/>
            </w:tcBorders>
            <w:shd w:val="clear" w:color="000000" w:fill="E2EFDA"/>
            <w:vAlign w:val="center"/>
          </w:tcPr>
          <w:p w:rsidR="009D4395" w:rsidRPr="0058331B" w:rsidRDefault="009D4395" w:rsidP="00B36697">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Link</w:t>
            </w:r>
          </w:p>
        </w:tc>
      </w:tr>
      <w:tr w:rsidR="005051C9" w:rsidRPr="0058331B" w:rsidTr="00954C25">
        <w:trPr>
          <w:trHeight w:val="1035"/>
        </w:trPr>
        <w:tc>
          <w:tcPr>
            <w:tcW w:w="2274" w:type="dxa"/>
            <w:tcBorders>
              <w:top w:val="nil"/>
              <w:left w:val="nil"/>
              <w:bottom w:val="nil"/>
              <w:right w:val="nil"/>
            </w:tcBorders>
            <w:shd w:val="clear" w:color="000000" w:fill="E2EFDA"/>
            <w:vAlign w:val="center"/>
            <w:hideMark/>
          </w:tcPr>
          <w:p w:rsidR="005051C9" w:rsidRPr="0058331B" w:rsidRDefault="005051C9" w:rsidP="0058331B">
            <w:pPr>
              <w:spacing w:after="0" w:line="240" w:lineRule="auto"/>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Cobertura serviços essenciais (%)</w:t>
            </w:r>
          </w:p>
        </w:tc>
        <w:tc>
          <w:tcPr>
            <w:tcW w:w="5806" w:type="dxa"/>
            <w:tcBorders>
              <w:top w:val="nil"/>
              <w:left w:val="nil"/>
              <w:bottom w:val="nil"/>
              <w:right w:val="nil"/>
            </w:tcBorders>
            <w:shd w:val="clear" w:color="000000" w:fill="E2EFDA"/>
            <w:vAlign w:val="center"/>
            <w:hideMark/>
          </w:tcPr>
          <w:p w:rsidR="005051C9" w:rsidRPr="00073F65" w:rsidRDefault="00316AEC" w:rsidP="00316AEC">
            <w:pPr>
              <w:spacing w:after="0" w:line="240" w:lineRule="auto"/>
              <w:jc w:val="both"/>
              <w:rPr>
                <w:rFonts w:ascii="Arial" w:eastAsia="Times New Roman" w:hAnsi="Arial" w:cs="Arial"/>
                <w:bCs/>
                <w:sz w:val="16"/>
                <w:szCs w:val="16"/>
                <w:lang w:eastAsia="pt-BR"/>
              </w:rPr>
            </w:pPr>
            <w:r w:rsidRPr="00316AEC">
              <w:rPr>
                <w:rFonts w:ascii="Arial" w:eastAsia="Times New Roman" w:hAnsi="Arial" w:cs="Arial"/>
                <w:bCs/>
                <w:sz w:val="16"/>
                <w:szCs w:val="16"/>
                <w:lang w:eastAsia="pt-BR"/>
              </w:rPr>
              <w:t>A cobertura de serviços essenciais de saúde, conforme definido pelo indicador ODS 3.8.1, é a cobertura média de serviços essenciais com base em intervenções rastreadoras que incluem saúde reprodutiva, materna, neonatal e infantil, doenças infecciosas, doenças não transmissíveis e capacidade e acesso ao serviço, entre a população geral e a mais desfavorecida. Esses indicadores rastreadores são combinados em um índice de cobertura de serviço, que fornece um indicador resumido da cobertura de serviço</w:t>
            </w:r>
          </w:p>
        </w:tc>
        <w:tc>
          <w:tcPr>
            <w:tcW w:w="1559" w:type="dxa"/>
            <w:tcBorders>
              <w:top w:val="nil"/>
              <w:left w:val="nil"/>
              <w:bottom w:val="nil"/>
              <w:right w:val="nil"/>
            </w:tcBorders>
            <w:shd w:val="clear" w:color="000000" w:fill="E2EFDA"/>
            <w:vAlign w:val="center"/>
            <w:hideMark/>
          </w:tcPr>
          <w:p w:rsidR="005051C9" w:rsidRPr="0058331B" w:rsidRDefault="005051C9" w:rsidP="0006025B">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OMS</w:t>
            </w:r>
          </w:p>
        </w:tc>
        <w:tc>
          <w:tcPr>
            <w:tcW w:w="4365" w:type="dxa"/>
            <w:tcBorders>
              <w:top w:val="nil"/>
              <w:left w:val="nil"/>
              <w:bottom w:val="nil"/>
              <w:right w:val="nil"/>
            </w:tcBorders>
            <w:shd w:val="clear" w:color="000000" w:fill="E2EFDA"/>
            <w:vAlign w:val="center"/>
            <w:hideMark/>
          </w:tcPr>
          <w:p w:rsidR="005051C9" w:rsidRPr="0058331B" w:rsidRDefault="00CF595B" w:rsidP="005051C9">
            <w:pPr>
              <w:rPr>
                <w:sz w:val="16"/>
                <w:szCs w:val="16"/>
              </w:rPr>
            </w:pPr>
            <w:hyperlink r:id="rId34" w:history="1">
              <w:r w:rsidR="005051C9" w:rsidRPr="0058331B">
                <w:rPr>
                  <w:rStyle w:val="Hyperlink"/>
                  <w:sz w:val="16"/>
                  <w:szCs w:val="16"/>
                </w:rPr>
                <w:t>http://apps.who.int/gho/data/node.wrapper.imr?x-id=3354</w:t>
              </w:r>
            </w:hyperlink>
          </w:p>
        </w:tc>
      </w:tr>
      <w:tr w:rsidR="005051C9" w:rsidRPr="0058331B" w:rsidTr="00954C25">
        <w:trPr>
          <w:trHeight w:val="1035"/>
        </w:trPr>
        <w:tc>
          <w:tcPr>
            <w:tcW w:w="2274" w:type="dxa"/>
            <w:tcBorders>
              <w:top w:val="nil"/>
              <w:left w:val="nil"/>
              <w:bottom w:val="nil"/>
              <w:right w:val="nil"/>
            </w:tcBorders>
            <w:shd w:val="clear" w:color="000000" w:fill="E2EFDA"/>
            <w:vAlign w:val="center"/>
          </w:tcPr>
          <w:p w:rsidR="005051C9" w:rsidRPr="0058331B" w:rsidRDefault="005051C9" w:rsidP="0058331B">
            <w:pPr>
              <w:spacing w:after="0" w:line="240" w:lineRule="auto"/>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Tratamento TB (%)</w:t>
            </w:r>
          </w:p>
        </w:tc>
        <w:tc>
          <w:tcPr>
            <w:tcW w:w="5806" w:type="dxa"/>
            <w:tcBorders>
              <w:top w:val="nil"/>
              <w:left w:val="nil"/>
              <w:bottom w:val="nil"/>
              <w:right w:val="nil"/>
            </w:tcBorders>
            <w:shd w:val="clear" w:color="000000" w:fill="E2EFDA"/>
            <w:vAlign w:val="center"/>
          </w:tcPr>
          <w:p w:rsidR="005051C9" w:rsidRPr="00073F65" w:rsidRDefault="008F73DF" w:rsidP="00BB6DD5">
            <w:pPr>
              <w:spacing w:after="0" w:line="240" w:lineRule="auto"/>
              <w:jc w:val="both"/>
              <w:rPr>
                <w:rFonts w:ascii="Arial" w:eastAsia="Times New Roman" w:hAnsi="Arial" w:cs="Arial"/>
                <w:bCs/>
                <w:sz w:val="16"/>
                <w:szCs w:val="16"/>
                <w:lang w:eastAsia="pt-BR"/>
              </w:rPr>
            </w:pPr>
            <w:r w:rsidRPr="00073F65">
              <w:rPr>
                <w:rFonts w:ascii="Arial" w:eastAsia="Times New Roman" w:hAnsi="Arial" w:cs="Arial"/>
                <w:bCs/>
                <w:sz w:val="16"/>
                <w:szCs w:val="16"/>
                <w:lang w:eastAsia="pt-BR"/>
              </w:rPr>
              <w:t xml:space="preserve">Número de casos novos e de recaída </w:t>
            </w:r>
            <w:r w:rsidR="00BB6DD5">
              <w:rPr>
                <w:rFonts w:ascii="Arial" w:eastAsia="Times New Roman" w:hAnsi="Arial" w:cs="Arial"/>
                <w:bCs/>
                <w:sz w:val="16"/>
                <w:szCs w:val="16"/>
                <w:lang w:eastAsia="pt-BR"/>
              </w:rPr>
              <w:t xml:space="preserve">de tuberculose, </w:t>
            </w:r>
            <w:r w:rsidRPr="00073F65">
              <w:rPr>
                <w:rFonts w:ascii="Arial" w:eastAsia="Times New Roman" w:hAnsi="Arial" w:cs="Arial"/>
                <w:bCs/>
                <w:sz w:val="16"/>
                <w:szCs w:val="16"/>
                <w:lang w:eastAsia="pt-BR"/>
              </w:rPr>
              <w:t>que foram notificados e tratados em um determinado ano, dividido pelo número estimado de casos de TB incidentes no mesmo ano, expresso em porcentagem.</w:t>
            </w:r>
          </w:p>
        </w:tc>
        <w:tc>
          <w:tcPr>
            <w:tcW w:w="1559" w:type="dxa"/>
            <w:tcBorders>
              <w:top w:val="nil"/>
              <w:left w:val="nil"/>
              <w:bottom w:val="nil"/>
              <w:right w:val="nil"/>
            </w:tcBorders>
            <w:shd w:val="clear" w:color="000000" w:fill="E2EFDA"/>
            <w:vAlign w:val="center"/>
          </w:tcPr>
          <w:p w:rsidR="005051C9" w:rsidRPr="0058331B" w:rsidRDefault="005051C9" w:rsidP="0006025B">
            <w:pPr>
              <w:jc w:val="center"/>
              <w:rPr>
                <w:sz w:val="16"/>
                <w:szCs w:val="16"/>
              </w:rPr>
            </w:pPr>
            <w:r w:rsidRPr="0058331B">
              <w:rPr>
                <w:rFonts w:ascii="Arial" w:eastAsia="Times New Roman" w:hAnsi="Arial" w:cs="Arial"/>
                <w:b/>
                <w:bCs/>
                <w:sz w:val="16"/>
                <w:szCs w:val="16"/>
                <w:lang w:eastAsia="pt-BR"/>
              </w:rPr>
              <w:t>OMS</w:t>
            </w:r>
          </w:p>
        </w:tc>
        <w:tc>
          <w:tcPr>
            <w:tcW w:w="4365" w:type="dxa"/>
            <w:tcBorders>
              <w:top w:val="nil"/>
              <w:left w:val="nil"/>
              <w:bottom w:val="nil"/>
              <w:right w:val="nil"/>
            </w:tcBorders>
            <w:shd w:val="clear" w:color="000000" w:fill="E2EFDA"/>
            <w:vAlign w:val="center"/>
          </w:tcPr>
          <w:p w:rsidR="005051C9" w:rsidRPr="0058331B" w:rsidRDefault="00CF595B" w:rsidP="005051C9">
            <w:pPr>
              <w:rPr>
                <w:sz w:val="16"/>
                <w:szCs w:val="16"/>
              </w:rPr>
            </w:pPr>
            <w:hyperlink r:id="rId35" w:history="1">
              <w:r w:rsidR="005051C9" w:rsidRPr="0058331B">
                <w:rPr>
                  <w:rStyle w:val="Hyperlink"/>
                  <w:sz w:val="16"/>
                  <w:szCs w:val="16"/>
                </w:rPr>
                <w:t>http://apps.who.int/gho/data/node.wrapper.imr?x-id=3354</w:t>
              </w:r>
            </w:hyperlink>
          </w:p>
        </w:tc>
      </w:tr>
      <w:tr w:rsidR="005051C9" w:rsidRPr="0058331B" w:rsidTr="00954C25">
        <w:trPr>
          <w:trHeight w:val="1035"/>
        </w:trPr>
        <w:tc>
          <w:tcPr>
            <w:tcW w:w="2274" w:type="dxa"/>
            <w:tcBorders>
              <w:top w:val="nil"/>
              <w:left w:val="nil"/>
              <w:bottom w:val="nil"/>
              <w:right w:val="nil"/>
            </w:tcBorders>
            <w:shd w:val="clear" w:color="000000" w:fill="E2EFDA"/>
            <w:vAlign w:val="center"/>
          </w:tcPr>
          <w:p w:rsidR="005051C9" w:rsidRPr="0058331B" w:rsidRDefault="005051C9" w:rsidP="0058331B">
            <w:pPr>
              <w:spacing w:after="0" w:line="240" w:lineRule="auto"/>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Tratamento HIV (%)</w:t>
            </w:r>
          </w:p>
        </w:tc>
        <w:tc>
          <w:tcPr>
            <w:tcW w:w="5806" w:type="dxa"/>
            <w:tcBorders>
              <w:top w:val="nil"/>
              <w:left w:val="nil"/>
              <w:bottom w:val="nil"/>
              <w:right w:val="nil"/>
            </w:tcBorders>
            <w:shd w:val="clear" w:color="000000" w:fill="E2EFDA"/>
            <w:vAlign w:val="center"/>
          </w:tcPr>
          <w:p w:rsidR="005051C9" w:rsidRPr="00073F65" w:rsidRDefault="00073F65" w:rsidP="00BB6DD5">
            <w:pPr>
              <w:spacing w:after="0" w:line="240" w:lineRule="auto"/>
              <w:jc w:val="both"/>
              <w:rPr>
                <w:rFonts w:ascii="Arial" w:eastAsia="Times New Roman" w:hAnsi="Arial" w:cs="Arial"/>
                <w:bCs/>
                <w:sz w:val="16"/>
                <w:szCs w:val="16"/>
                <w:lang w:eastAsia="pt-BR"/>
              </w:rPr>
            </w:pPr>
            <w:r w:rsidRPr="00073F65">
              <w:rPr>
                <w:rFonts w:ascii="Arial" w:eastAsia="Times New Roman" w:hAnsi="Arial" w:cs="Arial"/>
                <w:bCs/>
                <w:sz w:val="16"/>
                <w:szCs w:val="16"/>
                <w:lang w:eastAsia="pt-BR"/>
              </w:rPr>
              <w:t>Porcentagem de pessoas vivend</w:t>
            </w:r>
            <w:r w:rsidR="00BB6DD5">
              <w:rPr>
                <w:rFonts w:ascii="Arial" w:eastAsia="Times New Roman" w:hAnsi="Arial" w:cs="Arial"/>
                <w:bCs/>
                <w:sz w:val="16"/>
                <w:szCs w:val="16"/>
                <w:lang w:eastAsia="pt-BR"/>
              </w:rPr>
              <w:t>o com HIV</w:t>
            </w:r>
            <w:r w:rsidR="002B5AD8">
              <w:rPr>
                <w:rFonts w:ascii="Arial" w:eastAsia="Times New Roman" w:hAnsi="Arial" w:cs="Arial"/>
                <w:bCs/>
                <w:sz w:val="16"/>
                <w:szCs w:val="16"/>
                <w:lang w:eastAsia="pt-BR"/>
              </w:rPr>
              <w:t>,</w:t>
            </w:r>
            <w:r w:rsidR="00BB6DD5">
              <w:rPr>
                <w:rFonts w:ascii="Arial" w:eastAsia="Times New Roman" w:hAnsi="Arial" w:cs="Arial"/>
                <w:bCs/>
                <w:sz w:val="16"/>
                <w:szCs w:val="16"/>
                <w:lang w:eastAsia="pt-BR"/>
              </w:rPr>
              <w:t xml:space="preserve"> atualmente recebendo </w:t>
            </w:r>
            <w:r w:rsidR="002B5AD8">
              <w:rPr>
                <w:rFonts w:ascii="Arial" w:eastAsia="Times New Roman" w:hAnsi="Arial" w:cs="Arial"/>
                <w:bCs/>
                <w:sz w:val="16"/>
                <w:szCs w:val="16"/>
                <w:lang w:eastAsia="pt-BR"/>
              </w:rPr>
              <w:t>antirretroviral (</w:t>
            </w:r>
            <w:r w:rsidRPr="00073F65">
              <w:rPr>
                <w:rFonts w:ascii="Arial" w:eastAsia="Times New Roman" w:hAnsi="Arial" w:cs="Arial"/>
                <w:bCs/>
                <w:sz w:val="16"/>
                <w:szCs w:val="16"/>
                <w:lang w:eastAsia="pt-BR"/>
              </w:rPr>
              <w:t>AR</w:t>
            </w:r>
            <w:r w:rsidR="00BB6DD5">
              <w:rPr>
                <w:rFonts w:ascii="Arial" w:eastAsia="Times New Roman" w:hAnsi="Arial" w:cs="Arial"/>
                <w:bCs/>
                <w:sz w:val="16"/>
                <w:szCs w:val="16"/>
                <w:lang w:eastAsia="pt-BR"/>
              </w:rPr>
              <w:t>T</w:t>
            </w:r>
            <w:r w:rsidR="002B5AD8">
              <w:rPr>
                <w:rFonts w:ascii="Arial" w:eastAsia="Times New Roman" w:hAnsi="Arial" w:cs="Arial"/>
                <w:bCs/>
                <w:sz w:val="16"/>
                <w:szCs w:val="16"/>
                <w:lang w:eastAsia="pt-BR"/>
              </w:rPr>
              <w:t>)</w:t>
            </w:r>
            <w:r w:rsidRPr="00073F65">
              <w:rPr>
                <w:rFonts w:ascii="Arial" w:eastAsia="Times New Roman" w:hAnsi="Arial" w:cs="Arial"/>
                <w:bCs/>
                <w:sz w:val="16"/>
                <w:szCs w:val="16"/>
                <w:lang w:eastAsia="pt-BR"/>
              </w:rPr>
              <w:t xml:space="preserve"> entre o número estimado de adultos e crianças vivendo com HIV. Numerador: número de adultos e crianças </w:t>
            </w:r>
            <w:r w:rsidR="00BB6DD5">
              <w:rPr>
                <w:rFonts w:ascii="Arial" w:eastAsia="Times New Roman" w:hAnsi="Arial" w:cs="Arial"/>
                <w:bCs/>
                <w:sz w:val="16"/>
                <w:szCs w:val="16"/>
                <w:lang w:eastAsia="pt-BR"/>
              </w:rPr>
              <w:t xml:space="preserve">que estão atualmente recebendo </w:t>
            </w:r>
            <w:r w:rsidRPr="00073F65">
              <w:rPr>
                <w:rFonts w:ascii="Arial" w:eastAsia="Times New Roman" w:hAnsi="Arial" w:cs="Arial"/>
                <w:bCs/>
                <w:sz w:val="16"/>
                <w:szCs w:val="16"/>
                <w:lang w:eastAsia="pt-BR"/>
              </w:rPr>
              <w:t>AR</w:t>
            </w:r>
            <w:r w:rsidR="00BB6DD5">
              <w:rPr>
                <w:rFonts w:ascii="Arial" w:eastAsia="Times New Roman" w:hAnsi="Arial" w:cs="Arial"/>
                <w:bCs/>
                <w:sz w:val="16"/>
                <w:szCs w:val="16"/>
                <w:lang w:eastAsia="pt-BR"/>
              </w:rPr>
              <w:t>T</w:t>
            </w:r>
            <w:r w:rsidRPr="00073F65">
              <w:rPr>
                <w:rFonts w:ascii="Arial" w:eastAsia="Times New Roman" w:hAnsi="Arial" w:cs="Arial"/>
                <w:bCs/>
                <w:sz w:val="16"/>
                <w:szCs w:val="16"/>
                <w:lang w:eastAsia="pt-BR"/>
              </w:rPr>
              <w:t xml:space="preserve"> no final do período do relatório. Denominador: Número estimado de adultos e crianças vivendo com HIV.</w:t>
            </w:r>
          </w:p>
        </w:tc>
        <w:tc>
          <w:tcPr>
            <w:tcW w:w="1559" w:type="dxa"/>
            <w:tcBorders>
              <w:top w:val="nil"/>
              <w:left w:val="nil"/>
              <w:bottom w:val="nil"/>
              <w:right w:val="nil"/>
            </w:tcBorders>
            <w:shd w:val="clear" w:color="000000" w:fill="E2EFDA"/>
            <w:vAlign w:val="center"/>
          </w:tcPr>
          <w:p w:rsidR="005051C9" w:rsidRPr="0058331B" w:rsidRDefault="005051C9" w:rsidP="0006025B">
            <w:pPr>
              <w:jc w:val="center"/>
              <w:rPr>
                <w:sz w:val="16"/>
                <w:szCs w:val="16"/>
              </w:rPr>
            </w:pPr>
            <w:r w:rsidRPr="0058331B">
              <w:rPr>
                <w:rFonts w:ascii="Arial" w:eastAsia="Times New Roman" w:hAnsi="Arial" w:cs="Arial"/>
                <w:b/>
                <w:bCs/>
                <w:sz w:val="16"/>
                <w:szCs w:val="16"/>
                <w:lang w:eastAsia="pt-BR"/>
              </w:rPr>
              <w:t>OMS</w:t>
            </w:r>
          </w:p>
        </w:tc>
        <w:tc>
          <w:tcPr>
            <w:tcW w:w="4365" w:type="dxa"/>
            <w:tcBorders>
              <w:top w:val="nil"/>
              <w:left w:val="nil"/>
              <w:bottom w:val="nil"/>
              <w:right w:val="nil"/>
            </w:tcBorders>
            <w:shd w:val="clear" w:color="000000" w:fill="E2EFDA"/>
            <w:vAlign w:val="center"/>
          </w:tcPr>
          <w:p w:rsidR="005051C9" w:rsidRPr="0058331B" w:rsidRDefault="00CF595B" w:rsidP="005051C9">
            <w:pPr>
              <w:rPr>
                <w:sz w:val="16"/>
                <w:szCs w:val="16"/>
              </w:rPr>
            </w:pPr>
            <w:hyperlink r:id="rId36" w:history="1">
              <w:r w:rsidR="005051C9" w:rsidRPr="0058331B">
                <w:rPr>
                  <w:rStyle w:val="Hyperlink"/>
                  <w:sz w:val="16"/>
                  <w:szCs w:val="16"/>
                </w:rPr>
                <w:t>http://apps.who.int/gho/data/node.wrapper.imr?x-id=3354</w:t>
              </w:r>
            </w:hyperlink>
          </w:p>
        </w:tc>
      </w:tr>
      <w:tr w:rsidR="005051C9" w:rsidRPr="0058331B" w:rsidTr="00954C25">
        <w:trPr>
          <w:trHeight w:val="1035"/>
        </w:trPr>
        <w:tc>
          <w:tcPr>
            <w:tcW w:w="2274" w:type="dxa"/>
            <w:tcBorders>
              <w:top w:val="nil"/>
              <w:left w:val="nil"/>
              <w:bottom w:val="nil"/>
              <w:right w:val="nil"/>
            </w:tcBorders>
            <w:shd w:val="clear" w:color="000000" w:fill="E2EFDA"/>
            <w:vAlign w:val="center"/>
          </w:tcPr>
          <w:p w:rsidR="005051C9" w:rsidRPr="0058331B" w:rsidRDefault="005051C9" w:rsidP="0058331B">
            <w:pPr>
              <w:spacing w:after="0" w:line="240" w:lineRule="auto"/>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Imunização completa em &lt;1a (%)</w:t>
            </w:r>
          </w:p>
        </w:tc>
        <w:tc>
          <w:tcPr>
            <w:tcW w:w="5806" w:type="dxa"/>
            <w:tcBorders>
              <w:top w:val="nil"/>
              <w:left w:val="nil"/>
              <w:bottom w:val="nil"/>
              <w:right w:val="nil"/>
            </w:tcBorders>
            <w:shd w:val="clear" w:color="000000" w:fill="E2EFDA"/>
            <w:vAlign w:val="center"/>
          </w:tcPr>
          <w:p w:rsidR="005051C9" w:rsidRPr="00073F65" w:rsidRDefault="00073F65" w:rsidP="00FF41DE">
            <w:pPr>
              <w:spacing w:after="0" w:line="240" w:lineRule="auto"/>
              <w:jc w:val="both"/>
              <w:rPr>
                <w:rFonts w:ascii="Arial" w:eastAsia="Times New Roman" w:hAnsi="Arial" w:cs="Arial"/>
                <w:bCs/>
                <w:sz w:val="16"/>
                <w:szCs w:val="16"/>
                <w:lang w:eastAsia="pt-BR"/>
              </w:rPr>
            </w:pPr>
            <w:r w:rsidRPr="00073F65">
              <w:rPr>
                <w:rFonts w:ascii="Arial" w:eastAsia="Times New Roman" w:hAnsi="Arial" w:cs="Arial"/>
                <w:bCs/>
                <w:sz w:val="16"/>
                <w:szCs w:val="16"/>
                <w:lang w:eastAsia="pt-BR"/>
              </w:rPr>
              <w:t xml:space="preserve">A porcentagem de crianças de um ano que receberam uma dose da vacina </w:t>
            </w:r>
            <w:r w:rsidR="00BB6DD5">
              <w:rPr>
                <w:rFonts w:ascii="Arial" w:eastAsia="Times New Roman" w:hAnsi="Arial" w:cs="Arial"/>
                <w:bCs/>
                <w:sz w:val="16"/>
                <w:szCs w:val="16"/>
                <w:lang w:eastAsia="pt-BR"/>
              </w:rPr>
              <w:t>BCG</w:t>
            </w:r>
            <w:r w:rsidRPr="00073F65">
              <w:rPr>
                <w:rFonts w:ascii="Arial" w:eastAsia="Times New Roman" w:hAnsi="Arial" w:cs="Arial"/>
                <w:bCs/>
                <w:sz w:val="16"/>
                <w:szCs w:val="16"/>
                <w:lang w:eastAsia="pt-BR"/>
              </w:rPr>
              <w:t>, três doses da vacina contra a poliomielite, três doses da vacina combinada contra difteria, tox</w:t>
            </w:r>
            <w:r w:rsidR="00BB6DD5">
              <w:rPr>
                <w:rFonts w:ascii="Arial" w:eastAsia="Times New Roman" w:hAnsi="Arial" w:cs="Arial"/>
                <w:bCs/>
                <w:sz w:val="16"/>
                <w:szCs w:val="16"/>
                <w:lang w:eastAsia="pt-BR"/>
              </w:rPr>
              <w:t>ó</w:t>
            </w:r>
            <w:r w:rsidRPr="00073F65">
              <w:rPr>
                <w:rFonts w:ascii="Arial" w:eastAsia="Times New Roman" w:hAnsi="Arial" w:cs="Arial"/>
                <w:bCs/>
                <w:sz w:val="16"/>
                <w:szCs w:val="16"/>
                <w:lang w:eastAsia="pt-BR"/>
              </w:rPr>
              <w:t>ide tetânico e pertuss</w:t>
            </w:r>
            <w:r w:rsidR="00FF41DE">
              <w:rPr>
                <w:rFonts w:ascii="Arial" w:eastAsia="Times New Roman" w:hAnsi="Arial" w:cs="Arial"/>
                <w:bCs/>
                <w:sz w:val="16"/>
                <w:szCs w:val="16"/>
                <w:lang w:eastAsia="pt-BR"/>
              </w:rPr>
              <w:t>is (DTP3) e uma dose da vacina contra o sarampo</w:t>
            </w:r>
            <w:r w:rsidRPr="00073F65">
              <w:rPr>
                <w:rFonts w:ascii="Arial" w:eastAsia="Times New Roman" w:hAnsi="Arial" w:cs="Arial"/>
                <w:bCs/>
                <w:sz w:val="16"/>
                <w:szCs w:val="16"/>
                <w:lang w:eastAsia="pt-BR"/>
              </w:rPr>
              <w:t>. Numerador: Número de crianças de 12 a 23 meses que receberam uma dose da vacina BCG, três doses da vacina contra a poliomielite, três doses da vacina DTP3 e uma dose da vacina contra o sarampo. Denominador: Número total de crianças de 12 a 23 meses pesquisadas. Nota: Em alguns países, o período de 12 a 23 meses foi ajustado para se alinhar com períodos nacionais alternativos de imunização (18 a 29 meses ou 15 a 26 meses).</w:t>
            </w:r>
          </w:p>
        </w:tc>
        <w:tc>
          <w:tcPr>
            <w:tcW w:w="1559" w:type="dxa"/>
            <w:tcBorders>
              <w:top w:val="nil"/>
              <w:left w:val="nil"/>
              <w:bottom w:val="nil"/>
              <w:right w:val="nil"/>
            </w:tcBorders>
            <w:shd w:val="clear" w:color="000000" w:fill="E2EFDA"/>
            <w:vAlign w:val="center"/>
          </w:tcPr>
          <w:p w:rsidR="005051C9" w:rsidRPr="0058331B" w:rsidRDefault="005051C9" w:rsidP="0006025B">
            <w:pPr>
              <w:jc w:val="center"/>
              <w:rPr>
                <w:sz w:val="16"/>
                <w:szCs w:val="16"/>
              </w:rPr>
            </w:pPr>
            <w:r w:rsidRPr="0058331B">
              <w:rPr>
                <w:rFonts w:ascii="Arial" w:eastAsia="Times New Roman" w:hAnsi="Arial" w:cs="Arial"/>
                <w:b/>
                <w:bCs/>
                <w:sz w:val="16"/>
                <w:szCs w:val="16"/>
                <w:lang w:eastAsia="pt-BR"/>
              </w:rPr>
              <w:t>OMS</w:t>
            </w:r>
          </w:p>
        </w:tc>
        <w:tc>
          <w:tcPr>
            <w:tcW w:w="4365" w:type="dxa"/>
            <w:tcBorders>
              <w:top w:val="nil"/>
              <w:left w:val="nil"/>
              <w:bottom w:val="nil"/>
              <w:right w:val="nil"/>
            </w:tcBorders>
            <w:shd w:val="clear" w:color="000000" w:fill="E2EFDA"/>
            <w:vAlign w:val="center"/>
          </w:tcPr>
          <w:p w:rsidR="005051C9" w:rsidRPr="0058331B" w:rsidRDefault="00CF595B" w:rsidP="005051C9">
            <w:pPr>
              <w:rPr>
                <w:sz w:val="16"/>
                <w:szCs w:val="16"/>
              </w:rPr>
            </w:pPr>
            <w:hyperlink r:id="rId37" w:history="1">
              <w:r w:rsidR="005051C9" w:rsidRPr="0058331B">
                <w:rPr>
                  <w:rStyle w:val="Hyperlink"/>
                  <w:sz w:val="16"/>
                  <w:szCs w:val="16"/>
                </w:rPr>
                <w:t>http://apps.who.int/gho/data/node.wrapper.imr?x-id=3354</w:t>
              </w:r>
            </w:hyperlink>
          </w:p>
        </w:tc>
      </w:tr>
      <w:tr w:rsidR="005051C9" w:rsidRPr="0058331B" w:rsidTr="00954C25">
        <w:trPr>
          <w:trHeight w:val="1035"/>
        </w:trPr>
        <w:tc>
          <w:tcPr>
            <w:tcW w:w="2274" w:type="dxa"/>
            <w:tcBorders>
              <w:top w:val="nil"/>
              <w:left w:val="nil"/>
              <w:bottom w:val="nil"/>
              <w:right w:val="nil"/>
            </w:tcBorders>
            <w:shd w:val="clear" w:color="000000" w:fill="E2EFDA"/>
            <w:vAlign w:val="center"/>
          </w:tcPr>
          <w:p w:rsidR="005051C9" w:rsidRPr="0058331B" w:rsidRDefault="005051C9" w:rsidP="0058331B">
            <w:pPr>
              <w:spacing w:after="0" w:line="240" w:lineRule="auto"/>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Rastreamento de colo útero (%)</w:t>
            </w:r>
          </w:p>
        </w:tc>
        <w:tc>
          <w:tcPr>
            <w:tcW w:w="5806" w:type="dxa"/>
            <w:tcBorders>
              <w:top w:val="nil"/>
              <w:left w:val="nil"/>
              <w:bottom w:val="nil"/>
              <w:right w:val="nil"/>
            </w:tcBorders>
            <w:shd w:val="clear" w:color="000000" w:fill="E2EFDA"/>
            <w:vAlign w:val="center"/>
          </w:tcPr>
          <w:p w:rsidR="005051C9" w:rsidRPr="00073F65" w:rsidRDefault="00954C25" w:rsidP="00073F65">
            <w:pPr>
              <w:spacing w:after="0" w:line="240" w:lineRule="auto"/>
              <w:jc w:val="both"/>
              <w:rPr>
                <w:rFonts w:ascii="Arial" w:eastAsia="Times New Roman" w:hAnsi="Arial" w:cs="Arial"/>
                <w:bCs/>
                <w:sz w:val="16"/>
                <w:szCs w:val="16"/>
                <w:lang w:eastAsia="pt-BR"/>
              </w:rPr>
            </w:pPr>
            <w:r w:rsidRPr="00954C25">
              <w:rPr>
                <w:rFonts w:ascii="Arial" w:eastAsia="Times New Roman" w:hAnsi="Arial" w:cs="Arial"/>
                <w:bCs/>
                <w:sz w:val="16"/>
                <w:szCs w:val="16"/>
                <w:lang w:eastAsia="pt-BR"/>
              </w:rPr>
              <w:t>Proporção de mulheres entre 30 e 49 anos de idade rastreada para câncer de colo do útero pelo menos uma vez, ou mais frequentemente, e para faixas etárias mais baixas ou mais altas, de acordo com programas ou políticas nacionais.</w:t>
            </w:r>
          </w:p>
        </w:tc>
        <w:tc>
          <w:tcPr>
            <w:tcW w:w="1559" w:type="dxa"/>
            <w:tcBorders>
              <w:top w:val="nil"/>
              <w:left w:val="nil"/>
              <w:bottom w:val="nil"/>
              <w:right w:val="nil"/>
            </w:tcBorders>
            <w:shd w:val="clear" w:color="000000" w:fill="E2EFDA"/>
            <w:vAlign w:val="center"/>
          </w:tcPr>
          <w:p w:rsidR="005051C9" w:rsidRPr="0058331B" w:rsidRDefault="005051C9" w:rsidP="0006025B">
            <w:pPr>
              <w:jc w:val="center"/>
              <w:rPr>
                <w:sz w:val="16"/>
                <w:szCs w:val="16"/>
              </w:rPr>
            </w:pPr>
            <w:r w:rsidRPr="0058331B">
              <w:rPr>
                <w:rFonts w:ascii="Arial" w:eastAsia="Times New Roman" w:hAnsi="Arial" w:cs="Arial"/>
                <w:b/>
                <w:bCs/>
                <w:sz w:val="16"/>
                <w:szCs w:val="16"/>
                <w:lang w:eastAsia="pt-BR"/>
              </w:rPr>
              <w:t>OMS</w:t>
            </w:r>
          </w:p>
        </w:tc>
        <w:tc>
          <w:tcPr>
            <w:tcW w:w="4365" w:type="dxa"/>
            <w:tcBorders>
              <w:top w:val="nil"/>
              <w:left w:val="nil"/>
              <w:bottom w:val="nil"/>
              <w:right w:val="nil"/>
            </w:tcBorders>
            <w:shd w:val="clear" w:color="000000" w:fill="E2EFDA"/>
            <w:vAlign w:val="center"/>
          </w:tcPr>
          <w:p w:rsidR="005051C9" w:rsidRPr="0058331B" w:rsidRDefault="00CF595B" w:rsidP="005051C9">
            <w:pPr>
              <w:rPr>
                <w:sz w:val="16"/>
                <w:szCs w:val="16"/>
              </w:rPr>
            </w:pPr>
            <w:hyperlink r:id="rId38" w:history="1">
              <w:r w:rsidR="005051C9" w:rsidRPr="0058331B">
                <w:rPr>
                  <w:rStyle w:val="Hyperlink"/>
                  <w:sz w:val="16"/>
                  <w:szCs w:val="16"/>
                </w:rPr>
                <w:t>http://apps.who.int/gho/data/node.wrapper.imr?x-id=3354</w:t>
              </w:r>
            </w:hyperlink>
          </w:p>
        </w:tc>
      </w:tr>
      <w:tr w:rsidR="009D4395" w:rsidRPr="0058331B" w:rsidTr="00954C25">
        <w:trPr>
          <w:trHeight w:val="1035"/>
        </w:trPr>
        <w:tc>
          <w:tcPr>
            <w:tcW w:w="2274" w:type="dxa"/>
            <w:tcBorders>
              <w:top w:val="nil"/>
              <w:left w:val="nil"/>
              <w:bottom w:val="nil"/>
              <w:right w:val="nil"/>
            </w:tcBorders>
            <w:shd w:val="clear" w:color="000000" w:fill="E2EFDA"/>
            <w:vAlign w:val="center"/>
          </w:tcPr>
          <w:p w:rsidR="009D4395" w:rsidRPr="0058331B" w:rsidRDefault="009D4395" w:rsidP="0058331B">
            <w:pPr>
              <w:spacing w:after="0" w:line="240" w:lineRule="auto"/>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Vacinação sarampo cobertura*</w:t>
            </w:r>
          </w:p>
        </w:tc>
        <w:tc>
          <w:tcPr>
            <w:tcW w:w="5806" w:type="dxa"/>
            <w:tcBorders>
              <w:top w:val="nil"/>
              <w:left w:val="nil"/>
              <w:bottom w:val="nil"/>
              <w:right w:val="nil"/>
            </w:tcBorders>
            <w:shd w:val="clear" w:color="000000" w:fill="E2EFDA"/>
            <w:vAlign w:val="center"/>
          </w:tcPr>
          <w:p w:rsidR="009D4395" w:rsidRPr="00073F65" w:rsidRDefault="00B36697" w:rsidP="001A141F">
            <w:pPr>
              <w:spacing w:after="0" w:line="240" w:lineRule="auto"/>
              <w:jc w:val="both"/>
              <w:rPr>
                <w:rFonts w:ascii="Arial" w:eastAsia="Times New Roman" w:hAnsi="Arial" w:cs="Arial"/>
                <w:bCs/>
                <w:sz w:val="16"/>
                <w:szCs w:val="16"/>
                <w:lang w:eastAsia="pt-BR"/>
              </w:rPr>
            </w:pPr>
            <w:r w:rsidRPr="00073F65">
              <w:rPr>
                <w:rFonts w:ascii="Arial" w:eastAsia="Times New Roman" w:hAnsi="Arial" w:cs="Arial"/>
                <w:bCs/>
                <w:sz w:val="16"/>
                <w:szCs w:val="16"/>
                <w:lang w:eastAsia="pt-BR"/>
              </w:rPr>
              <w:t>Porcentagem de crianças menores de um ano que receberam pelo menos uma dose d</w:t>
            </w:r>
            <w:r w:rsidR="001A141F">
              <w:rPr>
                <w:rFonts w:ascii="Arial" w:eastAsia="Times New Roman" w:hAnsi="Arial" w:cs="Arial"/>
                <w:bCs/>
                <w:sz w:val="16"/>
                <w:szCs w:val="16"/>
                <w:lang w:eastAsia="pt-BR"/>
              </w:rPr>
              <w:t>a vacina contra o</w:t>
            </w:r>
            <w:r w:rsidRPr="00073F65">
              <w:rPr>
                <w:rFonts w:ascii="Arial" w:eastAsia="Times New Roman" w:hAnsi="Arial" w:cs="Arial"/>
                <w:bCs/>
                <w:sz w:val="16"/>
                <w:szCs w:val="16"/>
                <w:lang w:eastAsia="pt-BR"/>
              </w:rPr>
              <w:t xml:space="preserve"> sarampo em um determinado ano.</w:t>
            </w:r>
          </w:p>
        </w:tc>
        <w:tc>
          <w:tcPr>
            <w:tcW w:w="1559" w:type="dxa"/>
            <w:tcBorders>
              <w:top w:val="nil"/>
              <w:left w:val="nil"/>
              <w:bottom w:val="nil"/>
              <w:right w:val="nil"/>
            </w:tcBorders>
            <w:shd w:val="clear" w:color="000000" w:fill="E2EFDA"/>
            <w:vAlign w:val="center"/>
          </w:tcPr>
          <w:p w:rsidR="009D4395" w:rsidRPr="0058331B" w:rsidRDefault="005051C9" w:rsidP="0006025B">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Commonwealth</w:t>
            </w:r>
          </w:p>
        </w:tc>
        <w:tc>
          <w:tcPr>
            <w:tcW w:w="4365" w:type="dxa"/>
            <w:tcBorders>
              <w:top w:val="nil"/>
              <w:left w:val="nil"/>
              <w:bottom w:val="nil"/>
              <w:right w:val="nil"/>
            </w:tcBorders>
            <w:shd w:val="clear" w:color="000000" w:fill="E2EFDA"/>
            <w:vAlign w:val="center"/>
          </w:tcPr>
          <w:p w:rsidR="009D4395" w:rsidRDefault="00CF595B" w:rsidP="0058331B">
            <w:pPr>
              <w:spacing w:after="0" w:line="240" w:lineRule="auto"/>
              <w:rPr>
                <w:rStyle w:val="Hyperlink"/>
                <w:sz w:val="16"/>
                <w:szCs w:val="16"/>
              </w:rPr>
            </w:pPr>
            <w:hyperlink r:id="rId39" w:history="1">
              <w:r w:rsidR="005051C9" w:rsidRPr="0058331B">
                <w:rPr>
                  <w:rStyle w:val="Hyperlink"/>
                  <w:sz w:val="16"/>
                  <w:szCs w:val="16"/>
                </w:rPr>
                <w:t>https://international.commonwealthfund.org/stats</w:t>
              </w:r>
            </w:hyperlink>
          </w:p>
          <w:p w:rsidR="00474243" w:rsidRPr="0058331B" w:rsidRDefault="00474243" w:rsidP="0058331B">
            <w:pPr>
              <w:spacing w:after="0" w:line="240" w:lineRule="auto"/>
              <w:rPr>
                <w:rFonts w:ascii="Arial" w:eastAsia="Times New Roman" w:hAnsi="Arial" w:cs="Arial"/>
                <w:b/>
                <w:bCs/>
                <w:sz w:val="16"/>
                <w:szCs w:val="16"/>
                <w:lang w:eastAsia="pt-BR"/>
              </w:rPr>
            </w:pPr>
            <w:r>
              <w:rPr>
                <w:rStyle w:val="Hyperlink"/>
              </w:rPr>
              <w:t>OCDE</w:t>
            </w:r>
          </w:p>
        </w:tc>
      </w:tr>
    </w:tbl>
    <w:p w:rsidR="00C53FB1" w:rsidRDefault="00C53FB1" w:rsidP="00D709AD">
      <w:pPr>
        <w:spacing w:line="360" w:lineRule="auto"/>
        <w:ind w:left="360"/>
        <w:jc w:val="both"/>
      </w:pPr>
    </w:p>
    <w:tbl>
      <w:tblPr>
        <w:tblW w:w="13041" w:type="dxa"/>
        <w:tblCellMar>
          <w:left w:w="70" w:type="dxa"/>
          <w:right w:w="70" w:type="dxa"/>
        </w:tblCellMar>
        <w:tblLook w:val="04A0" w:firstRow="1" w:lastRow="0" w:firstColumn="1" w:lastColumn="0" w:noHBand="0" w:noVBand="1"/>
      </w:tblPr>
      <w:tblGrid>
        <w:gridCol w:w="1580"/>
        <w:gridCol w:w="5791"/>
        <w:gridCol w:w="1843"/>
        <w:gridCol w:w="3827"/>
      </w:tblGrid>
      <w:tr w:rsidR="009D4395" w:rsidRPr="0058331B" w:rsidTr="008373CB">
        <w:trPr>
          <w:trHeight w:val="851"/>
        </w:trPr>
        <w:tc>
          <w:tcPr>
            <w:tcW w:w="1580" w:type="dxa"/>
            <w:tcBorders>
              <w:top w:val="nil"/>
              <w:left w:val="nil"/>
              <w:bottom w:val="nil"/>
              <w:right w:val="nil"/>
            </w:tcBorders>
            <w:shd w:val="clear" w:color="000000" w:fill="D9E1F2"/>
            <w:vAlign w:val="center"/>
          </w:tcPr>
          <w:p w:rsidR="009D4395" w:rsidRPr="0058331B" w:rsidRDefault="00A8046E" w:rsidP="00B36697">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Variáveis – resultados em saúde</w:t>
            </w:r>
          </w:p>
        </w:tc>
        <w:tc>
          <w:tcPr>
            <w:tcW w:w="5791" w:type="dxa"/>
            <w:tcBorders>
              <w:top w:val="nil"/>
              <w:left w:val="nil"/>
              <w:bottom w:val="nil"/>
              <w:right w:val="nil"/>
            </w:tcBorders>
            <w:shd w:val="clear" w:color="000000" w:fill="D9E1F2"/>
            <w:vAlign w:val="center"/>
          </w:tcPr>
          <w:p w:rsidR="008373CB" w:rsidRPr="0058331B" w:rsidRDefault="009D4395" w:rsidP="008373CB">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Descrição</w:t>
            </w:r>
          </w:p>
        </w:tc>
        <w:tc>
          <w:tcPr>
            <w:tcW w:w="1843" w:type="dxa"/>
            <w:tcBorders>
              <w:top w:val="nil"/>
              <w:left w:val="nil"/>
              <w:bottom w:val="nil"/>
              <w:right w:val="nil"/>
            </w:tcBorders>
            <w:shd w:val="clear" w:color="000000" w:fill="D9E1F2"/>
            <w:vAlign w:val="center"/>
          </w:tcPr>
          <w:p w:rsidR="009D4395" w:rsidRPr="0058331B" w:rsidRDefault="009D4395" w:rsidP="00B36697">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Fonte</w:t>
            </w:r>
          </w:p>
        </w:tc>
        <w:tc>
          <w:tcPr>
            <w:tcW w:w="3827" w:type="dxa"/>
            <w:tcBorders>
              <w:top w:val="nil"/>
              <w:left w:val="nil"/>
              <w:bottom w:val="nil"/>
              <w:right w:val="nil"/>
            </w:tcBorders>
            <w:shd w:val="clear" w:color="000000" w:fill="D9E1F2"/>
            <w:vAlign w:val="center"/>
          </w:tcPr>
          <w:p w:rsidR="009D4395" w:rsidRPr="0058331B" w:rsidRDefault="009D4395" w:rsidP="00B36697">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Link</w:t>
            </w:r>
          </w:p>
        </w:tc>
      </w:tr>
      <w:tr w:rsidR="009D4395" w:rsidRPr="0058331B" w:rsidTr="009D4395">
        <w:trPr>
          <w:trHeight w:val="885"/>
        </w:trPr>
        <w:tc>
          <w:tcPr>
            <w:tcW w:w="1580" w:type="dxa"/>
            <w:tcBorders>
              <w:top w:val="nil"/>
              <w:left w:val="nil"/>
              <w:bottom w:val="nil"/>
              <w:right w:val="nil"/>
            </w:tcBorders>
            <w:shd w:val="clear" w:color="000000" w:fill="D9E1F2"/>
            <w:vAlign w:val="bottom"/>
            <w:hideMark/>
          </w:tcPr>
          <w:p w:rsidR="009D4395" w:rsidRPr="0058331B" w:rsidRDefault="009D4395" w:rsidP="00B36697">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Expectativa de vida ao nascer</w:t>
            </w:r>
          </w:p>
        </w:tc>
        <w:tc>
          <w:tcPr>
            <w:tcW w:w="5791" w:type="dxa"/>
            <w:tcBorders>
              <w:top w:val="nil"/>
              <w:left w:val="nil"/>
              <w:bottom w:val="nil"/>
              <w:right w:val="nil"/>
            </w:tcBorders>
            <w:shd w:val="clear" w:color="000000" w:fill="D9E1F2"/>
            <w:vAlign w:val="bottom"/>
            <w:hideMark/>
          </w:tcPr>
          <w:p w:rsidR="009D4395" w:rsidRPr="0058331B" w:rsidRDefault="00296B01" w:rsidP="00296B01">
            <w:pPr>
              <w:spacing w:after="0" w:line="240" w:lineRule="auto"/>
              <w:jc w:val="both"/>
              <w:rPr>
                <w:rFonts w:ascii="Arial" w:eastAsia="Times New Roman" w:hAnsi="Arial" w:cs="Arial"/>
                <w:bCs/>
                <w:sz w:val="16"/>
                <w:szCs w:val="16"/>
                <w:lang w:eastAsia="pt-BR"/>
              </w:rPr>
            </w:pPr>
            <w:r w:rsidRPr="0058331B">
              <w:rPr>
                <w:rFonts w:ascii="Arial" w:eastAsia="Times New Roman" w:hAnsi="Arial" w:cs="Arial"/>
                <w:bCs/>
                <w:sz w:val="16"/>
                <w:szCs w:val="16"/>
                <w:lang w:eastAsia="pt-BR"/>
              </w:rPr>
              <w:t>O número médio de anos que um recém-nascido poderia esperar viver se passasse a vida expost</w:t>
            </w:r>
            <w:r w:rsidR="00847B3C">
              <w:rPr>
                <w:rFonts w:ascii="Arial" w:eastAsia="Times New Roman" w:hAnsi="Arial" w:cs="Arial"/>
                <w:bCs/>
                <w:sz w:val="16"/>
                <w:szCs w:val="16"/>
                <w:lang w:eastAsia="pt-BR"/>
              </w:rPr>
              <w:t>o</w:t>
            </w:r>
            <w:r w:rsidRPr="0058331B">
              <w:rPr>
                <w:rFonts w:ascii="Arial" w:eastAsia="Times New Roman" w:hAnsi="Arial" w:cs="Arial"/>
                <w:bCs/>
                <w:sz w:val="16"/>
                <w:szCs w:val="16"/>
                <w:lang w:eastAsia="pt-BR"/>
              </w:rPr>
              <w:t xml:space="preserve"> às taxas de mortalidade por sexo e idade prevalentes no momento de seu nascimento, por um ano específico, em um país, território ou área geográfica.</w:t>
            </w:r>
          </w:p>
          <w:p w:rsidR="00296B01" w:rsidRPr="0058331B" w:rsidRDefault="00296B01" w:rsidP="00B36697">
            <w:pPr>
              <w:spacing w:after="0" w:line="240" w:lineRule="auto"/>
              <w:jc w:val="center"/>
              <w:rPr>
                <w:rFonts w:ascii="Arial" w:eastAsia="Times New Roman" w:hAnsi="Arial" w:cs="Arial"/>
                <w:b/>
                <w:bCs/>
                <w:sz w:val="16"/>
                <w:szCs w:val="16"/>
                <w:lang w:eastAsia="pt-BR"/>
              </w:rPr>
            </w:pPr>
          </w:p>
        </w:tc>
        <w:tc>
          <w:tcPr>
            <w:tcW w:w="1843" w:type="dxa"/>
            <w:tcBorders>
              <w:top w:val="nil"/>
              <w:left w:val="nil"/>
              <w:bottom w:val="nil"/>
              <w:right w:val="nil"/>
            </w:tcBorders>
            <w:shd w:val="clear" w:color="000000" w:fill="D9E1F2"/>
            <w:vAlign w:val="bottom"/>
            <w:hideMark/>
          </w:tcPr>
          <w:p w:rsidR="009D4395" w:rsidRPr="0058331B" w:rsidRDefault="00296B01" w:rsidP="00B36697">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OMS</w:t>
            </w:r>
          </w:p>
        </w:tc>
        <w:tc>
          <w:tcPr>
            <w:tcW w:w="3827" w:type="dxa"/>
            <w:tcBorders>
              <w:top w:val="nil"/>
              <w:left w:val="nil"/>
              <w:bottom w:val="nil"/>
              <w:right w:val="nil"/>
            </w:tcBorders>
            <w:shd w:val="clear" w:color="000000" w:fill="D9E1F2"/>
            <w:vAlign w:val="bottom"/>
          </w:tcPr>
          <w:p w:rsidR="009D4395" w:rsidRPr="0058331B" w:rsidRDefault="00CF595B" w:rsidP="00B36697">
            <w:pPr>
              <w:spacing w:after="0" w:line="240" w:lineRule="auto"/>
              <w:jc w:val="center"/>
              <w:rPr>
                <w:rFonts w:ascii="Arial" w:eastAsia="Times New Roman" w:hAnsi="Arial" w:cs="Arial"/>
                <w:b/>
                <w:bCs/>
                <w:sz w:val="16"/>
                <w:szCs w:val="16"/>
                <w:lang w:eastAsia="pt-BR"/>
              </w:rPr>
            </w:pPr>
            <w:hyperlink r:id="rId40" w:history="1">
              <w:r w:rsidR="0035453A" w:rsidRPr="0058331B">
                <w:rPr>
                  <w:rStyle w:val="Hyperlink"/>
                  <w:sz w:val="16"/>
                  <w:szCs w:val="16"/>
                </w:rPr>
                <w:t>http://apps.who.int/gho/data/node.wrapper.imr?x-id=3354</w:t>
              </w:r>
            </w:hyperlink>
          </w:p>
        </w:tc>
      </w:tr>
      <w:tr w:rsidR="009D4395" w:rsidRPr="0058331B" w:rsidTr="009D4395">
        <w:trPr>
          <w:trHeight w:val="885"/>
        </w:trPr>
        <w:tc>
          <w:tcPr>
            <w:tcW w:w="1580" w:type="dxa"/>
            <w:tcBorders>
              <w:top w:val="nil"/>
              <w:left w:val="nil"/>
              <w:bottom w:val="nil"/>
              <w:right w:val="nil"/>
            </w:tcBorders>
            <w:shd w:val="clear" w:color="000000" w:fill="D9E1F2"/>
            <w:vAlign w:val="bottom"/>
          </w:tcPr>
          <w:p w:rsidR="009D4395" w:rsidRPr="0058331B" w:rsidRDefault="009D4395" w:rsidP="00B36697">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Mortalidade infantil</w:t>
            </w:r>
          </w:p>
        </w:tc>
        <w:tc>
          <w:tcPr>
            <w:tcW w:w="5791" w:type="dxa"/>
            <w:tcBorders>
              <w:top w:val="nil"/>
              <w:left w:val="nil"/>
              <w:bottom w:val="nil"/>
              <w:right w:val="nil"/>
            </w:tcBorders>
            <w:shd w:val="clear" w:color="000000" w:fill="D9E1F2"/>
            <w:vAlign w:val="bottom"/>
          </w:tcPr>
          <w:p w:rsidR="009D4395" w:rsidRPr="0058331B" w:rsidRDefault="00296B01" w:rsidP="00296B01">
            <w:pPr>
              <w:spacing w:after="0" w:line="240" w:lineRule="auto"/>
              <w:jc w:val="both"/>
              <w:rPr>
                <w:rFonts w:ascii="Arial" w:eastAsia="Times New Roman" w:hAnsi="Arial" w:cs="Arial"/>
                <w:bCs/>
                <w:sz w:val="16"/>
                <w:szCs w:val="16"/>
                <w:lang w:eastAsia="pt-BR"/>
              </w:rPr>
            </w:pPr>
            <w:r w:rsidRPr="0058331B">
              <w:rPr>
                <w:rFonts w:ascii="Arial" w:eastAsia="Times New Roman" w:hAnsi="Arial" w:cs="Arial"/>
                <w:bCs/>
                <w:sz w:val="16"/>
                <w:szCs w:val="16"/>
                <w:lang w:eastAsia="pt-BR"/>
              </w:rPr>
              <w:t>A taxa de mortalidade infantil é a probabilidade de uma criança nascida em um ano ou período específico morrer antes de atingir a idade de um ano, se sujeita às taxas de mortalidade específicas por idade desse período. A taxa de mortalidade infantil não é estritamente uma taxa (ou seja, o número de mortes dividida pelo número de pessoas em risco durante um determinado período de tempo), mas uma probabilidade de morte derivada de uma tabela de vida e expressa como taxa por 1.000 nascidos vivos</w:t>
            </w:r>
          </w:p>
          <w:p w:rsidR="00296B01" w:rsidRPr="0058331B" w:rsidRDefault="00296B01" w:rsidP="00296B01">
            <w:pPr>
              <w:spacing w:after="0" w:line="240" w:lineRule="auto"/>
              <w:jc w:val="both"/>
              <w:rPr>
                <w:rFonts w:ascii="Arial" w:eastAsia="Times New Roman" w:hAnsi="Arial" w:cs="Arial"/>
                <w:bCs/>
                <w:sz w:val="16"/>
                <w:szCs w:val="16"/>
                <w:lang w:eastAsia="pt-BR"/>
              </w:rPr>
            </w:pPr>
          </w:p>
        </w:tc>
        <w:tc>
          <w:tcPr>
            <w:tcW w:w="1843" w:type="dxa"/>
            <w:tcBorders>
              <w:top w:val="nil"/>
              <w:left w:val="nil"/>
              <w:bottom w:val="nil"/>
              <w:right w:val="nil"/>
            </w:tcBorders>
            <w:shd w:val="clear" w:color="000000" w:fill="D9E1F2"/>
            <w:vAlign w:val="bottom"/>
          </w:tcPr>
          <w:p w:rsidR="009D4395" w:rsidRPr="0058331B" w:rsidRDefault="00296B01" w:rsidP="00B36697">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OMS</w:t>
            </w:r>
          </w:p>
        </w:tc>
        <w:tc>
          <w:tcPr>
            <w:tcW w:w="3827" w:type="dxa"/>
            <w:tcBorders>
              <w:top w:val="nil"/>
              <w:left w:val="nil"/>
              <w:bottom w:val="nil"/>
              <w:right w:val="nil"/>
            </w:tcBorders>
            <w:shd w:val="clear" w:color="000000" w:fill="D9E1F2"/>
            <w:vAlign w:val="bottom"/>
          </w:tcPr>
          <w:p w:rsidR="009D4395" w:rsidRPr="0058331B" w:rsidRDefault="00CF595B" w:rsidP="00B36697">
            <w:pPr>
              <w:spacing w:after="0" w:line="240" w:lineRule="auto"/>
              <w:jc w:val="center"/>
              <w:rPr>
                <w:rFonts w:ascii="Arial" w:eastAsia="Times New Roman" w:hAnsi="Arial" w:cs="Arial"/>
                <w:b/>
                <w:bCs/>
                <w:sz w:val="16"/>
                <w:szCs w:val="16"/>
                <w:lang w:eastAsia="pt-BR"/>
              </w:rPr>
            </w:pPr>
            <w:hyperlink r:id="rId41" w:history="1">
              <w:r w:rsidR="0035453A" w:rsidRPr="0058331B">
                <w:rPr>
                  <w:rStyle w:val="Hyperlink"/>
                  <w:sz w:val="16"/>
                  <w:szCs w:val="16"/>
                </w:rPr>
                <w:t>http://apps.who.int/gho/data/node.wrapper.imr?x-id=3354</w:t>
              </w:r>
            </w:hyperlink>
          </w:p>
        </w:tc>
      </w:tr>
      <w:tr w:rsidR="009D4395" w:rsidRPr="0058331B" w:rsidTr="009D4395">
        <w:trPr>
          <w:trHeight w:val="885"/>
        </w:trPr>
        <w:tc>
          <w:tcPr>
            <w:tcW w:w="1580" w:type="dxa"/>
            <w:tcBorders>
              <w:top w:val="nil"/>
              <w:left w:val="nil"/>
              <w:bottom w:val="nil"/>
              <w:right w:val="nil"/>
            </w:tcBorders>
            <w:shd w:val="clear" w:color="000000" w:fill="D9E1F2"/>
            <w:vAlign w:val="bottom"/>
          </w:tcPr>
          <w:p w:rsidR="009D4395" w:rsidRPr="0058331B" w:rsidRDefault="009D4395" w:rsidP="00ED19BE">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 de morte</w:t>
            </w:r>
            <w:r w:rsidR="00ED19BE">
              <w:rPr>
                <w:rFonts w:ascii="Arial" w:eastAsia="Times New Roman" w:hAnsi="Arial" w:cs="Arial"/>
                <w:b/>
                <w:bCs/>
                <w:sz w:val="16"/>
                <w:szCs w:val="16"/>
                <w:lang w:eastAsia="pt-BR"/>
              </w:rPr>
              <w:t>s por causas</w:t>
            </w:r>
            <w:r w:rsidRPr="0058331B">
              <w:rPr>
                <w:rFonts w:ascii="Arial" w:eastAsia="Times New Roman" w:hAnsi="Arial" w:cs="Arial"/>
                <w:b/>
                <w:bCs/>
                <w:sz w:val="16"/>
                <w:szCs w:val="16"/>
                <w:lang w:eastAsia="pt-BR"/>
              </w:rPr>
              <w:t xml:space="preserve"> evitáveis</w:t>
            </w:r>
          </w:p>
        </w:tc>
        <w:tc>
          <w:tcPr>
            <w:tcW w:w="5791" w:type="dxa"/>
            <w:tcBorders>
              <w:top w:val="nil"/>
              <w:left w:val="nil"/>
              <w:bottom w:val="nil"/>
              <w:right w:val="nil"/>
            </w:tcBorders>
            <w:shd w:val="clear" w:color="000000" w:fill="D9E1F2"/>
            <w:vAlign w:val="bottom"/>
          </w:tcPr>
          <w:p w:rsidR="009D4395" w:rsidRPr="0058331B" w:rsidRDefault="00296B01" w:rsidP="00296B01">
            <w:pPr>
              <w:spacing w:after="0" w:line="240" w:lineRule="auto"/>
              <w:jc w:val="both"/>
              <w:rPr>
                <w:rFonts w:ascii="Arial" w:eastAsia="Times New Roman" w:hAnsi="Arial" w:cs="Arial"/>
                <w:bCs/>
                <w:sz w:val="16"/>
                <w:szCs w:val="16"/>
                <w:lang w:eastAsia="pt-BR"/>
              </w:rPr>
            </w:pPr>
            <w:r w:rsidRPr="0058331B">
              <w:rPr>
                <w:rFonts w:ascii="Arial" w:eastAsia="Times New Roman" w:hAnsi="Arial" w:cs="Arial"/>
                <w:bCs/>
                <w:sz w:val="16"/>
                <w:szCs w:val="16"/>
                <w:lang w:eastAsia="pt-BR"/>
              </w:rPr>
              <w:t>Proporção de pessoas de 30 anos que morreriam antes dos 70 anos de idade por qualquer doença cardiovascular, câncer, diabetes ou doença respiratória crônica, assumindo que ele experimentaria taxas de mortalidade atuais em todas as idades e não morra por qualquer outra causa de morte (por exemplo, ferimentos ou HIV / AIDS).</w:t>
            </w:r>
          </w:p>
        </w:tc>
        <w:tc>
          <w:tcPr>
            <w:tcW w:w="1843" w:type="dxa"/>
            <w:tcBorders>
              <w:top w:val="nil"/>
              <w:left w:val="nil"/>
              <w:bottom w:val="nil"/>
              <w:right w:val="nil"/>
            </w:tcBorders>
            <w:shd w:val="clear" w:color="000000" w:fill="D9E1F2"/>
            <w:vAlign w:val="bottom"/>
          </w:tcPr>
          <w:p w:rsidR="009D4395" w:rsidRPr="0058331B" w:rsidRDefault="00296B01" w:rsidP="00B36697">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OMS</w:t>
            </w:r>
          </w:p>
        </w:tc>
        <w:tc>
          <w:tcPr>
            <w:tcW w:w="3827" w:type="dxa"/>
            <w:tcBorders>
              <w:top w:val="nil"/>
              <w:left w:val="nil"/>
              <w:bottom w:val="nil"/>
              <w:right w:val="nil"/>
            </w:tcBorders>
            <w:shd w:val="clear" w:color="000000" w:fill="D9E1F2"/>
            <w:vAlign w:val="bottom"/>
          </w:tcPr>
          <w:p w:rsidR="009D4395" w:rsidRPr="0058331B" w:rsidRDefault="00CF595B" w:rsidP="00B36697">
            <w:pPr>
              <w:spacing w:after="0" w:line="240" w:lineRule="auto"/>
              <w:jc w:val="center"/>
              <w:rPr>
                <w:rFonts w:ascii="Arial" w:eastAsia="Times New Roman" w:hAnsi="Arial" w:cs="Arial"/>
                <w:b/>
                <w:bCs/>
                <w:sz w:val="16"/>
                <w:szCs w:val="16"/>
                <w:lang w:eastAsia="pt-BR"/>
              </w:rPr>
            </w:pPr>
            <w:hyperlink r:id="rId42" w:history="1">
              <w:r w:rsidR="0035453A" w:rsidRPr="0058331B">
                <w:rPr>
                  <w:rStyle w:val="Hyperlink"/>
                  <w:sz w:val="16"/>
                  <w:szCs w:val="16"/>
                </w:rPr>
                <w:t>http://apps.who.int/gho/data/node.wrapper.imr?x-id=3354</w:t>
              </w:r>
            </w:hyperlink>
          </w:p>
        </w:tc>
      </w:tr>
    </w:tbl>
    <w:p w:rsidR="00A8046E" w:rsidRDefault="00A8046E"/>
    <w:p w:rsidR="00A8046E" w:rsidRDefault="00A8046E"/>
    <w:p w:rsidR="0006025B" w:rsidRDefault="0006025B"/>
    <w:p w:rsidR="0006025B" w:rsidRDefault="0006025B"/>
    <w:p w:rsidR="008373CB" w:rsidRDefault="008373CB"/>
    <w:p w:rsidR="0006025B" w:rsidRDefault="0006025B"/>
    <w:p w:rsidR="0006025B" w:rsidRDefault="0006025B"/>
    <w:p w:rsidR="00A8046E" w:rsidRDefault="00A8046E"/>
    <w:tbl>
      <w:tblPr>
        <w:tblW w:w="13041" w:type="dxa"/>
        <w:jc w:val="center"/>
        <w:tblCellMar>
          <w:left w:w="70" w:type="dxa"/>
          <w:right w:w="70" w:type="dxa"/>
        </w:tblCellMar>
        <w:tblLook w:val="04A0" w:firstRow="1" w:lastRow="0" w:firstColumn="1" w:lastColumn="0" w:noHBand="0" w:noVBand="1"/>
      </w:tblPr>
      <w:tblGrid>
        <w:gridCol w:w="1524"/>
        <w:gridCol w:w="6414"/>
        <w:gridCol w:w="1560"/>
        <w:gridCol w:w="3543"/>
      </w:tblGrid>
      <w:tr w:rsidR="00A8046E" w:rsidRPr="0058331B" w:rsidTr="008373CB">
        <w:trPr>
          <w:trHeight w:val="709"/>
          <w:jc w:val="center"/>
        </w:trPr>
        <w:tc>
          <w:tcPr>
            <w:tcW w:w="1524" w:type="dxa"/>
            <w:tcBorders>
              <w:top w:val="nil"/>
              <w:left w:val="nil"/>
              <w:bottom w:val="nil"/>
              <w:right w:val="nil"/>
            </w:tcBorders>
            <w:shd w:val="clear" w:color="auto" w:fill="CCCCFF"/>
            <w:vAlign w:val="center"/>
          </w:tcPr>
          <w:p w:rsidR="00A8046E" w:rsidRPr="0058331B" w:rsidRDefault="00A8046E" w:rsidP="00730DF6">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lastRenderedPageBreak/>
              <w:t>Variáveis intersetoriais</w:t>
            </w:r>
          </w:p>
        </w:tc>
        <w:tc>
          <w:tcPr>
            <w:tcW w:w="6414" w:type="dxa"/>
            <w:tcBorders>
              <w:top w:val="nil"/>
              <w:left w:val="nil"/>
              <w:bottom w:val="nil"/>
              <w:right w:val="nil"/>
            </w:tcBorders>
            <w:shd w:val="clear" w:color="auto" w:fill="CCCCFF"/>
            <w:vAlign w:val="center"/>
          </w:tcPr>
          <w:p w:rsidR="00A8046E" w:rsidRPr="0058331B" w:rsidRDefault="00A8046E" w:rsidP="00730DF6">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Descrição</w:t>
            </w:r>
          </w:p>
        </w:tc>
        <w:tc>
          <w:tcPr>
            <w:tcW w:w="1560" w:type="dxa"/>
            <w:tcBorders>
              <w:top w:val="nil"/>
              <w:left w:val="nil"/>
              <w:bottom w:val="nil"/>
              <w:right w:val="nil"/>
            </w:tcBorders>
            <w:shd w:val="clear" w:color="auto" w:fill="CCCCFF"/>
            <w:vAlign w:val="center"/>
          </w:tcPr>
          <w:p w:rsidR="00A8046E" w:rsidRPr="0058331B" w:rsidRDefault="00A8046E" w:rsidP="00730DF6">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Fonte</w:t>
            </w:r>
          </w:p>
        </w:tc>
        <w:tc>
          <w:tcPr>
            <w:tcW w:w="3543" w:type="dxa"/>
            <w:tcBorders>
              <w:top w:val="nil"/>
              <w:left w:val="nil"/>
              <w:bottom w:val="nil"/>
              <w:right w:val="nil"/>
            </w:tcBorders>
            <w:shd w:val="clear" w:color="auto" w:fill="CCCCFF"/>
            <w:vAlign w:val="center"/>
          </w:tcPr>
          <w:p w:rsidR="00A8046E" w:rsidRPr="0058331B" w:rsidRDefault="00A8046E" w:rsidP="00730DF6">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Link</w:t>
            </w:r>
          </w:p>
        </w:tc>
      </w:tr>
      <w:tr w:rsidR="009D4395" w:rsidRPr="0058331B" w:rsidTr="008373CB">
        <w:trPr>
          <w:trHeight w:val="885"/>
          <w:jc w:val="center"/>
        </w:trPr>
        <w:tc>
          <w:tcPr>
            <w:tcW w:w="1524" w:type="dxa"/>
            <w:tcBorders>
              <w:top w:val="nil"/>
              <w:left w:val="nil"/>
              <w:bottom w:val="nil"/>
              <w:right w:val="nil"/>
            </w:tcBorders>
            <w:shd w:val="clear" w:color="auto" w:fill="CCCCFF"/>
            <w:vAlign w:val="center"/>
          </w:tcPr>
          <w:p w:rsidR="009D4395" w:rsidRPr="0058331B" w:rsidRDefault="009D4395" w:rsidP="0058331B">
            <w:pPr>
              <w:spacing w:after="0" w:line="240" w:lineRule="auto"/>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Concentração de renda percentil</w:t>
            </w:r>
            <w:r w:rsidRPr="0058331B">
              <w:rPr>
                <w:rFonts w:ascii="Arial" w:eastAsia="Times New Roman" w:hAnsi="Arial" w:cs="Arial"/>
                <w:b/>
                <w:bCs/>
                <w:sz w:val="16"/>
                <w:szCs w:val="16"/>
                <w:lang w:eastAsia="pt-BR"/>
              </w:rPr>
              <w:br/>
              <w:t xml:space="preserve"> mais rico</w:t>
            </w:r>
          </w:p>
        </w:tc>
        <w:tc>
          <w:tcPr>
            <w:tcW w:w="6414" w:type="dxa"/>
            <w:tcBorders>
              <w:top w:val="nil"/>
              <w:left w:val="nil"/>
              <w:bottom w:val="nil"/>
              <w:right w:val="nil"/>
            </w:tcBorders>
            <w:shd w:val="clear" w:color="auto" w:fill="CCCCFF"/>
            <w:vAlign w:val="center"/>
          </w:tcPr>
          <w:p w:rsidR="009D4395" w:rsidRPr="00730DF6" w:rsidRDefault="00AF12CC" w:rsidP="007F77F4">
            <w:pPr>
              <w:spacing w:after="0" w:line="240" w:lineRule="auto"/>
              <w:jc w:val="both"/>
              <w:rPr>
                <w:rFonts w:ascii="Arial" w:eastAsia="Times New Roman" w:hAnsi="Arial" w:cs="Arial"/>
                <w:bCs/>
                <w:sz w:val="16"/>
                <w:szCs w:val="16"/>
                <w:lang w:eastAsia="pt-BR"/>
              </w:rPr>
            </w:pPr>
            <w:r w:rsidRPr="00730DF6">
              <w:rPr>
                <w:rFonts w:ascii="Arial" w:eastAsia="Times New Roman" w:hAnsi="Arial" w:cs="Arial"/>
                <w:bCs/>
                <w:sz w:val="16"/>
                <w:szCs w:val="16"/>
                <w:lang w:eastAsia="pt-BR"/>
              </w:rPr>
              <w:t>Concentração de renda</w:t>
            </w:r>
            <w:r w:rsidR="00730DF6" w:rsidRPr="00730DF6">
              <w:rPr>
                <w:rFonts w:ascii="Arial" w:eastAsia="Times New Roman" w:hAnsi="Arial" w:cs="Arial"/>
                <w:bCs/>
                <w:sz w:val="16"/>
                <w:szCs w:val="16"/>
                <w:lang w:eastAsia="pt-BR"/>
              </w:rPr>
              <w:t xml:space="preserve">, como % </w:t>
            </w:r>
            <w:r w:rsidR="007F77F4">
              <w:rPr>
                <w:rFonts w:ascii="Arial" w:eastAsia="Times New Roman" w:hAnsi="Arial" w:cs="Arial"/>
                <w:bCs/>
                <w:sz w:val="16"/>
                <w:szCs w:val="16"/>
                <w:lang w:eastAsia="pt-BR"/>
              </w:rPr>
              <w:t>renda nacional</w:t>
            </w:r>
            <w:r w:rsidR="00730DF6" w:rsidRPr="00730DF6">
              <w:rPr>
                <w:rFonts w:ascii="Arial" w:eastAsia="Times New Roman" w:hAnsi="Arial" w:cs="Arial"/>
                <w:bCs/>
                <w:sz w:val="16"/>
                <w:szCs w:val="16"/>
                <w:lang w:eastAsia="pt-BR"/>
              </w:rPr>
              <w:t>, no percentil mais rico de uma sociedade</w:t>
            </w:r>
          </w:p>
        </w:tc>
        <w:tc>
          <w:tcPr>
            <w:tcW w:w="1560" w:type="dxa"/>
            <w:tcBorders>
              <w:top w:val="nil"/>
              <w:left w:val="nil"/>
              <w:bottom w:val="nil"/>
              <w:right w:val="nil"/>
            </w:tcBorders>
            <w:shd w:val="clear" w:color="auto" w:fill="CCCCFF"/>
            <w:vAlign w:val="center"/>
          </w:tcPr>
          <w:p w:rsidR="009D4395" w:rsidRPr="0058331B" w:rsidRDefault="005051C9" w:rsidP="00B36697">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WID</w:t>
            </w:r>
          </w:p>
        </w:tc>
        <w:tc>
          <w:tcPr>
            <w:tcW w:w="3543" w:type="dxa"/>
            <w:tcBorders>
              <w:top w:val="nil"/>
              <w:left w:val="nil"/>
              <w:bottom w:val="nil"/>
              <w:right w:val="nil"/>
            </w:tcBorders>
            <w:shd w:val="clear" w:color="auto" w:fill="CCCCFF"/>
            <w:vAlign w:val="center"/>
          </w:tcPr>
          <w:p w:rsidR="009D4395" w:rsidRPr="0058331B" w:rsidRDefault="00CF595B" w:rsidP="0058331B">
            <w:pPr>
              <w:spacing w:after="0" w:line="240" w:lineRule="auto"/>
              <w:rPr>
                <w:rFonts w:ascii="Arial" w:eastAsia="Times New Roman" w:hAnsi="Arial" w:cs="Arial"/>
                <w:b/>
                <w:bCs/>
                <w:sz w:val="16"/>
                <w:szCs w:val="16"/>
                <w:lang w:eastAsia="pt-BR"/>
              </w:rPr>
            </w:pPr>
            <w:hyperlink r:id="rId43" w:history="1">
              <w:r w:rsidR="0058331B" w:rsidRPr="0058331B">
                <w:rPr>
                  <w:rStyle w:val="Hyperlink"/>
                  <w:sz w:val="16"/>
                  <w:szCs w:val="16"/>
                </w:rPr>
                <w:t>https://wid.world/</w:t>
              </w:r>
            </w:hyperlink>
          </w:p>
        </w:tc>
      </w:tr>
      <w:tr w:rsidR="005051C9" w:rsidRPr="0058331B" w:rsidTr="008373CB">
        <w:trPr>
          <w:trHeight w:val="885"/>
          <w:jc w:val="center"/>
        </w:trPr>
        <w:tc>
          <w:tcPr>
            <w:tcW w:w="1524" w:type="dxa"/>
            <w:tcBorders>
              <w:top w:val="nil"/>
              <w:left w:val="nil"/>
              <w:bottom w:val="nil"/>
              <w:right w:val="nil"/>
            </w:tcBorders>
            <w:shd w:val="clear" w:color="auto" w:fill="CCCCFF"/>
            <w:vAlign w:val="center"/>
          </w:tcPr>
          <w:p w:rsidR="005051C9" w:rsidRPr="0058331B" w:rsidRDefault="005051C9" w:rsidP="0058331B">
            <w:pPr>
              <w:spacing w:after="0" w:line="240" w:lineRule="auto"/>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IDH</w:t>
            </w:r>
          </w:p>
        </w:tc>
        <w:tc>
          <w:tcPr>
            <w:tcW w:w="6414" w:type="dxa"/>
            <w:tcBorders>
              <w:top w:val="nil"/>
              <w:left w:val="nil"/>
              <w:bottom w:val="nil"/>
              <w:right w:val="nil"/>
            </w:tcBorders>
            <w:shd w:val="clear" w:color="auto" w:fill="CCCCFF"/>
            <w:vAlign w:val="center"/>
          </w:tcPr>
          <w:p w:rsidR="005051C9" w:rsidRDefault="007F77F4" w:rsidP="007F77F4">
            <w:pPr>
              <w:spacing w:after="0" w:line="240" w:lineRule="auto"/>
              <w:jc w:val="both"/>
              <w:rPr>
                <w:rFonts w:ascii="Arial" w:eastAsia="Times New Roman" w:hAnsi="Arial" w:cs="Arial"/>
                <w:bCs/>
                <w:sz w:val="16"/>
                <w:szCs w:val="16"/>
                <w:lang w:eastAsia="pt-BR"/>
              </w:rPr>
            </w:pPr>
            <w:r w:rsidRPr="007F77F4">
              <w:rPr>
                <w:rFonts w:ascii="Arial" w:eastAsia="Times New Roman" w:hAnsi="Arial" w:cs="Arial"/>
                <w:bCs/>
                <w:sz w:val="16"/>
                <w:szCs w:val="16"/>
                <w:lang w:eastAsia="pt-BR"/>
              </w:rPr>
              <w:t>O Índice de Desenvolvimento Humano (IDH) é uma medida resumida</w:t>
            </w:r>
            <w:r>
              <w:rPr>
                <w:rFonts w:ascii="Arial" w:eastAsia="Times New Roman" w:hAnsi="Arial" w:cs="Arial"/>
                <w:bCs/>
                <w:sz w:val="16"/>
                <w:szCs w:val="16"/>
                <w:lang w:eastAsia="pt-BR"/>
              </w:rPr>
              <w:t xml:space="preserve"> do alcance</w:t>
            </w:r>
            <w:r w:rsidRPr="007F77F4">
              <w:rPr>
                <w:rFonts w:ascii="Arial" w:eastAsia="Times New Roman" w:hAnsi="Arial" w:cs="Arial"/>
                <w:bCs/>
                <w:sz w:val="16"/>
                <w:szCs w:val="16"/>
                <w:lang w:eastAsia="pt-BR"/>
              </w:rPr>
              <w:t xml:space="preserve"> em três dimensões principais do desenvolvimento humano: uma vida longa e saudável, acesso ao conhecimento e </w:t>
            </w:r>
            <w:r>
              <w:rPr>
                <w:rFonts w:ascii="Arial" w:eastAsia="Times New Roman" w:hAnsi="Arial" w:cs="Arial"/>
                <w:bCs/>
                <w:sz w:val="16"/>
                <w:szCs w:val="16"/>
                <w:lang w:eastAsia="pt-BR"/>
              </w:rPr>
              <w:t xml:space="preserve">um </w:t>
            </w:r>
            <w:r w:rsidRPr="007F77F4">
              <w:rPr>
                <w:rFonts w:ascii="Arial" w:eastAsia="Times New Roman" w:hAnsi="Arial" w:cs="Arial"/>
                <w:bCs/>
                <w:sz w:val="16"/>
                <w:szCs w:val="16"/>
                <w:lang w:eastAsia="pt-BR"/>
              </w:rPr>
              <w:t>padrão de vida</w:t>
            </w:r>
            <w:r>
              <w:rPr>
                <w:rFonts w:ascii="Arial" w:eastAsia="Times New Roman" w:hAnsi="Arial" w:cs="Arial"/>
                <w:bCs/>
                <w:sz w:val="16"/>
                <w:szCs w:val="16"/>
                <w:lang w:eastAsia="pt-BR"/>
              </w:rPr>
              <w:t xml:space="preserve"> decente</w:t>
            </w:r>
            <w:r w:rsidRPr="007F77F4">
              <w:rPr>
                <w:rFonts w:ascii="Arial" w:eastAsia="Times New Roman" w:hAnsi="Arial" w:cs="Arial"/>
                <w:bCs/>
                <w:sz w:val="16"/>
                <w:szCs w:val="16"/>
                <w:lang w:eastAsia="pt-BR"/>
              </w:rPr>
              <w:t>. O IDH é a média geométrica dos índices normalizados para cada uma das três dimensões.</w:t>
            </w:r>
          </w:p>
          <w:p w:rsidR="008373CB" w:rsidRPr="00730DF6" w:rsidRDefault="008373CB" w:rsidP="007F77F4">
            <w:pPr>
              <w:spacing w:after="0" w:line="240" w:lineRule="auto"/>
              <w:jc w:val="both"/>
              <w:rPr>
                <w:rFonts w:ascii="Arial" w:eastAsia="Times New Roman" w:hAnsi="Arial" w:cs="Arial"/>
                <w:bCs/>
                <w:sz w:val="16"/>
                <w:szCs w:val="16"/>
                <w:lang w:eastAsia="pt-BR"/>
              </w:rPr>
            </w:pPr>
          </w:p>
        </w:tc>
        <w:tc>
          <w:tcPr>
            <w:tcW w:w="1560" w:type="dxa"/>
            <w:tcBorders>
              <w:top w:val="nil"/>
              <w:left w:val="nil"/>
              <w:bottom w:val="nil"/>
              <w:right w:val="nil"/>
            </w:tcBorders>
            <w:shd w:val="clear" w:color="auto" w:fill="CCCCFF"/>
            <w:vAlign w:val="center"/>
          </w:tcPr>
          <w:p w:rsidR="005051C9" w:rsidRPr="0058331B" w:rsidRDefault="005051C9" w:rsidP="005051C9">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UNDNP</w:t>
            </w:r>
          </w:p>
        </w:tc>
        <w:tc>
          <w:tcPr>
            <w:tcW w:w="3543" w:type="dxa"/>
            <w:tcBorders>
              <w:top w:val="nil"/>
              <w:left w:val="nil"/>
              <w:bottom w:val="nil"/>
              <w:right w:val="nil"/>
            </w:tcBorders>
            <w:shd w:val="clear" w:color="auto" w:fill="CCCCFF"/>
            <w:vAlign w:val="center"/>
          </w:tcPr>
          <w:p w:rsidR="005051C9" w:rsidRPr="0058331B" w:rsidRDefault="00CF595B" w:rsidP="005051C9">
            <w:pPr>
              <w:rPr>
                <w:sz w:val="16"/>
                <w:szCs w:val="16"/>
              </w:rPr>
            </w:pPr>
            <w:hyperlink r:id="rId44" w:history="1">
              <w:r w:rsidR="005051C9" w:rsidRPr="0058331B">
                <w:rPr>
                  <w:rStyle w:val="Hyperlink"/>
                  <w:sz w:val="16"/>
                  <w:szCs w:val="16"/>
                </w:rPr>
                <w:t>http://hdr.undp.org/en/data</w:t>
              </w:r>
            </w:hyperlink>
          </w:p>
        </w:tc>
      </w:tr>
      <w:tr w:rsidR="005051C9" w:rsidRPr="0058331B" w:rsidTr="008373CB">
        <w:trPr>
          <w:trHeight w:val="885"/>
          <w:jc w:val="center"/>
        </w:trPr>
        <w:tc>
          <w:tcPr>
            <w:tcW w:w="1524" w:type="dxa"/>
            <w:tcBorders>
              <w:top w:val="nil"/>
              <w:left w:val="nil"/>
              <w:bottom w:val="nil"/>
              <w:right w:val="nil"/>
            </w:tcBorders>
            <w:shd w:val="clear" w:color="auto" w:fill="CCCCFF"/>
            <w:vAlign w:val="center"/>
          </w:tcPr>
          <w:p w:rsidR="005051C9" w:rsidRPr="0058331B" w:rsidRDefault="005051C9" w:rsidP="0058331B">
            <w:pPr>
              <w:spacing w:after="0" w:line="240" w:lineRule="auto"/>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Iniquidade de gênero</w:t>
            </w:r>
          </w:p>
        </w:tc>
        <w:tc>
          <w:tcPr>
            <w:tcW w:w="6414" w:type="dxa"/>
            <w:tcBorders>
              <w:top w:val="nil"/>
              <w:left w:val="nil"/>
              <w:bottom w:val="nil"/>
              <w:right w:val="nil"/>
            </w:tcBorders>
            <w:shd w:val="clear" w:color="auto" w:fill="CCCCFF"/>
            <w:vAlign w:val="center"/>
          </w:tcPr>
          <w:p w:rsidR="005051C9" w:rsidRDefault="007F77F4" w:rsidP="006665CD">
            <w:pPr>
              <w:spacing w:after="0" w:line="240" w:lineRule="auto"/>
              <w:jc w:val="both"/>
              <w:rPr>
                <w:rFonts w:ascii="Arial" w:eastAsia="Times New Roman" w:hAnsi="Arial" w:cs="Arial"/>
                <w:bCs/>
                <w:sz w:val="16"/>
                <w:szCs w:val="16"/>
                <w:lang w:eastAsia="pt-BR"/>
              </w:rPr>
            </w:pPr>
            <w:r w:rsidRPr="007F77F4">
              <w:rPr>
                <w:rFonts w:ascii="Arial" w:eastAsia="Times New Roman" w:hAnsi="Arial" w:cs="Arial"/>
                <w:bCs/>
                <w:sz w:val="16"/>
                <w:szCs w:val="16"/>
                <w:lang w:eastAsia="pt-BR"/>
              </w:rPr>
              <w:t>O Índice de Desigualdade de Gênero (GII) reflete</w:t>
            </w:r>
            <w:r>
              <w:rPr>
                <w:rFonts w:ascii="Arial" w:eastAsia="Times New Roman" w:hAnsi="Arial" w:cs="Arial"/>
                <w:bCs/>
                <w:sz w:val="16"/>
                <w:szCs w:val="16"/>
                <w:lang w:eastAsia="pt-BR"/>
              </w:rPr>
              <w:t xml:space="preserve"> </w:t>
            </w:r>
            <w:r w:rsidRPr="007F77F4">
              <w:rPr>
                <w:rFonts w:ascii="Arial" w:eastAsia="Times New Roman" w:hAnsi="Arial" w:cs="Arial"/>
                <w:bCs/>
                <w:sz w:val="16"/>
                <w:szCs w:val="16"/>
                <w:lang w:eastAsia="pt-BR"/>
              </w:rPr>
              <w:t>desvantage</w:t>
            </w:r>
            <w:r>
              <w:rPr>
                <w:rFonts w:ascii="Arial" w:eastAsia="Times New Roman" w:hAnsi="Arial" w:cs="Arial"/>
                <w:bCs/>
                <w:sz w:val="16"/>
                <w:szCs w:val="16"/>
                <w:lang w:eastAsia="pt-BR"/>
              </w:rPr>
              <w:t>ns</w:t>
            </w:r>
            <w:r w:rsidRPr="007F77F4">
              <w:rPr>
                <w:rFonts w:ascii="Arial" w:eastAsia="Times New Roman" w:hAnsi="Arial" w:cs="Arial"/>
                <w:bCs/>
                <w:sz w:val="16"/>
                <w:szCs w:val="16"/>
                <w:lang w:eastAsia="pt-BR"/>
              </w:rPr>
              <w:t xml:space="preserve"> em três dimensões - saúde reprodutiva,</w:t>
            </w:r>
            <w:r>
              <w:rPr>
                <w:rFonts w:ascii="Arial" w:eastAsia="Times New Roman" w:hAnsi="Arial" w:cs="Arial"/>
                <w:bCs/>
                <w:sz w:val="16"/>
                <w:szCs w:val="16"/>
                <w:lang w:eastAsia="pt-BR"/>
              </w:rPr>
              <w:t xml:space="preserve"> </w:t>
            </w:r>
            <w:r w:rsidRPr="007F77F4">
              <w:rPr>
                <w:rFonts w:ascii="Arial" w:eastAsia="Times New Roman" w:hAnsi="Arial" w:cs="Arial"/>
                <w:bCs/>
                <w:sz w:val="16"/>
                <w:szCs w:val="16"/>
                <w:lang w:eastAsia="pt-BR"/>
              </w:rPr>
              <w:t>empod</w:t>
            </w:r>
            <w:r>
              <w:rPr>
                <w:rFonts w:ascii="Arial" w:eastAsia="Times New Roman" w:hAnsi="Arial" w:cs="Arial"/>
                <w:bCs/>
                <w:sz w:val="16"/>
                <w:szCs w:val="16"/>
                <w:lang w:eastAsia="pt-BR"/>
              </w:rPr>
              <w:t>eramento e mercado de trabalho</w:t>
            </w:r>
            <w:r w:rsidRPr="007F77F4">
              <w:rPr>
                <w:rFonts w:ascii="Arial" w:eastAsia="Times New Roman" w:hAnsi="Arial" w:cs="Arial"/>
                <w:bCs/>
                <w:sz w:val="16"/>
                <w:szCs w:val="16"/>
                <w:lang w:eastAsia="pt-BR"/>
              </w:rPr>
              <w:t>. Isso mostra a perda de potencial</w:t>
            </w:r>
            <w:r>
              <w:rPr>
                <w:rFonts w:ascii="Arial" w:eastAsia="Times New Roman" w:hAnsi="Arial" w:cs="Arial"/>
                <w:bCs/>
                <w:sz w:val="16"/>
                <w:szCs w:val="16"/>
                <w:lang w:eastAsia="pt-BR"/>
              </w:rPr>
              <w:t xml:space="preserve"> </w:t>
            </w:r>
            <w:r w:rsidRPr="007F77F4">
              <w:rPr>
                <w:rFonts w:ascii="Arial" w:eastAsia="Times New Roman" w:hAnsi="Arial" w:cs="Arial"/>
                <w:bCs/>
                <w:sz w:val="16"/>
                <w:szCs w:val="16"/>
                <w:lang w:eastAsia="pt-BR"/>
              </w:rPr>
              <w:t xml:space="preserve">desenvolvimento humano devido à desigualdade </w:t>
            </w:r>
            <w:r w:rsidR="006665CD">
              <w:rPr>
                <w:rFonts w:ascii="Arial" w:eastAsia="Times New Roman" w:hAnsi="Arial" w:cs="Arial"/>
                <w:bCs/>
                <w:sz w:val="16"/>
                <w:szCs w:val="16"/>
                <w:lang w:eastAsia="pt-BR"/>
              </w:rPr>
              <w:t xml:space="preserve">no alcance de resultados </w:t>
            </w:r>
            <w:r w:rsidRPr="007F77F4">
              <w:rPr>
                <w:rFonts w:ascii="Arial" w:eastAsia="Times New Roman" w:hAnsi="Arial" w:cs="Arial"/>
                <w:bCs/>
                <w:sz w:val="16"/>
                <w:szCs w:val="16"/>
                <w:lang w:eastAsia="pt-BR"/>
              </w:rPr>
              <w:t>entre mulheres e</w:t>
            </w:r>
            <w:r>
              <w:rPr>
                <w:rFonts w:ascii="Arial" w:eastAsia="Times New Roman" w:hAnsi="Arial" w:cs="Arial"/>
                <w:bCs/>
                <w:sz w:val="16"/>
                <w:szCs w:val="16"/>
                <w:lang w:eastAsia="pt-BR"/>
              </w:rPr>
              <w:t xml:space="preserve"> </w:t>
            </w:r>
            <w:r w:rsidR="006665CD">
              <w:rPr>
                <w:rFonts w:ascii="Arial" w:eastAsia="Times New Roman" w:hAnsi="Arial" w:cs="Arial"/>
                <w:bCs/>
                <w:sz w:val="16"/>
                <w:szCs w:val="16"/>
                <w:lang w:eastAsia="pt-BR"/>
              </w:rPr>
              <w:t>homens</w:t>
            </w:r>
            <w:r w:rsidRPr="007F77F4">
              <w:rPr>
                <w:rFonts w:ascii="Arial" w:eastAsia="Times New Roman" w:hAnsi="Arial" w:cs="Arial"/>
                <w:bCs/>
                <w:sz w:val="16"/>
                <w:szCs w:val="16"/>
                <w:lang w:eastAsia="pt-BR"/>
              </w:rPr>
              <w:t xml:space="preserve"> nessas dimensões. Varia de 0, onde</w:t>
            </w:r>
            <w:r>
              <w:rPr>
                <w:rFonts w:ascii="Arial" w:eastAsia="Times New Roman" w:hAnsi="Arial" w:cs="Arial"/>
                <w:bCs/>
                <w:sz w:val="16"/>
                <w:szCs w:val="16"/>
                <w:lang w:eastAsia="pt-BR"/>
              </w:rPr>
              <w:t xml:space="preserve"> </w:t>
            </w:r>
            <w:r w:rsidRPr="007F77F4">
              <w:rPr>
                <w:rFonts w:ascii="Arial" w:eastAsia="Times New Roman" w:hAnsi="Arial" w:cs="Arial"/>
                <w:bCs/>
                <w:sz w:val="16"/>
                <w:szCs w:val="16"/>
                <w:lang w:eastAsia="pt-BR"/>
              </w:rPr>
              <w:t xml:space="preserve">mulheres e homens se saem igualmente, para 1, onde um gênero </w:t>
            </w:r>
            <w:r>
              <w:rPr>
                <w:rFonts w:ascii="Arial" w:eastAsia="Times New Roman" w:hAnsi="Arial" w:cs="Arial"/>
                <w:bCs/>
                <w:sz w:val="16"/>
                <w:szCs w:val="16"/>
                <w:lang w:eastAsia="pt-BR"/>
              </w:rPr>
              <w:t xml:space="preserve">apresenta </w:t>
            </w:r>
            <w:r w:rsidR="006665CD">
              <w:rPr>
                <w:rFonts w:ascii="Arial" w:eastAsia="Times New Roman" w:hAnsi="Arial" w:cs="Arial"/>
                <w:bCs/>
                <w:sz w:val="16"/>
                <w:szCs w:val="16"/>
                <w:lang w:eastAsia="pt-BR"/>
              </w:rPr>
              <w:t xml:space="preserve">os piores resultados possíveis </w:t>
            </w:r>
            <w:r w:rsidRPr="007F77F4">
              <w:rPr>
                <w:rFonts w:ascii="Arial" w:eastAsia="Times New Roman" w:hAnsi="Arial" w:cs="Arial"/>
                <w:bCs/>
                <w:sz w:val="16"/>
                <w:szCs w:val="16"/>
                <w:lang w:eastAsia="pt-BR"/>
              </w:rPr>
              <w:t>em todas as dimensões medidas.</w:t>
            </w:r>
          </w:p>
          <w:p w:rsidR="008373CB" w:rsidRPr="00730DF6" w:rsidRDefault="008373CB" w:rsidP="006665CD">
            <w:pPr>
              <w:spacing w:after="0" w:line="240" w:lineRule="auto"/>
              <w:jc w:val="both"/>
              <w:rPr>
                <w:rFonts w:ascii="Arial" w:eastAsia="Times New Roman" w:hAnsi="Arial" w:cs="Arial"/>
                <w:bCs/>
                <w:sz w:val="16"/>
                <w:szCs w:val="16"/>
                <w:lang w:eastAsia="pt-BR"/>
              </w:rPr>
            </w:pPr>
          </w:p>
        </w:tc>
        <w:tc>
          <w:tcPr>
            <w:tcW w:w="1560" w:type="dxa"/>
            <w:tcBorders>
              <w:top w:val="nil"/>
              <w:left w:val="nil"/>
              <w:bottom w:val="nil"/>
              <w:right w:val="nil"/>
            </w:tcBorders>
            <w:shd w:val="clear" w:color="auto" w:fill="CCCCFF"/>
            <w:vAlign w:val="center"/>
          </w:tcPr>
          <w:p w:rsidR="005051C9" w:rsidRPr="0058331B" w:rsidRDefault="005051C9" w:rsidP="005051C9">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UNDNP</w:t>
            </w:r>
          </w:p>
        </w:tc>
        <w:tc>
          <w:tcPr>
            <w:tcW w:w="3543" w:type="dxa"/>
            <w:tcBorders>
              <w:top w:val="nil"/>
              <w:left w:val="nil"/>
              <w:bottom w:val="nil"/>
              <w:right w:val="nil"/>
            </w:tcBorders>
            <w:shd w:val="clear" w:color="auto" w:fill="CCCCFF"/>
            <w:vAlign w:val="center"/>
          </w:tcPr>
          <w:p w:rsidR="005051C9" w:rsidRPr="0058331B" w:rsidRDefault="00CF595B" w:rsidP="005051C9">
            <w:pPr>
              <w:rPr>
                <w:sz w:val="16"/>
                <w:szCs w:val="16"/>
              </w:rPr>
            </w:pPr>
            <w:hyperlink r:id="rId45" w:history="1">
              <w:r w:rsidR="005051C9" w:rsidRPr="0058331B">
                <w:rPr>
                  <w:rStyle w:val="Hyperlink"/>
                  <w:sz w:val="16"/>
                  <w:szCs w:val="16"/>
                </w:rPr>
                <w:t>http://hdr.undp.org/en/data</w:t>
              </w:r>
            </w:hyperlink>
          </w:p>
        </w:tc>
      </w:tr>
      <w:tr w:rsidR="005051C9" w:rsidRPr="0058331B" w:rsidTr="008373CB">
        <w:trPr>
          <w:trHeight w:val="885"/>
          <w:jc w:val="center"/>
        </w:trPr>
        <w:tc>
          <w:tcPr>
            <w:tcW w:w="1524" w:type="dxa"/>
            <w:tcBorders>
              <w:top w:val="nil"/>
              <w:left w:val="nil"/>
              <w:bottom w:val="nil"/>
              <w:right w:val="nil"/>
            </w:tcBorders>
            <w:shd w:val="clear" w:color="auto" w:fill="CCCCFF"/>
            <w:vAlign w:val="center"/>
          </w:tcPr>
          <w:p w:rsidR="005051C9" w:rsidRPr="0058331B" w:rsidRDefault="005051C9" w:rsidP="0058331B">
            <w:pPr>
              <w:spacing w:after="0" w:line="240" w:lineRule="auto"/>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Taxa de desemprego</w:t>
            </w:r>
          </w:p>
        </w:tc>
        <w:tc>
          <w:tcPr>
            <w:tcW w:w="6414" w:type="dxa"/>
            <w:tcBorders>
              <w:top w:val="nil"/>
              <w:left w:val="nil"/>
              <w:bottom w:val="nil"/>
              <w:right w:val="nil"/>
            </w:tcBorders>
            <w:shd w:val="clear" w:color="auto" w:fill="CCCCFF"/>
            <w:vAlign w:val="center"/>
          </w:tcPr>
          <w:p w:rsidR="00D112D9" w:rsidRPr="00D112D9" w:rsidRDefault="00D112D9" w:rsidP="00D112D9">
            <w:pPr>
              <w:spacing w:after="0" w:line="240" w:lineRule="auto"/>
              <w:jc w:val="both"/>
              <w:rPr>
                <w:rFonts w:ascii="Arial" w:eastAsia="Times New Roman" w:hAnsi="Arial" w:cs="Arial"/>
                <w:bCs/>
                <w:sz w:val="16"/>
                <w:szCs w:val="16"/>
                <w:lang w:eastAsia="pt-BR"/>
              </w:rPr>
            </w:pPr>
            <w:r w:rsidRPr="00D112D9">
              <w:rPr>
                <w:rFonts w:ascii="Arial" w:eastAsia="Times New Roman" w:hAnsi="Arial" w:cs="Arial"/>
                <w:bCs/>
                <w:sz w:val="16"/>
                <w:szCs w:val="16"/>
                <w:lang w:eastAsia="pt-BR"/>
              </w:rPr>
              <w:t>A taxa de desemprego é calculada expressando o número de pessoas desempregadas como um</w:t>
            </w:r>
            <w:r>
              <w:rPr>
                <w:rFonts w:ascii="Arial" w:eastAsia="Times New Roman" w:hAnsi="Arial" w:cs="Arial"/>
                <w:bCs/>
                <w:sz w:val="16"/>
                <w:szCs w:val="16"/>
                <w:lang w:eastAsia="pt-BR"/>
              </w:rPr>
              <w:t xml:space="preserve">a </w:t>
            </w:r>
            <w:r w:rsidRPr="00D112D9">
              <w:rPr>
                <w:rFonts w:ascii="Arial" w:eastAsia="Times New Roman" w:hAnsi="Arial" w:cs="Arial"/>
                <w:bCs/>
                <w:sz w:val="16"/>
                <w:szCs w:val="16"/>
                <w:lang w:eastAsia="pt-BR"/>
              </w:rPr>
              <w:t>porcentagem do número total de pessoas na força de trabalho. A força de trabalho é a soma do número de pessoas empregadas e do número de</w:t>
            </w:r>
            <w:r>
              <w:rPr>
                <w:rFonts w:ascii="Arial" w:eastAsia="Times New Roman" w:hAnsi="Arial" w:cs="Arial"/>
                <w:bCs/>
                <w:sz w:val="16"/>
                <w:szCs w:val="16"/>
                <w:lang w:eastAsia="pt-BR"/>
              </w:rPr>
              <w:t xml:space="preserve"> </w:t>
            </w:r>
            <w:r w:rsidRPr="00D112D9">
              <w:rPr>
                <w:rFonts w:ascii="Arial" w:eastAsia="Times New Roman" w:hAnsi="Arial" w:cs="Arial"/>
                <w:bCs/>
                <w:sz w:val="16"/>
                <w:szCs w:val="16"/>
                <w:lang w:eastAsia="pt-BR"/>
              </w:rPr>
              <w:t>pessoas desempregadas.</w:t>
            </w:r>
          </w:p>
          <w:p w:rsidR="005051C9" w:rsidRPr="00730DF6" w:rsidRDefault="00D112D9" w:rsidP="008373CB">
            <w:pPr>
              <w:spacing w:after="0" w:line="240" w:lineRule="auto"/>
              <w:jc w:val="both"/>
              <w:rPr>
                <w:rFonts w:ascii="Arial" w:eastAsia="Times New Roman" w:hAnsi="Arial" w:cs="Arial"/>
                <w:bCs/>
                <w:sz w:val="16"/>
                <w:szCs w:val="16"/>
                <w:lang w:eastAsia="pt-BR"/>
              </w:rPr>
            </w:pPr>
            <w:r w:rsidRPr="00D112D9">
              <w:rPr>
                <w:rFonts w:ascii="Arial" w:eastAsia="Times New Roman" w:hAnsi="Arial" w:cs="Arial"/>
                <w:bCs/>
                <w:sz w:val="16"/>
                <w:szCs w:val="16"/>
                <w:lang w:eastAsia="pt-BR"/>
              </w:rPr>
              <w:t xml:space="preserve">Os desempregados compreendem todas as pessoas em idade ativa que: a) </w:t>
            </w:r>
            <w:r w:rsidR="005B0FE3">
              <w:rPr>
                <w:rFonts w:ascii="Arial" w:eastAsia="Times New Roman" w:hAnsi="Arial" w:cs="Arial"/>
                <w:bCs/>
                <w:sz w:val="16"/>
                <w:szCs w:val="16"/>
                <w:lang w:eastAsia="pt-BR"/>
              </w:rPr>
              <w:t xml:space="preserve">estavam </w:t>
            </w:r>
            <w:r w:rsidRPr="00D112D9">
              <w:rPr>
                <w:rFonts w:ascii="Arial" w:eastAsia="Times New Roman" w:hAnsi="Arial" w:cs="Arial"/>
                <w:bCs/>
                <w:sz w:val="16"/>
                <w:szCs w:val="16"/>
                <w:lang w:eastAsia="pt-BR"/>
              </w:rPr>
              <w:t>sem trabalho durante o</w:t>
            </w:r>
            <w:r>
              <w:rPr>
                <w:rFonts w:ascii="Arial" w:eastAsia="Times New Roman" w:hAnsi="Arial" w:cs="Arial"/>
                <w:bCs/>
                <w:sz w:val="16"/>
                <w:szCs w:val="16"/>
                <w:lang w:eastAsia="pt-BR"/>
              </w:rPr>
              <w:t xml:space="preserve"> </w:t>
            </w:r>
            <w:r w:rsidRPr="00D112D9">
              <w:rPr>
                <w:rFonts w:ascii="Arial" w:eastAsia="Times New Roman" w:hAnsi="Arial" w:cs="Arial"/>
                <w:bCs/>
                <w:sz w:val="16"/>
                <w:szCs w:val="16"/>
                <w:lang w:eastAsia="pt-BR"/>
              </w:rPr>
              <w:t>período de referência, ou seja, não tinha</w:t>
            </w:r>
            <w:r w:rsidR="005B0FE3">
              <w:rPr>
                <w:rFonts w:ascii="Arial" w:eastAsia="Times New Roman" w:hAnsi="Arial" w:cs="Arial"/>
                <w:bCs/>
                <w:sz w:val="16"/>
                <w:szCs w:val="16"/>
                <w:lang w:eastAsia="pt-BR"/>
              </w:rPr>
              <w:t>m</w:t>
            </w:r>
            <w:r w:rsidRPr="00D112D9">
              <w:rPr>
                <w:rFonts w:ascii="Arial" w:eastAsia="Times New Roman" w:hAnsi="Arial" w:cs="Arial"/>
                <w:bCs/>
                <w:sz w:val="16"/>
                <w:szCs w:val="16"/>
                <w:lang w:eastAsia="pt-BR"/>
              </w:rPr>
              <w:t xml:space="preserve"> emprego remunerado ou au</w:t>
            </w:r>
            <w:r w:rsidR="005B0FE3">
              <w:rPr>
                <w:rFonts w:ascii="Arial" w:eastAsia="Times New Roman" w:hAnsi="Arial" w:cs="Arial"/>
                <w:bCs/>
                <w:sz w:val="16"/>
                <w:szCs w:val="16"/>
                <w:lang w:eastAsia="pt-BR"/>
              </w:rPr>
              <w:t>tônomo; b) atualmente disponíveis</w:t>
            </w:r>
            <w:r w:rsidRPr="00D112D9">
              <w:rPr>
                <w:rFonts w:ascii="Arial" w:eastAsia="Times New Roman" w:hAnsi="Arial" w:cs="Arial"/>
                <w:bCs/>
                <w:sz w:val="16"/>
                <w:szCs w:val="16"/>
                <w:lang w:eastAsia="pt-BR"/>
              </w:rPr>
              <w:t xml:space="preserve"> para </w:t>
            </w:r>
            <w:r w:rsidR="008373CB" w:rsidRPr="00D112D9">
              <w:rPr>
                <w:rFonts w:ascii="Arial" w:eastAsia="Times New Roman" w:hAnsi="Arial" w:cs="Arial"/>
                <w:bCs/>
                <w:sz w:val="16"/>
                <w:szCs w:val="16"/>
                <w:lang w:eastAsia="pt-BR"/>
              </w:rPr>
              <w:t>trabalho</w:t>
            </w:r>
            <w:r w:rsidR="008373CB">
              <w:rPr>
                <w:rFonts w:ascii="Arial" w:eastAsia="Times New Roman" w:hAnsi="Arial" w:cs="Arial"/>
                <w:bCs/>
                <w:sz w:val="16"/>
                <w:szCs w:val="16"/>
                <w:lang w:eastAsia="pt-BR"/>
              </w:rPr>
              <w:t>,</w:t>
            </w:r>
            <w:r w:rsidRPr="00D112D9">
              <w:rPr>
                <w:rFonts w:ascii="Arial" w:eastAsia="Times New Roman" w:hAnsi="Arial" w:cs="Arial"/>
                <w:bCs/>
                <w:sz w:val="16"/>
                <w:szCs w:val="16"/>
                <w:lang w:eastAsia="pt-BR"/>
              </w:rPr>
              <w:t xml:space="preserve"> ou seja, estavam disponíveis para trabalho remunerado ou autônomo durante o período de referência; e</w:t>
            </w:r>
            <w:r>
              <w:rPr>
                <w:rFonts w:ascii="Arial" w:eastAsia="Times New Roman" w:hAnsi="Arial" w:cs="Arial"/>
                <w:bCs/>
                <w:sz w:val="16"/>
                <w:szCs w:val="16"/>
                <w:lang w:eastAsia="pt-BR"/>
              </w:rPr>
              <w:t xml:space="preserve"> </w:t>
            </w:r>
            <w:r w:rsidRPr="00D112D9">
              <w:rPr>
                <w:rFonts w:ascii="Arial" w:eastAsia="Times New Roman" w:hAnsi="Arial" w:cs="Arial"/>
                <w:bCs/>
                <w:sz w:val="16"/>
                <w:szCs w:val="16"/>
                <w:lang w:eastAsia="pt-BR"/>
              </w:rPr>
              <w:t>c) buscar</w:t>
            </w:r>
            <w:r>
              <w:rPr>
                <w:rFonts w:ascii="Arial" w:eastAsia="Times New Roman" w:hAnsi="Arial" w:cs="Arial"/>
                <w:bCs/>
                <w:sz w:val="16"/>
                <w:szCs w:val="16"/>
                <w:lang w:eastAsia="pt-BR"/>
              </w:rPr>
              <w:t>am trabalho, ou seja, tomaram</w:t>
            </w:r>
            <w:r w:rsidRPr="00D112D9">
              <w:rPr>
                <w:rFonts w:ascii="Arial" w:eastAsia="Times New Roman" w:hAnsi="Arial" w:cs="Arial"/>
                <w:bCs/>
                <w:sz w:val="16"/>
                <w:szCs w:val="16"/>
                <w:lang w:eastAsia="pt-BR"/>
              </w:rPr>
              <w:t xml:space="preserve"> medidas específicas em um período recente especificado para procurar emprego remunerado ou aut</w:t>
            </w:r>
            <w:r>
              <w:rPr>
                <w:rFonts w:ascii="Arial" w:eastAsia="Times New Roman" w:hAnsi="Arial" w:cs="Arial"/>
                <w:bCs/>
                <w:sz w:val="16"/>
                <w:szCs w:val="16"/>
                <w:lang w:eastAsia="pt-BR"/>
              </w:rPr>
              <w:t>ônomo.</w:t>
            </w:r>
          </w:p>
        </w:tc>
        <w:tc>
          <w:tcPr>
            <w:tcW w:w="1560" w:type="dxa"/>
            <w:tcBorders>
              <w:top w:val="nil"/>
              <w:left w:val="nil"/>
              <w:bottom w:val="nil"/>
              <w:right w:val="nil"/>
            </w:tcBorders>
            <w:shd w:val="clear" w:color="auto" w:fill="CCCCFF"/>
            <w:vAlign w:val="center"/>
          </w:tcPr>
          <w:p w:rsidR="005051C9" w:rsidRPr="0058331B" w:rsidRDefault="005051C9" w:rsidP="005051C9">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UNDNP</w:t>
            </w:r>
          </w:p>
        </w:tc>
        <w:tc>
          <w:tcPr>
            <w:tcW w:w="3543" w:type="dxa"/>
            <w:tcBorders>
              <w:top w:val="nil"/>
              <w:left w:val="nil"/>
              <w:bottom w:val="nil"/>
              <w:right w:val="nil"/>
            </w:tcBorders>
            <w:shd w:val="clear" w:color="auto" w:fill="CCCCFF"/>
            <w:vAlign w:val="center"/>
          </w:tcPr>
          <w:p w:rsidR="005051C9" w:rsidRPr="0058331B" w:rsidRDefault="00CF595B" w:rsidP="005051C9">
            <w:pPr>
              <w:rPr>
                <w:sz w:val="16"/>
                <w:szCs w:val="16"/>
              </w:rPr>
            </w:pPr>
            <w:hyperlink r:id="rId46" w:history="1">
              <w:r w:rsidR="005051C9" w:rsidRPr="0058331B">
                <w:rPr>
                  <w:rStyle w:val="Hyperlink"/>
                  <w:sz w:val="16"/>
                  <w:szCs w:val="16"/>
                </w:rPr>
                <w:t>http://hdr.undp.org/en/data</w:t>
              </w:r>
            </w:hyperlink>
          </w:p>
        </w:tc>
      </w:tr>
      <w:tr w:rsidR="005051C9" w:rsidRPr="0058331B" w:rsidTr="008373CB">
        <w:trPr>
          <w:trHeight w:val="885"/>
          <w:jc w:val="center"/>
        </w:trPr>
        <w:tc>
          <w:tcPr>
            <w:tcW w:w="1524" w:type="dxa"/>
            <w:tcBorders>
              <w:top w:val="nil"/>
              <w:left w:val="nil"/>
              <w:bottom w:val="nil"/>
              <w:right w:val="nil"/>
            </w:tcBorders>
            <w:shd w:val="clear" w:color="auto" w:fill="CCCCFF"/>
            <w:vAlign w:val="center"/>
          </w:tcPr>
          <w:p w:rsidR="005051C9" w:rsidRPr="0058331B" w:rsidRDefault="005051C9" w:rsidP="0058331B">
            <w:pPr>
              <w:spacing w:after="0" w:line="240" w:lineRule="auto"/>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Poluição urbana</w:t>
            </w:r>
          </w:p>
        </w:tc>
        <w:tc>
          <w:tcPr>
            <w:tcW w:w="6414" w:type="dxa"/>
            <w:tcBorders>
              <w:top w:val="nil"/>
              <w:left w:val="nil"/>
              <w:bottom w:val="nil"/>
              <w:right w:val="nil"/>
            </w:tcBorders>
            <w:shd w:val="clear" w:color="auto" w:fill="CCCCFF"/>
            <w:vAlign w:val="center"/>
          </w:tcPr>
          <w:p w:rsidR="005051C9" w:rsidRPr="00730DF6" w:rsidRDefault="00730DF6" w:rsidP="002E042F">
            <w:pPr>
              <w:spacing w:after="0" w:line="240" w:lineRule="auto"/>
              <w:jc w:val="both"/>
              <w:rPr>
                <w:rFonts w:ascii="Arial" w:eastAsia="Times New Roman" w:hAnsi="Arial" w:cs="Arial"/>
                <w:bCs/>
                <w:sz w:val="16"/>
                <w:szCs w:val="16"/>
                <w:lang w:eastAsia="pt-BR"/>
              </w:rPr>
            </w:pPr>
            <w:r w:rsidRPr="00730DF6">
              <w:rPr>
                <w:rFonts w:ascii="Arial" w:eastAsia="Times New Roman" w:hAnsi="Arial" w:cs="Arial"/>
                <w:bCs/>
                <w:sz w:val="16"/>
                <w:szCs w:val="16"/>
                <w:lang w:eastAsia="pt-BR"/>
              </w:rPr>
              <w:t xml:space="preserve">A concentração média anual de partículas finas em suspensão de menos de 2,5 mícrons de diâmetro é uma medida comum da poluição do ar. </w:t>
            </w:r>
            <w:r w:rsidR="002E042F">
              <w:rPr>
                <w:rFonts w:ascii="Arial" w:eastAsia="Times New Roman" w:hAnsi="Arial" w:cs="Arial"/>
                <w:bCs/>
                <w:sz w:val="16"/>
                <w:szCs w:val="16"/>
                <w:lang w:eastAsia="pt-BR"/>
              </w:rPr>
              <w:t>Trata-se de média ponderada</w:t>
            </w:r>
            <w:r w:rsidRPr="00730DF6">
              <w:rPr>
                <w:rFonts w:ascii="Arial" w:eastAsia="Times New Roman" w:hAnsi="Arial" w:cs="Arial"/>
                <w:bCs/>
                <w:sz w:val="16"/>
                <w:szCs w:val="16"/>
                <w:lang w:eastAsia="pt-BR"/>
              </w:rPr>
              <w:t xml:space="preserve"> para a população urbana de um país.</w:t>
            </w:r>
          </w:p>
        </w:tc>
        <w:tc>
          <w:tcPr>
            <w:tcW w:w="1560" w:type="dxa"/>
            <w:tcBorders>
              <w:top w:val="nil"/>
              <w:left w:val="nil"/>
              <w:bottom w:val="nil"/>
              <w:right w:val="nil"/>
            </w:tcBorders>
            <w:shd w:val="clear" w:color="auto" w:fill="CCCCFF"/>
            <w:vAlign w:val="center"/>
          </w:tcPr>
          <w:p w:rsidR="005051C9" w:rsidRPr="0058331B" w:rsidRDefault="005051C9" w:rsidP="005051C9">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OMS</w:t>
            </w:r>
          </w:p>
        </w:tc>
        <w:tc>
          <w:tcPr>
            <w:tcW w:w="3543" w:type="dxa"/>
            <w:tcBorders>
              <w:top w:val="nil"/>
              <w:left w:val="nil"/>
              <w:bottom w:val="nil"/>
              <w:right w:val="nil"/>
            </w:tcBorders>
            <w:shd w:val="clear" w:color="auto" w:fill="CCCCFF"/>
            <w:vAlign w:val="center"/>
          </w:tcPr>
          <w:p w:rsidR="005051C9" w:rsidRPr="0058331B" w:rsidRDefault="00CF595B" w:rsidP="005051C9">
            <w:pPr>
              <w:rPr>
                <w:sz w:val="16"/>
                <w:szCs w:val="16"/>
              </w:rPr>
            </w:pPr>
            <w:hyperlink r:id="rId47" w:history="1">
              <w:r w:rsidR="005051C9" w:rsidRPr="0058331B">
                <w:rPr>
                  <w:rStyle w:val="Hyperlink"/>
                  <w:sz w:val="16"/>
                  <w:szCs w:val="16"/>
                </w:rPr>
                <w:t>http://apps.who.int/gho/data/node.wrapper.imr?x-id=3354</w:t>
              </w:r>
            </w:hyperlink>
          </w:p>
        </w:tc>
      </w:tr>
      <w:tr w:rsidR="005051C9" w:rsidRPr="0058331B" w:rsidTr="008373CB">
        <w:trPr>
          <w:trHeight w:val="885"/>
          <w:jc w:val="center"/>
        </w:trPr>
        <w:tc>
          <w:tcPr>
            <w:tcW w:w="1524" w:type="dxa"/>
            <w:tcBorders>
              <w:top w:val="nil"/>
              <w:left w:val="nil"/>
              <w:bottom w:val="nil"/>
              <w:right w:val="nil"/>
            </w:tcBorders>
            <w:shd w:val="clear" w:color="auto" w:fill="CCCCFF"/>
            <w:vAlign w:val="center"/>
          </w:tcPr>
          <w:p w:rsidR="005051C9" w:rsidRPr="0058331B" w:rsidRDefault="005051C9" w:rsidP="0058331B">
            <w:pPr>
              <w:spacing w:after="0" w:line="240" w:lineRule="auto"/>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Saneamento básico</w:t>
            </w:r>
          </w:p>
        </w:tc>
        <w:tc>
          <w:tcPr>
            <w:tcW w:w="6414" w:type="dxa"/>
            <w:tcBorders>
              <w:top w:val="nil"/>
              <w:left w:val="nil"/>
              <w:bottom w:val="nil"/>
              <w:right w:val="nil"/>
            </w:tcBorders>
            <w:shd w:val="clear" w:color="auto" w:fill="CCCCFF"/>
            <w:vAlign w:val="center"/>
          </w:tcPr>
          <w:p w:rsidR="005051C9" w:rsidRPr="00730DF6" w:rsidRDefault="00730DF6" w:rsidP="008F79A3">
            <w:pPr>
              <w:spacing w:after="0" w:line="240" w:lineRule="auto"/>
              <w:jc w:val="both"/>
              <w:rPr>
                <w:rFonts w:ascii="Arial" w:eastAsia="Times New Roman" w:hAnsi="Arial" w:cs="Arial"/>
                <w:bCs/>
                <w:sz w:val="16"/>
                <w:szCs w:val="16"/>
                <w:lang w:eastAsia="pt-BR"/>
              </w:rPr>
            </w:pPr>
            <w:r w:rsidRPr="00730DF6">
              <w:rPr>
                <w:rFonts w:ascii="Arial" w:eastAsia="Times New Roman" w:hAnsi="Arial" w:cs="Arial"/>
                <w:bCs/>
                <w:sz w:val="16"/>
                <w:szCs w:val="16"/>
                <w:lang w:eastAsia="pt-BR"/>
              </w:rPr>
              <w:t>População com acesso a saneamento melhorado em um determinado ano, expressa como uma porcentagem da população correspondente desse ano, em um determinado país, território ou área geográfica. Os sistemas de eliminação de excrementos são considerados adequados se forem privados e se separarem excrementos humanos do contato humano. As instalações de saneamento melhoradas são: conexão a um esgoto público, conexão a um sistema séptico, latrina de descarga, latrina de poço simples, latrina de poço aprimorada ventilada. As instalações de saneamento não melhoradas são: latrina pública ou compartilhada, latrina a</w:t>
            </w:r>
            <w:r w:rsidR="008F79A3">
              <w:rPr>
                <w:rFonts w:ascii="Arial" w:eastAsia="Times New Roman" w:hAnsi="Arial" w:cs="Arial"/>
                <w:bCs/>
                <w:sz w:val="16"/>
                <w:szCs w:val="16"/>
                <w:lang w:eastAsia="pt-BR"/>
              </w:rPr>
              <w:t xml:space="preserve"> céu aberto, latrina com balde.</w:t>
            </w:r>
          </w:p>
        </w:tc>
        <w:tc>
          <w:tcPr>
            <w:tcW w:w="1560" w:type="dxa"/>
            <w:tcBorders>
              <w:top w:val="nil"/>
              <w:left w:val="nil"/>
              <w:bottom w:val="nil"/>
              <w:right w:val="nil"/>
            </w:tcBorders>
            <w:shd w:val="clear" w:color="auto" w:fill="CCCCFF"/>
            <w:vAlign w:val="center"/>
          </w:tcPr>
          <w:p w:rsidR="005051C9" w:rsidRPr="0058331B" w:rsidRDefault="005051C9" w:rsidP="005051C9">
            <w:pPr>
              <w:spacing w:after="0" w:line="240" w:lineRule="auto"/>
              <w:jc w:val="center"/>
              <w:rPr>
                <w:rFonts w:ascii="Arial" w:eastAsia="Times New Roman" w:hAnsi="Arial" w:cs="Arial"/>
                <w:b/>
                <w:bCs/>
                <w:sz w:val="16"/>
                <w:szCs w:val="16"/>
                <w:lang w:eastAsia="pt-BR"/>
              </w:rPr>
            </w:pPr>
            <w:r w:rsidRPr="0058331B">
              <w:rPr>
                <w:rFonts w:ascii="Arial" w:eastAsia="Times New Roman" w:hAnsi="Arial" w:cs="Arial"/>
                <w:b/>
                <w:bCs/>
                <w:sz w:val="16"/>
                <w:szCs w:val="16"/>
                <w:lang w:eastAsia="pt-BR"/>
              </w:rPr>
              <w:t>OMS</w:t>
            </w:r>
          </w:p>
        </w:tc>
        <w:tc>
          <w:tcPr>
            <w:tcW w:w="3543" w:type="dxa"/>
            <w:tcBorders>
              <w:top w:val="nil"/>
              <w:left w:val="nil"/>
              <w:bottom w:val="nil"/>
              <w:right w:val="nil"/>
            </w:tcBorders>
            <w:shd w:val="clear" w:color="auto" w:fill="CCCCFF"/>
            <w:vAlign w:val="center"/>
          </w:tcPr>
          <w:p w:rsidR="005051C9" w:rsidRPr="0058331B" w:rsidRDefault="00CF595B" w:rsidP="005051C9">
            <w:pPr>
              <w:rPr>
                <w:sz w:val="16"/>
                <w:szCs w:val="16"/>
              </w:rPr>
            </w:pPr>
            <w:hyperlink r:id="rId48" w:history="1">
              <w:r w:rsidR="005051C9" w:rsidRPr="0058331B">
                <w:rPr>
                  <w:rStyle w:val="Hyperlink"/>
                  <w:sz w:val="16"/>
                  <w:szCs w:val="16"/>
                </w:rPr>
                <w:t>http://apps.who.int/gho/data/node.wrapper.imr?x-id=3354</w:t>
              </w:r>
            </w:hyperlink>
          </w:p>
        </w:tc>
      </w:tr>
    </w:tbl>
    <w:p w:rsidR="00562E70" w:rsidRPr="00B547C0" w:rsidRDefault="00562E70" w:rsidP="00D709AD">
      <w:pPr>
        <w:spacing w:line="360" w:lineRule="auto"/>
        <w:ind w:left="360"/>
        <w:jc w:val="both"/>
      </w:pPr>
    </w:p>
    <w:sectPr w:rsidR="00562E70" w:rsidRPr="00B547C0" w:rsidSect="00B547C0">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14BA"/>
    <w:multiLevelType w:val="multilevel"/>
    <w:tmpl w:val="D4C40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9A0213"/>
    <w:multiLevelType w:val="hybridMultilevel"/>
    <w:tmpl w:val="AF68AA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ECB572F"/>
    <w:multiLevelType w:val="multilevel"/>
    <w:tmpl w:val="FD564E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6075E59"/>
    <w:multiLevelType w:val="multilevel"/>
    <w:tmpl w:val="73DE68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FFE77BD"/>
    <w:multiLevelType w:val="multilevel"/>
    <w:tmpl w:val="A45260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5A"/>
    <w:rsid w:val="00022BF8"/>
    <w:rsid w:val="00025DDA"/>
    <w:rsid w:val="00027AE9"/>
    <w:rsid w:val="00033A8B"/>
    <w:rsid w:val="00034C4F"/>
    <w:rsid w:val="00053E0C"/>
    <w:rsid w:val="0006025B"/>
    <w:rsid w:val="00073F65"/>
    <w:rsid w:val="00074689"/>
    <w:rsid w:val="00083989"/>
    <w:rsid w:val="000B469A"/>
    <w:rsid w:val="000B72A8"/>
    <w:rsid w:val="000D6918"/>
    <w:rsid w:val="000E7D00"/>
    <w:rsid w:val="000F2253"/>
    <w:rsid w:val="00104BAF"/>
    <w:rsid w:val="00115064"/>
    <w:rsid w:val="00140F9A"/>
    <w:rsid w:val="00141A3C"/>
    <w:rsid w:val="0018420B"/>
    <w:rsid w:val="00186627"/>
    <w:rsid w:val="001A141F"/>
    <w:rsid w:val="001A573A"/>
    <w:rsid w:val="001C786C"/>
    <w:rsid w:val="001E009D"/>
    <w:rsid w:val="001E300D"/>
    <w:rsid w:val="001E315D"/>
    <w:rsid w:val="00221C4F"/>
    <w:rsid w:val="00224CC9"/>
    <w:rsid w:val="0025247F"/>
    <w:rsid w:val="00254D04"/>
    <w:rsid w:val="00254F83"/>
    <w:rsid w:val="002569B9"/>
    <w:rsid w:val="002630BD"/>
    <w:rsid w:val="002914FD"/>
    <w:rsid w:val="002942E1"/>
    <w:rsid w:val="00296B01"/>
    <w:rsid w:val="002A0A9C"/>
    <w:rsid w:val="002A2B61"/>
    <w:rsid w:val="002A3615"/>
    <w:rsid w:val="002A4C8C"/>
    <w:rsid w:val="002B5AD8"/>
    <w:rsid w:val="002D421F"/>
    <w:rsid w:val="002D4612"/>
    <w:rsid w:val="002D4FD8"/>
    <w:rsid w:val="002E042F"/>
    <w:rsid w:val="002E3962"/>
    <w:rsid w:val="002F19D9"/>
    <w:rsid w:val="00312301"/>
    <w:rsid w:val="00316AEC"/>
    <w:rsid w:val="00332188"/>
    <w:rsid w:val="00335AB0"/>
    <w:rsid w:val="00340EAF"/>
    <w:rsid w:val="003501A9"/>
    <w:rsid w:val="0035453A"/>
    <w:rsid w:val="003630D8"/>
    <w:rsid w:val="00373C9B"/>
    <w:rsid w:val="00385567"/>
    <w:rsid w:val="00390D6A"/>
    <w:rsid w:val="00395698"/>
    <w:rsid w:val="003A2A19"/>
    <w:rsid w:val="003C07F5"/>
    <w:rsid w:val="003E7443"/>
    <w:rsid w:val="003F5341"/>
    <w:rsid w:val="003F5453"/>
    <w:rsid w:val="004059FD"/>
    <w:rsid w:val="00406C61"/>
    <w:rsid w:val="00406C96"/>
    <w:rsid w:val="00421927"/>
    <w:rsid w:val="004464DD"/>
    <w:rsid w:val="0044665A"/>
    <w:rsid w:val="00452C2D"/>
    <w:rsid w:val="004531D5"/>
    <w:rsid w:val="00474243"/>
    <w:rsid w:val="00477123"/>
    <w:rsid w:val="004A64B2"/>
    <w:rsid w:val="004B4626"/>
    <w:rsid w:val="004C1724"/>
    <w:rsid w:val="004C41A8"/>
    <w:rsid w:val="004C4368"/>
    <w:rsid w:val="004D3D59"/>
    <w:rsid w:val="004D4ED2"/>
    <w:rsid w:val="004F7380"/>
    <w:rsid w:val="004F7C1E"/>
    <w:rsid w:val="005051C9"/>
    <w:rsid w:val="0050551D"/>
    <w:rsid w:val="005435B8"/>
    <w:rsid w:val="00546A8D"/>
    <w:rsid w:val="00554E6C"/>
    <w:rsid w:val="00562E70"/>
    <w:rsid w:val="005728B8"/>
    <w:rsid w:val="0058331B"/>
    <w:rsid w:val="00587F3A"/>
    <w:rsid w:val="00593E6D"/>
    <w:rsid w:val="005A4F10"/>
    <w:rsid w:val="005B0FE3"/>
    <w:rsid w:val="005D092E"/>
    <w:rsid w:val="005D5FEB"/>
    <w:rsid w:val="005E0630"/>
    <w:rsid w:val="005E428B"/>
    <w:rsid w:val="005F15EC"/>
    <w:rsid w:val="00603A47"/>
    <w:rsid w:val="0065093B"/>
    <w:rsid w:val="006516B5"/>
    <w:rsid w:val="006602B8"/>
    <w:rsid w:val="0066183D"/>
    <w:rsid w:val="00665C53"/>
    <w:rsid w:val="006665CD"/>
    <w:rsid w:val="006716FE"/>
    <w:rsid w:val="006747D6"/>
    <w:rsid w:val="00691E32"/>
    <w:rsid w:val="006935AA"/>
    <w:rsid w:val="006B1BA0"/>
    <w:rsid w:val="006C4157"/>
    <w:rsid w:val="006D002D"/>
    <w:rsid w:val="006D2218"/>
    <w:rsid w:val="006F549C"/>
    <w:rsid w:val="007006D5"/>
    <w:rsid w:val="007017D7"/>
    <w:rsid w:val="00715B5C"/>
    <w:rsid w:val="00730DF6"/>
    <w:rsid w:val="00740811"/>
    <w:rsid w:val="007471D2"/>
    <w:rsid w:val="007540C0"/>
    <w:rsid w:val="00755562"/>
    <w:rsid w:val="007641CD"/>
    <w:rsid w:val="0077627D"/>
    <w:rsid w:val="00776B42"/>
    <w:rsid w:val="007832BA"/>
    <w:rsid w:val="007A24C5"/>
    <w:rsid w:val="007A3F00"/>
    <w:rsid w:val="007C2B69"/>
    <w:rsid w:val="007C5910"/>
    <w:rsid w:val="007D2F55"/>
    <w:rsid w:val="007E12A1"/>
    <w:rsid w:val="007E1E35"/>
    <w:rsid w:val="007F77F4"/>
    <w:rsid w:val="007F7A7E"/>
    <w:rsid w:val="00807562"/>
    <w:rsid w:val="00830A03"/>
    <w:rsid w:val="008373CB"/>
    <w:rsid w:val="00847B3C"/>
    <w:rsid w:val="00852793"/>
    <w:rsid w:val="00854EC1"/>
    <w:rsid w:val="008553A7"/>
    <w:rsid w:val="0085594B"/>
    <w:rsid w:val="0086146C"/>
    <w:rsid w:val="0086554C"/>
    <w:rsid w:val="0087004A"/>
    <w:rsid w:val="00884899"/>
    <w:rsid w:val="0088660F"/>
    <w:rsid w:val="00895E33"/>
    <w:rsid w:val="00896E7E"/>
    <w:rsid w:val="008B0569"/>
    <w:rsid w:val="008B0F24"/>
    <w:rsid w:val="008B3033"/>
    <w:rsid w:val="008B4203"/>
    <w:rsid w:val="008D765B"/>
    <w:rsid w:val="008E3298"/>
    <w:rsid w:val="008E398A"/>
    <w:rsid w:val="008E4756"/>
    <w:rsid w:val="008F73DF"/>
    <w:rsid w:val="008F79A3"/>
    <w:rsid w:val="00901113"/>
    <w:rsid w:val="00920E8B"/>
    <w:rsid w:val="00933A9C"/>
    <w:rsid w:val="009373D9"/>
    <w:rsid w:val="00951F74"/>
    <w:rsid w:val="00954C25"/>
    <w:rsid w:val="009570B8"/>
    <w:rsid w:val="00972713"/>
    <w:rsid w:val="0098698A"/>
    <w:rsid w:val="00986E46"/>
    <w:rsid w:val="00995614"/>
    <w:rsid w:val="009C6C19"/>
    <w:rsid w:val="009D2EB6"/>
    <w:rsid w:val="009D4395"/>
    <w:rsid w:val="009E3595"/>
    <w:rsid w:val="009F3269"/>
    <w:rsid w:val="009F32C9"/>
    <w:rsid w:val="009F7E65"/>
    <w:rsid w:val="00A17A5A"/>
    <w:rsid w:val="00A708DE"/>
    <w:rsid w:val="00A8046E"/>
    <w:rsid w:val="00A8123A"/>
    <w:rsid w:val="00A81C3C"/>
    <w:rsid w:val="00A83597"/>
    <w:rsid w:val="00A91D01"/>
    <w:rsid w:val="00A97B5A"/>
    <w:rsid w:val="00AB249C"/>
    <w:rsid w:val="00AB58B9"/>
    <w:rsid w:val="00AC6ADE"/>
    <w:rsid w:val="00AC6BB6"/>
    <w:rsid w:val="00AD2EC6"/>
    <w:rsid w:val="00AE158B"/>
    <w:rsid w:val="00AE3EFF"/>
    <w:rsid w:val="00AE7CA8"/>
    <w:rsid w:val="00AF12CC"/>
    <w:rsid w:val="00B32088"/>
    <w:rsid w:val="00B36697"/>
    <w:rsid w:val="00B36FC7"/>
    <w:rsid w:val="00B50A4E"/>
    <w:rsid w:val="00B547C0"/>
    <w:rsid w:val="00B54A68"/>
    <w:rsid w:val="00B6462F"/>
    <w:rsid w:val="00B75C7F"/>
    <w:rsid w:val="00B81917"/>
    <w:rsid w:val="00BA0410"/>
    <w:rsid w:val="00BA33F3"/>
    <w:rsid w:val="00BA42A7"/>
    <w:rsid w:val="00BB6DD5"/>
    <w:rsid w:val="00BD1784"/>
    <w:rsid w:val="00BE0EE8"/>
    <w:rsid w:val="00BE33EF"/>
    <w:rsid w:val="00BF648A"/>
    <w:rsid w:val="00BF690A"/>
    <w:rsid w:val="00C018B0"/>
    <w:rsid w:val="00C151D4"/>
    <w:rsid w:val="00C35254"/>
    <w:rsid w:val="00C50AB5"/>
    <w:rsid w:val="00C53FB1"/>
    <w:rsid w:val="00CC5CC9"/>
    <w:rsid w:val="00CC6845"/>
    <w:rsid w:val="00CD5C86"/>
    <w:rsid w:val="00CE6800"/>
    <w:rsid w:val="00CF595B"/>
    <w:rsid w:val="00CF6A2C"/>
    <w:rsid w:val="00D112D9"/>
    <w:rsid w:val="00D23297"/>
    <w:rsid w:val="00D5588C"/>
    <w:rsid w:val="00D65FD1"/>
    <w:rsid w:val="00D67E7A"/>
    <w:rsid w:val="00D709AD"/>
    <w:rsid w:val="00DE502F"/>
    <w:rsid w:val="00DF1D4C"/>
    <w:rsid w:val="00E00563"/>
    <w:rsid w:val="00E21D06"/>
    <w:rsid w:val="00E51FE4"/>
    <w:rsid w:val="00E718CB"/>
    <w:rsid w:val="00E77E73"/>
    <w:rsid w:val="00E80117"/>
    <w:rsid w:val="00E83662"/>
    <w:rsid w:val="00E95BBB"/>
    <w:rsid w:val="00EB4218"/>
    <w:rsid w:val="00ED19BE"/>
    <w:rsid w:val="00ED63B1"/>
    <w:rsid w:val="00ED74B8"/>
    <w:rsid w:val="00EE57C0"/>
    <w:rsid w:val="00EF3E84"/>
    <w:rsid w:val="00EF7ACC"/>
    <w:rsid w:val="00F01989"/>
    <w:rsid w:val="00F04099"/>
    <w:rsid w:val="00F06E61"/>
    <w:rsid w:val="00F1043C"/>
    <w:rsid w:val="00F10602"/>
    <w:rsid w:val="00F1292B"/>
    <w:rsid w:val="00F15883"/>
    <w:rsid w:val="00F16D28"/>
    <w:rsid w:val="00F458C1"/>
    <w:rsid w:val="00F51B97"/>
    <w:rsid w:val="00F672F3"/>
    <w:rsid w:val="00F72C2A"/>
    <w:rsid w:val="00F81F85"/>
    <w:rsid w:val="00F93C06"/>
    <w:rsid w:val="00FA1340"/>
    <w:rsid w:val="00FB4ECC"/>
    <w:rsid w:val="00FC2BF3"/>
    <w:rsid w:val="00FC5A8D"/>
    <w:rsid w:val="00FF41DE"/>
    <w:rsid w:val="00FF71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E0416-83C4-4B10-B9D5-C7AE695B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942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F129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942E1"/>
    <w:rPr>
      <w:rFonts w:ascii="Times New Roman" w:eastAsia="Times New Roman" w:hAnsi="Times New Roman" w:cs="Times New Roman"/>
      <w:b/>
      <w:bCs/>
      <w:kern w:val="36"/>
      <w:sz w:val="48"/>
      <w:szCs w:val="48"/>
      <w:lang w:eastAsia="pt-BR"/>
    </w:rPr>
  </w:style>
  <w:style w:type="character" w:customStyle="1" w:styleId="title-text">
    <w:name w:val="title-text"/>
    <w:basedOn w:val="Fontepargpadro"/>
    <w:rsid w:val="002942E1"/>
  </w:style>
  <w:style w:type="character" w:styleId="Hyperlink">
    <w:name w:val="Hyperlink"/>
    <w:basedOn w:val="Fontepargpadro"/>
    <w:uiPriority w:val="99"/>
    <w:unhideWhenUsed/>
    <w:rsid w:val="002942E1"/>
    <w:rPr>
      <w:color w:val="0563C1" w:themeColor="hyperlink"/>
      <w:u w:val="single"/>
    </w:rPr>
  </w:style>
  <w:style w:type="character" w:styleId="Forte">
    <w:name w:val="Strong"/>
    <w:basedOn w:val="Fontepargpadro"/>
    <w:uiPriority w:val="22"/>
    <w:qFormat/>
    <w:rsid w:val="00F1043C"/>
    <w:rPr>
      <w:b/>
      <w:bCs/>
    </w:rPr>
  </w:style>
  <w:style w:type="paragraph" w:styleId="NormalWeb">
    <w:name w:val="Normal (Web)"/>
    <w:basedOn w:val="Normal"/>
    <w:uiPriority w:val="99"/>
    <w:semiHidden/>
    <w:unhideWhenUsed/>
    <w:rsid w:val="001C78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F1292B"/>
    <w:rPr>
      <w:rFonts w:asciiTheme="majorHAnsi" w:eastAsiaTheme="majorEastAsia" w:hAnsiTheme="majorHAnsi" w:cstheme="majorBidi"/>
      <w:color w:val="1F4D78" w:themeColor="accent1" w:themeShade="7F"/>
      <w:sz w:val="24"/>
      <w:szCs w:val="24"/>
    </w:rPr>
  </w:style>
  <w:style w:type="character" w:customStyle="1" w:styleId="fm-vol-iss-date">
    <w:name w:val="fm-vol-iss-date"/>
    <w:basedOn w:val="Fontepargpadro"/>
    <w:rsid w:val="00951F74"/>
  </w:style>
  <w:style w:type="character" w:customStyle="1" w:styleId="doi">
    <w:name w:val="doi"/>
    <w:basedOn w:val="Fontepargpadro"/>
    <w:rsid w:val="00951F74"/>
  </w:style>
  <w:style w:type="character" w:customStyle="1" w:styleId="cit">
    <w:name w:val="cit"/>
    <w:basedOn w:val="Fontepargpadro"/>
    <w:rsid w:val="00951F74"/>
  </w:style>
  <w:style w:type="paragraph" w:customStyle="1" w:styleId="s6">
    <w:name w:val="s6"/>
    <w:basedOn w:val="Normal"/>
    <w:rsid w:val="00830A03"/>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styleId="Tabelacomgrade">
    <w:name w:val="Table Grid"/>
    <w:basedOn w:val="Tabelanormal"/>
    <w:uiPriority w:val="39"/>
    <w:rsid w:val="00674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FC5A8D"/>
    <w:rPr>
      <w:color w:val="954F72" w:themeColor="followedHyperlink"/>
      <w:u w:val="single"/>
    </w:rPr>
  </w:style>
  <w:style w:type="paragraph" w:styleId="Textodebalo">
    <w:name w:val="Balloon Text"/>
    <w:basedOn w:val="Normal"/>
    <w:link w:val="TextodebaloChar"/>
    <w:uiPriority w:val="99"/>
    <w:semiHidden/>
    <w:unhideWhenUsed/>
    <w:rsid w:val="00221C4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1C4F"/>
    <w:rPr>
      <w:rFonts w:ascii="Segoe UI" w:hAnsi="Segoe UI" w:cs="Segoe UI"/>
      <w:sz w:val="18"/>
      <w:szCs w:val="18"/>
    </w:rPr>
  </w:style>
  <w:style w:type="paragraph" w:styleId="PargrafodaLista">
    <w:name w:val="List Paragraph"/>
    <w:basedOn w:val="Normal"/>
    <w:uiPriority w:val="34"/>
    <w:qFormat/>
    <w:rsid w:val="00B54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794">
      <w:bodyDiv w:val="1"/>
      <w:marLeft w:val="0"/>
      <w:marRight w:val="0"/>
      <w:marTop w:val="0"/>
      <w:marBottom w:val="0"/>
      <w:divBdr>
        <w:top w:val="none" w:sz="0" w:space="0" w:color="auto"/>
        <w:left w:val="none" w:sz="0" w:space="0" w:color="auto"/>
        <w:bottom w:val="none" w:sz="0" w:space="0" w:color="auto"/>
        <w:right w:val="none" w:sz="0" w:space="0" w:color="auto"/>
      </w:divBdr>
    </w:div>
    <w:div w:id="138613817">
      <w:bodyDiv w:val="1"/>
      <w:marLeft w:val="0"/>
      <w:marRight w:val="0"/>
      <w:marTop w:val="0"/>
      <w:marBottom w:val="0"/>
      <w:divBdr>
        <w:top w:val="none" w:sz="0" w:space="0" w:color="auto"/>
        <w:left w:val="none" w:sz="0" w:space="0" w:color="auto"/>
        <w:bottom w:val="none" w:sz="0" w:space="0" w:color="auto"/>
        <w:right w:val="none" w:sz="0" w:space="0" w:color="auto"/>
      </w:divBdr>
      <w:divsChild>
        <w:div w:id="1242104162">
          <w:marLeft w:val="0"/>
          <w:marRight w:val="0"/>
          <w:marTop w:val="0"/>
          <w:marBottom w:val="0"/>
          <w:divBdr>
            <w:top w:val="none" w:sz="0" w:space="0" w:color="auto"/>
            <w:left w:val="none" w:sz="0" w:space="0" w:color="auto"/>
            <w:bottom w:val="none" w:sz="0" w:space="0" w:color="auto"/>
            <w:right w:val="none" w:sz="0" w:space="0" w:color="auto"/>
          </w:divBdr>
          <w:divsChild>
            <w:div w:id="1962609066">
              <w:marLeft w:val="0"/>
              <w:marRight w:val="0"/>
              <w:marTop w:val="0"/>
              <w:marBottom w:val="0"/>
              <w:divBdr>
                <w:top w:val="none" w:sz="0" w:space="0" w:color="auto"/>
                <w:left w:val="none" w:sz="0" w:space="0" w:color="auto"/>
                <w:bottom w:val="none" w:sz="0" w:space="0" w:color="auto"/>
                <w:right w:val="none" w:sz="0" w:space="0" w:color="auto"/>
              </w:divBdr>
              <w:divsChild>
                <w:div w:id="1809928904">
                  <w:marLeft w:val="0"/>
                  <w:marRight w:val="0"/>
                  <w:marTop w:val="0"/>
                  <w:marBottom w:val="0"/>
                  <w:divBdr>
                    <w:top w:val="none" w:sz="0" w:space="0" w:color="auto"/>
                    <w:left w:val="none" w:sz="0" w:space="0" w:color="auto"/>
                    <w:bottom w:val="none" w:sz="0" w:space="0" w:color="auto"/>
                    <w:right w:val="none" w:sz="0" w:space="0" w:color="auto"/>
                  </w:divBdr>
                  <w:divsChild>
                    <w:div w:id="1319573745">
                      <w:marLeft w:val="0"/>
                      <w:marRight w:val="0"/>
                      <w:marTop w:val="0"/>
                      <w:marBottom w:val="0"/>
                      <w:divBdr>
                        <w:top w:val="none" w:sz="0" w:space="0" w:color="auto"/>
                        <w:left w:val="none" w:sz="0" w:space="0" w:color="auto"/>
                        <w:bottom w:val="none" w:sz="0" w:space="0" w:color="auto"/>
                        <w:right w:val="none" w:sz="0" w:space="0" w:color="auto"/>
                      </w:divBdr>
                      <w:divsChild>
                        <w:div w:id="2079277366">
                          <w:marLeft w:val="0"/>
                          <w:marRight w:val="0"/>
                          <w:marTop w:val="0"/>
                          <w:marBottom w:val="0"/>
                          <w:divBdr>
                            <w:top w:val="none" w:sz="0" w:space="0" w:color="auto"/>
                            <w:left w:val="none" w:sz="0" w:space="0" w:color="auto"/>
                            <w:bottom w:val="none" w:sz="0" w:space="0" w:color="auto"/>
                            <w:right w:val="none" w:sz="0" w:space="0" w:color="auto"/>
                          </w:divBdr>
                          <w:divsChild>
                            <w:div w:id="20470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83205">
          <w:marLeft w:val="0"/>
          <w:marRight w:val="0"/>
          <w:marTop w:val="0"/>
          <w:marBottom w:val="0"/>
          <w:divBdr>
            <w:top w:val="none" w:sz="0" w:space="0" w:color="auto"/>
            <w:left w:val="none" w:sz="0" w:space="0" w:color="auto"/>
            <w:bottom w:val="none" w:sz="0" w:space="0" w:color="auto"/>
            <w:right w:val="none" w:sz="0" w:space="0" w:color="auto"/>
          </w:divBdr>
          <w:divsChild>
            <w:div w:id="1791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611">
      <w:bodyDiv w:val="1"/>
      <w:marLeft w:val="0"/>
      <w:marRight w:val="0"/>
      <w:marTop w:val="0"/>
      <w:marBottom w:val="0"/>
      <w:divBdr>
        <w:top w:val="none" w:sz="0" w:space="0" w:color="auto"/>
        <w:left w:val="none" w:sz="0" w:space="0" w:color="auto"/>
        <w:bottom w:val="none" w:sz="0" w:space="0" w:color="auto"/>
        <w:right w:val="none" w:sz="0" w:space="0" w:color="auto"/>
      </w:divBdr>
    </w:div>
    <w:div w:id="270282366">
      <w:bodyDiv w:val="1"/>
      <w:marLeft w:val="0"/>
      <w:marRight w:val="0"/>
      <w:marTop w:val="0"/>
      <w:marBottom w:val="0"/>
      <w:divBdr>
        <w:top w:val="none" w:sz="0" w:space="0" w:color="auto"/>
        <w:left w:val="none" w:sz="0" w:space="0" w:color="auto"/>
        <w:bottom w:val="none" w:sz="0" w:space="0" w:color="auto"/>
        <w:right w:val="none" w:sz="0" w:space="0" w:color="auto"/>
      </w:divBdr>
    </w:div>
    <w:div w:id="345642024">
      <w:bodyDiv w:val="1"/>
      <w:marLeft w:val="0"/>
      <w:marRight w:val="0"/>
      <w:marTop w:val="0"/>
      <w:marBottom w:val="0"/>
      <w:divBdr>
        <w:top w:val="none" w:sz="0" w:space="0" w:color="auto"/>
        <w:left w:val="none" w:sz="0" w:space="0" w:color="auto"/>
        <w:bottom w:val="none" w:sz="0" w:space="0" w:color="auto"/>
        <w:right w:val="none" w:sz="0" w:space="0" w:color="auto"/>
      </w:divBdr>
      <w:divsChild>
        <w:div w:id="1284188490">
          <w:marLeft w:val="0"/>
          <w:marRight w:val="0"/>
          <w:marTop w:val="0"/>
          <w:marBottom w:val="0"/>
          <w:divBdr>
            <w:top w:val="none" w:sz="0" w:space="0" w:color="auto"/>
            <w:left w:val="none" w:sz="0" w:space="0" w:color="auto"/>
            <w:bottom w:val="none" w:sz="0" w:space="0" w:color="auto"/>
            <w:right w:val="none" w:sz="0" w:space="0" w:color="auto"/>
          </w:divBdr>
        </w:div>
      </w:divsChild>
    </w:div>
    <w:div w:id="503935302">
      <w:bodyDiv w:val="1"/>
      <w:marLeft w:val="0"/>
      <w:marRight w:val="0"/>
      <w:marTop w:val="0"/>
      <w:marBottom w:val="0"/>
      <w:divBdr>
        <w:top w:val="none" w:sz="0" w:space="0" w:color="auto"/>
        <w:left w:val="none" w:sz="0" w:space="0" w:color="auto"/>
        <w:bottom w:val="none" w:sz="0" w:space="0" w:color="auto"/>
        <w:right w:val="none" w:sz="0" w:space="0" w:color="auto"/>
      </w:divBdr>
    </w:div>
    <w:div w:id="527069131">
      <w:bodyDiv w:val="1"/>
      <w:marLeft w:val="0"/>
      <w:marRight w:val="0"/>
      <w:marTop w:val="0"/>
      <w:marBottom w:val="0"/>
      <w:divBdr>
        <w:top w:val="none" w:sz="0" w:space="0" w:color="auto"/>
        <w:left w:val="none" w:sz="0" w:space="0" w:color="auto"/>
        <w:bottom w:val="none" w:sz="0" w:space="0" w:color="auto"/>
        <w:right w:val="none" w:sz="0" w:space="0" w:color="auto"/>
      </w:divBdr>
    </w:div>
    <w:div w:id="650449895">
      <w:bodyDiv w:val="1"/>
      <w:marLeft w:val="0"/>
      <w:marRight w:val="0"/>
      <w:marTop w:val="0"/>
      <w:marBottom w:val="0"/>
      <w:divBdr>
        <w:top w:val="none" w:sz="0" w:space="0" w:color="auto"/>
        <w:left w:val="none" w:sz="0" w:space="0" w:color="auto"/>
        <w:bottom w:val="none" w:sz="0" w:space="0" w:color="auto"/>
        <w:right w:val="none" w:sz="0" w:space="0" w:color="auto"/>
      </w:divBdr>
      <w:divsChild>
        <w:div w:id="2146270987">
          <w:marLeft w:val="0"/>
          <w:marRight w:val="0"/>
          <w:marTop w:val="0"/>
          <w:marBottom w:val="0"/>
          <w:divBdr>
            <w:top w:val="none" w:sz="0" w:space="0" w:color="auto"/>
            <w:left w:val="none" w:sz="0" w:space="0" w:color="auto"/>
            <w:bottom w:val="none" w:sz="0" w:space="0" w:color="auto"/>
            <w:right w:val="none" w:sz="0" w:space="0" w:color="auto"/>
          </w:divBdr>
        </w:div>
        <w:div w:id="1894849799">
          <w:marLeft w:val="0"/>
          <w:marRight w:val="0"/>
          <w:marTop w:val="0"/>
          <w:marBottom w:val="0"/>
          <w:divBdr>
            <w:top w:val="none" w:sz="0" w:space="0" w:color="auto"/>
            <w:left w:val="none" w:sz="0" w:space="0" w:color="auto"/>
            <w:bottom w:val="none" w:sz="0" w:space="0" w:color="auto"/>
            <w:right w:val="none" w:sz="0" w:space="0" w:color="auto"/>
          </w:divBdr>
        </w:div>
      </w:divsChild>
    </w:div>
    <w:div w:id="846755159">
      <w:bodyDiv w:val="1"/>
      <w:marLeft w:val="0"/>
      <w:marRight w:val="0"/>
      <w:marTop w:val="0"/>
      <w:marBottom w:val="0"/>
      <w:divBdr>
        <w:top w:val="none" w:sz="0" w:space="0" w:color="auto"/>
        <w:left w:val="none" w:sz="0" w:space="0" w:color="auto"/>
        <w:bottom w:val="none" w:sz="0" w:space="0" w:color="auto"/>
        <w:right w:val="none" w:sz="0" w:space="0" w:color="auto"/>
      </w:divBdr>
      <w:divsChild>
        <w:div w:id="1429424942">
          <w:marLeft w:val="0"/>
          <w:marRight w:val="0"/>
          <w:marTop w:val="0"/>
          <w:marBottom w:val="0"/>
          <w:divBdr>
            <w:top w:val="none" w:sz="0" w:space="0" w:color="auto"/>
            <w:left w:val="none" w:sz="0" w:space="0" w:color="auto"/>
            <w:bottom w:val="none" w:sz="0" w:space="0" w:color="auto"/>
            <w:right w:val="none" w:sz="0" w:space="0" w:color="auto"/>
          </w:divBdr>
          <w:divsChild>
            <w:div w:id="545066">
              <w:marLeft w:val="0"/>
              <w:marRight w:val="0"/>
              <w:marTop w:val="0"/>
              <w:marBottom w:val="0"/>
              <w:divBdr>
                <w:top w:val="none" w:sz="0" w:space="0" w:color="auto"/>
                <w:left w:val="none" w:sz="0" w:space="0" w:color="auto"/>
                <w:bottom w:val="none" w:sz="0" w:space="0" w:color="auto"/>
                <w:right w:val="none" w:sz="0" w:space="0" w:color="auto"/>
              </w:divBdr>
            </w:div>
          </w:divsChild>
        </w:div>
        <w:div w:id="1806194712">
          <w:marLeft w:val="0"/>
          <w:marRight w:val="0"/>
          <w:marTop w:val="0"/>
          <w:marBottom w:val="0"/>
          <w:divBdr>
            <w:top w:val="none" w:sz="0" w:space="0" w:color="auto"/>
            <w:left w:val="none" w:sz="0" w:space="0" w:color="auto"/>
            <w:bottom w:val="none" w:sz="0" w:space="0" w:color="auto"/>
            <w:right w:val="none" w:sz="0" w:space="0" w:color="auto"/>
          </w:divBdr>
          <w:divsChild>
            <w:div w:id="11286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4991">
      <w:bodyDiv w:val="1"/>
      <w:marLeft w:val="0"/>
      <w:marRight w:val="0"/>
      <w:marTop w:val="0"/>
      <w:marBottom w:val="0"/>
      <w:divBdr>
        <w:top w:val="none" w:sz="0" w:space="0" w:color="auto"/>
        <w:left w:val="none" w:sz="0" w:space="0" w:color="auto"/>
        <w:bottom w:val="none" w:sz="0" w:space="0" w:color="auto"/>
        <w:right w:val="none" w:sz="0" w:space="0" w:color="auto"/>
      </w:divBdr>
    </w:div>
    <w:div w:id="1525628488">
      <w:bodyDiv w:val="1"/>
      <w:marLeft w:val="0"/>
      <w:marRight w:val="0"/>
      <w:marTop w:val="0"/>
      <w:marBottom w:val="0"/>
      <w:divBdr>
        <w:top w:val="none" w:sz="0" w:space="0" w:color="auto"/>
        <w:left w:val="none" w:sz="0" w:space="0" w:color="auto"/>
        <w:bottom w:val="none" w:sz="0" w:space="0" w:color="auto"/>
        <w:right w:val="none" w:sz="0" w:space="0" w:color="auto"/>
      </w:divBdr>
    </w:div>
    <w:div w:id="1764376954">
      <w:bodyDiv w:val="1"/>
      <w:marLeft w:val="0"/>
      <w:marRight w:val="0"/>
      <w:marTop w:val="0"/>
      <w:marBottom w:val="0"/>
      <w:divBdr>
        <w:top w:val="none" w:sz="0" w:space="0" w:color="auto"/>
        <w:left w:val="none" w:sz="0" w:space="0" w:color="auto"/>
        <w:bottom w:val="none" w:sz="0" w:space="0" w:color="auto"/>
        <w:right w:val="none" w:sz="0" w:space="0" w:color="auto"/>
      </w:divBdr>
    </w:div>
    <w:div w:id="1923559438">
      <w:bodyDiv w:val="1"/>
      <w:marLeft w:val="0"/>
      <w:marRight w:val="0"/>
      <w:marTop w:val="0"/>
      <w:marBottom w:val="0"/>
      <w:divBdr>
        <w:top w:val="none" w:sz="0" w:space="0" w:color="auto"/>
        <w:left w:val="none" w:sz="0" w:space="0" w:color="auto"/>
        <w:bottom w:val="none" w:sz="0" w:space="0" w:color="auto"/>
        <w:right w:val="none" w:sz="0" w:space="0" w:color="auto"/>
      </w:divBdr>
      <w:divsChild>
        <w:div w:id="1226529601">
          <w:marLeft w:val="0"/>
          <w:marRight w:val="0"/>
          <w:marTop w:val="0"/>
          <w:marBottom w:val="0"/>
          <w:divBdr>
            <w:top w:val="none" w:sz="0" w:space="0" w:color="auto"/>
            <w:left w:val="none" w:sz="0" w:space="0" w:color="auto"/>
            <w:bottom w:val="none" w:sz="0" w:space="0" w:color="auto"/>
            <w:right w:val="none" w:sz="0" w:space="0" w:color="auto"/>
          </w:divBdr>
        </w:div>
        <w:div w:id="1821574507">
          <w:marLeft w:val="0"/>
          <w:marRight w:val="0"/>
          <w:marTop w:val="0"/>
          <w:marBottom w:val="0"/>
          <w:divBdr>
            <w:top w:val="none" w:sz="0" w:space="0" w:color="auto"/>
            <w:left w:val="none" w:sz="0" w:space="0" w:color="auto"/>
            <w:bottom w:val="none" w:sz="0" w:space="0" w:color="auto"/>
            <w:right w:val="none" w:sz="0" w:space="0" w:color="auto"/>
          </w:divBdr>
        </w:div>
        <w:div w:id="1661500951">
          <w:marLeft w:val="0"/>
          <w:marRight w:val="0"/>
          <w:marTop w:val="0"/>
          <w:marBottom w:val="0"/>
          <w:divBdr>
            <w:top w:val="none" w:sz="0" w:space="0" w:color="auto"/>
            <w:left w:val="none" w:sz="0" w:space="0" w:color="auto"/>
            <w:bottom w:val="none" w:sz="0" w:space="0" w:color="auto"/>
            <w:right w:val="none" w:sz="0" w:space="0" w:color="auto"/>
          </w:divBdr>
        </w:div>
        <w:div w:id="1464234755">
          <w:marLeft w:val="0"/>
          <w:marRight w:val="0"/>
          <w:marTop w:val="0"/>
          <w:marBottom w:val="0"/>
          <w:divBdr>
            <w:top w:val="none" w:sz="0" w:space="0" w:color="auto"/>
            <w:left w:val="none" w:sz="0" w:space="0" w:color="auto"/>
            <w:bottom w:val="none" w:sz="0" w:space="0" w:color="auto"/>
            <w:right w:val="none" w:sz="0" w:space="0" w:color="auto"/>
          </w:divBdr>
        </w:div>
      </w:divsChild>
    </w:div>
    <w:div w:id="1925216344">
      <w:bodyDiv w:val="1"/>
      <w:marLeft w:val="0"/>
      <w:marRight w:val="0"/>
      <w:marTop w:val="0"/>
      <w:marBottom w:val="0"/>
      <w:divBdr>
        <w:top w:val="none" w:sz="0" w:space="0" w:color="auto"/>
        <w:left w:val="none" w:sz="0" w:space="0" w:color="auto"/>
        <w:bottom w:val="none" w:sz="0" w:space="0" w:color="auto"/>
        <w:right w:val="none" w:sz="0" w:space="0" w:color="auto"/>
      </w:divBdr>
    </w:div>
    <w:div w:id="2095080049">
      <w:bodyDiv w:val="1"/>
      <w:marLeft w:val="0"/>
      <w:marRight w:val="0"/>
      <w:marTop w:val="0"/>
      <w:marBottom w:val="0"/>
      <w:divBdr>
        <w:top w:val="none" w:sz="0" w:space="0" w:color="auto"/>
        <w:left w:val="none" w:sz="0" w:space="0" w:color="auto"/>
        <w:bottom w:val="none" w:sz="0" w:space="0" w:color="auto"/>
        <w:right w:val="none" w:sz="0" w:space="0" w:color="auto"/>
      </w:divBdr>
      <w:divsChild>
        <w:div w:id="1963920040">
          <w:marLeft w:val="0"/>
          <w:marRight w:val="0"/>
          <w:marTop w:val="0"/>
          <w:marBottom w:val="0"/>
          <w:divBdr>
            <w:top w:val="none" w:sz="0" w:space="0" w:color="auto"/>
            <w:left w:val="none" w:sz="0" w:space="0" w:color="auto"/>
            <w:bottom w:val="none" w:sz="0" w:space="0" w:color="auto"/>
            <w:right w:val="none" w:sz="0" w:space="0" w:color="auto"/>
          </w:divBdr>
          <w:divsChild>
            <w:div w:id="804078309">
              <w:marLeft w:val="0"/>
              <w:marRight w:val="0"/>
              <w:marTop w:val="0"/>
              <w:marBottom w:val="0"/>
              <w:divBdr>
                <w:top w:val="none" w:sz="0" w:space="0" w:color="auto"/>
                <w:left w:val="none" w:sz="0" w:space="0" w:color="auto"/>
                <w:bottom w:val="none" w:sz="0" w:space="0" w:color="auto"/>
                <w:right w:val="none" w:sz="0" w:space="0" w:color="auto"/>
              </w:divBdr>
              <w:divsChild>
                <w:div w:id="1155336340">
                  <w:marLeft w:val="0"/>
                  <w:marRight w:val="0"/>
                  <w:marTop w:val="0"/>
                  <w:marBottom w:val="0"/>
                  <w:divBdr>
                    <w:top w:val="none" w:sz="0" w:space="0" w:color="auto"/>
                    <w:left w:val="none" w:sz="0" w:space="0" w:color="auto"/>
                    <w:bottom w:val="none" w:sz="0" w:space="0" w:color="auto"/>
                    <w:right w:val="none" w:sz="0" w:space="0" w:color="auto"/>
                  </w:divBdr>
                  <w:divsChild>
                    <w:div w:id="2048215223">
                      <w:marLeft w:val="0"/>
                      <w:marRight w:val="0"/>
                      <w:marTop w:val="0"/>
                      <w:marBottom w:val="0"/>
                      <w:divBdr>
                        <w:top w:val="none" w:sz="0" w:space="0" w:color="auto"/>
                        <w:left w:val="none" w:sz="0" w:space="0" w:color="auto"/>
                        <w:bottom w:val="none" w:sz="0" w:space="0" w:color="auto"/>
                        <w:right w:val="none" w:sz="0" w:space="0" w:color="auto"/>
                      </w:divBdr>
                      <w:divsChild>
                        <w:div w:id="1749884790">
                          <w:marLeft w:val="0"/>
                          <w:marRight w:val="0"/>
                          <w:marTop w:val="0"/>
                          <w:marBottom w:val="0"/>
                          <w:divBdr>
                            <w:top w:val="none" w:sz="0" w:space="0" w:color="auto"/>
                            <w:left w:val="none" w:sz="0" w:space="0" w:color="auto"/>
                            <w:bottom w:val="none" w:sz="0" w:space="0" w:color="auto"/>
                            <w:right w:val="none" w:sz="0" w:space="0" w:color="auto"/>
                          </w:divBdr>
                          <w:divsChild>
                            <w:div w:id="1172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16702">
          <w:marLeft w:val="0"/>
          <w:marRight w:val="0"/>
          <w:marTop w:val="0"/>
          <w:marBottom w:val="0"/>
          <w:divBdr>
            <w:top w:val="none" w:sz="0" w:space="0" w:color="auto"/>
            <w:left w:val="none" w:sz="0" w:space="0" w:color="auto"/>
            <w:bottom w:val="none" w:sz="0" w:space="0" w:color="auto"/>
            <w:right w:val="none" w:sz="0" w:space="0" w:color="auto"/>
          </w:divBdr>
          <w:divsChild>
            <w:div w:id="14843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s.oecd.org/" TargetMode="External"/><Relationship Id="rId18" Type="http://schemas.openxmlformats.org/officeDocument/2006/relationships/hyperlink" Target="https://apps.who.int/nha/database/Select/Indicators/en" TargetMode="External"/><Relationship Id="rId26" Type="http://schemas.openxmlformats.org/officeDocument/2006/relationships/hyperlink" Target="http://apps.who.int/gho/data/node.wrapper.imr?x-id=3354" TargetMode="External"/><Relationship Id="rId39" Type="http://schemas.openxmlformats.org/officeDocument/2006/relationships/hyperlink" Target="https://international.commonwealthfund.org/stats" TargetMode="External"/><Relationship Id="rId21" Type="http://schemas.openxmlformats.org/officeDocument/2006/relationships/hyperlink" Target="https://apps.who.int/nha/database/Select/Indicators/en" TargetMode="External"/><Relationship Id="rId34" Type="http://schemas.openxmlformats.org/officeDocument/2006/relationships/hyperlink" Target="http://apps.who.int/gho/data/node.wrapper.imr?x-id=3354" TargetMode="External"/><Relationship Id="rId42" Type="http://schemas.openxmlformats.org/officeDocument/2006/relationships/hyperlink" Target="http://apps.who.int/gho/data/node.wrapper.imr?x-id=3354" TargetMode="External"/><Relationship Id="rId47" Type="http://schemas.openxmlformats.org/officeDocument/2006/relationships/hyperlink" Target="http://apps.who.int/gho/data/node.wrapper.imr?x-id=3354" TargetMode="External"/><Relationship Id="rId50" Type="http://schemas.openxmlformats.org/officeDocument/2006/relationships/theme" Target="theme/theme1.xml"/><Relationship Id="rId7" Type="http://schemas.openxmlformats.org/officeDocument/2006/relationships/hyperlink" Target="https://doi.org/10.1016/j.healthpol.12.013" TargetMode="External"/><Relationship Id="rId2" Type="http://schemas.openxmlformats.org/officeDocument/2006/relationships/numbering" Target="numbering.xml"/><Relationship Id="rId16" Type="http://schemas.openxmlformats.org/officeDocument/2006/relationships/hyperlink" Target="https://www.who.int/choice/demography/by_country/en/" TargetMode="External"/><Relationship Id="rId29" Type="http://schemas.openxmlformats.org/officeDocument/2006/relationships/hyperlink" Target="http://apps.who.int/gho/data/node.wrapper.imr?x-id=3354" TargetMode="External"/><Relationship Id="rId11" Type="http://schemas.openxmlformats.org/officeDocument/2006/relationships/hyperlink" Target="https://ac.els-cdn.com/S0168851016300562/dx.doi.org/10.1016/j.healthpol.2016.03.011" TargetMode="External"/><Relationship Id="rId24" Type="http://schemas.openxmlformats.org/officeDocument/2006/relationships/hyperlink" Target="https://apps.who.int/nha/database/Select/Indicators/en" TargetMode="External"/><Relationship Id="rId32" Type="http://schemas.openxmlformats.org/officeDocument/2006/relationships/hyperlink" Target="https://international.commonwealthfund.org/stats" TargetMode="External"/><Relationship Id="rId37" Type="http://schemas.openxmlformats.org/officeDocument/2006/relationships/hyperlink" Target="http://apps.who.int/gho/data/node.wrapper.imr?x-id=3354" TargetMode="External"/><Relationship Id="rId40" Type="http://schemas.openxmlformats.org/officeDocument/2006/relationships/hyperlink" Target="http://apps.who.int/gho/data/node.wrapper.imr?x-id=3354" TargetMode="External"/><Relationship Id="rId45" Type="http://schemas.openxmlformats.org/officeDocument/2006/relationships/hyperlink" Target="http://hdr.undp.org/en/data" TargetMode="External"/><Relationship Id="rId5" Type="http://schemas.openxmlformats.org/officeDocument/2006/relationships/webSettings" Target="webSettings.xml"/><Relationship Id="rId15" Type="http://schemas.openxmlformats.org/officeDocument/2006/relationships/hyperlink" Target="http://hdr.undp.org/en/data" TargetMode="External"/><Relationship Id="rId23" Type="http://schemas.openxmlformats.org/officeDocument/2006/relationships/hyperlink" Target="https://apps.who.int/nha/database/Select/Indicators/en" TargetMode="External"/><Relationship Id="rId28" Type="http://schemas.openxmlformats.org/officeDocument/2006/relationships/hyperlink" Target="http://apps.who.int/gho/data/node.wrapper.imr?x-id=3354" TargetMode="External"/><Relationship Id="rId36" Type="http://schemas.openxmlformats.org/officeDocument/2006/relationships/hyperlink" Target="http://apps.who.int/gho/data/node.wrapper.imr?x-id=3354" TargetMode="External"/><Relationship Id="rId49" Type="http://schemas.openxmlformats.org/officeDocument/2006/relationships/fontTable" Target="fontTable.xml"/><Relationship Id="rId10" Type="http://schemas.openxmlformats.org/officeDocument/2006/relationships/hyperlink" Target="https://www.sciencedirect.com/science/article/pii/S0168851016300562?via%3Dihub" TargetMode="External"/><Relationship Id="rId19" Type="http://schemas.openxmlformats.org/officeDocument/2006/relationships/hyperlink" Target="https://apps.who.int/nha/database/Select/Indicators/en" TargetMode="External"/><Relationship Id="rId31" Type="http://schemas.openxmlformats.org/officeDocument/2006/relationships/hyperlink" Target="http://apps.who.int/gho/data/node.wrapper.imr?x-id=3354" TargetMode="External"/><Relationship Id="rId44" Type="http://schemas.openxmlformats.org/officeDocument/2006/relationships/hyperlink" Target="http://hdr.undp.org/en/data" TargetMode="External"/><Relationship Id="rId4" Type="http://schemas.openxmlformats.org/officeDocument/2006/relationships/settings" Target="settings.xml"/><Relationship Id="rId9" Type="http://schemas.openxmlformats.org/officeDocument/2006/relationships/hyperlink" Target="https://doi.org/10.1016/j.healthpol.2012.12.013" TargetMode="External"/><Relationship Id="rId14" Type="http://schemas.openxmlformats.org/officeDocument/2006/relationships/hyperlink" Target="https://international.commonwealthfund.org/stats" TargetMode="External"/><Relationship Id="rId22" Type="http://schemas.openxmlformats.org/officeDocument/2006/relationships/hyperlink" Target="https://apps.who.int/nha/database/Select/Indicators/en" TargetMode="External"/><Relationship Id="rId27" Type="http://schemas.openxmlformats.org/officeDocument/2006/relationships/hyperlink" Target="http://apps.who.int/gho/data/node.wrapper.imr?x-id=3354" TargetMode="External"/><Relationship Id="rId30" Type="http://schemas.openxmlformats.org/officeDocument/2006/relationships/hyperlink" Target="http://apps.who.int/gho/data/node.wrapper.imr?x-id=3354" TargetMode="External"/><Relationship Id="rId35" Type="http://schemas.openxmlformats.org/officeDocument/2006/relationships/hyperlink" Target="http://apps.who.int/gho/data/node.wrapper.imr?x-id=3354" TargetMode="External"/><Relationship Id="rId43" Type="http://schemas.openxmlformats.org/officeDocument/2006/relationships/hyperlink" Target="https://wid.world/" TargetMode="External"/><Relationship Id="rId48" Type="http://schemas.openxmlformats.org/officeDocument/2006/relationships/hyperlink" Target="http://apps.who.int/gho/data/node.wrapper.imr?x-id=3354" TargetMode="External"/><Relationship Id="rId8" Type="http://schemas.openxmlformats.org/officeDocument/2006/relationships/hyperlink" Target="https://www.sciencedirect.com/science/article/pii/S0168851012003405?via%3Dihub" TargetMode="External"/><Relationship Id="rId3" Type="http://schemas.openxmlformats.org/officeDocument/2006/relationships/styles" Target="styles.xml"/><Relationship Id="rId12" Type="http://schemas.openxmlformats.org/officeDocument/2006/relationships/hyperlink" Target="http://apps.who.int/gho/data/node.imr" TargetMode="External"/><Relationship Id="rId17" Type="http://schemas.openxmlformats.org/officeDocument/2006/relationships/hyperlink" Target="https://international.commonwealthfund.org/countries" TargetMode="External"/><Relationship Id="rId25" Type="http://schemas.openxmlformats.org/officeDocument/2006/relationships/hyperlink" Target="https://apps.who.int/nha/database/Select/Indicators/en" TargetMode="External"/><Relationship Id="rId33" Type="http://schemas.openxmlformats.org/officeDocument/2006/relationships/hyperlink" Target="https://international.commonwealthfund.org/stats" TargetMode="External"/><Relationship Id="rId38" Type="http://schemas.openxmlformats.org/officeDocument/2006/relationships/hyperlink" Target="http://apps.who.int/gho/data/node.wrapper.imr?x-id=3354" TargetMode="External"/><Relationship Id="rId46" Type="http://schemas.openxmlformats.org/officeDocument/2006/relationships/hyperlink" Target="http://hdr.undp.org/en/data" TargetMode="External"/><Relationship Id="rId20" Type="http://schemas.openxmlformats.org/officeDocument/2006/relationships/hyperlink" Target="https://apps.who.int/nha/database/Select/Indicators/en" TargetMode="External"/><Relationship Id="rId41" Type="http://schemas.openxmlformats.org/officeDocument/2006/relationships/hyperlink" Target="http://apps.who.int/gho/data/node.wrapper.imr?x-id=3354" TargetMode="External"/><Relationship Id="rId1" Type="http://schemas.openxmlformats.org/officeDocument/2006/relationships/customXml" Target="../customXml/item1.xml"/><Relationship Id="rId6" Type="http://schemas.openxmlformats.org/officeDocument/2006/relationships/hyperlink" Target="https://www.sciencedirect.com/science/article/pii/S016885101300228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BAAA-CA4B-4E64-AFF0-D6A292FC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15</Pages>
  <Words>4886</Words>
  <Characters>26388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Schenkman</dc:creator>
  <cp:keywords/>
  <dc:description/>
  <cp:lastModifiedBy>Simone Schenkman</cp:lastModifiedBy>
  <cp:revision>107</cp:revision>
  <cp:lastPrinted>2018-06-13T13:48:00Z</cp:lastPrinted>
  <dcterms:created xsi:type="dcterms:W3CDTF">2019-08-28T16:43:00Z</dcterms:created>
  <dcterms:modified xsi:type="dcterms:W3CDTF">2019-09-23T15:11:00Z</dcterms:modified>
</cp:coreProperties>
</file>