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58" w:rsidRPr="00E73BFC" w:rsidRDefault="00EE326E" w:rsidP="00EE326E">
      <w:pPr>
        <w:pStyle w:val="TtulodoCaptulo"/>
        <w:jc w:val="center"/>
        <w:rPr>
          <w:rFonts w:ascii="Bookman Old Style" w:hAnsi="Bookman Old Style"/>
          <w:bCs/>
          <w:color w:val="002060"/>
          <w:szCs w:val="24"/>
        </w:rPr>
      </w:pPr>
      <w:r w:rsidRPr="00E73BFC">
        <w:rPr>
          <w:rFonts w:ascii="Bookman Old Style" w:hAnsi="Bookman Old Style"/>
          <w:color w:val="002060"/>
          <w:sz w:val="24"/>
          <w:szCs w:val="24"/>
        </w:rPr>
        <w:t xml:space="preserve">Momento da </w:t>
      </w:r>
      <w:r w:rsidR="00E73BFC" w:rsidRPr="00E73BFC">
        <w:rPr>
          <w:rFonts w:ascii="Bookman Old Style" w:hAnsi="Bookman Old Style"/>
          <w:color w:val="002060"/>
        </w:rPr>
        <w:t>t</w:t>
      </w:r>
      <w:r w:rsidRPr="00E73BFC">
        <w:rPr>
          <w:rFonts w:ascii="Bookman Old Style" w:hAnsi="Bookman Old Style"/>
          <w:color w:val="002060"/>
        </w:rPr>
        <w:t>ransmissão da herança. Instauração do inventário. Indivisibilidade da herança.</w:t>
      </w:r>
    </w:p>
    <w:p w:rsidR="00952958" w:rsidRPr="00E73BFC" w:rsidRDefault="00EE326E" w:rsidP="00EE326E">
      <w:pPr>
        <w:pStyle w:val="TextodoCaptulo"/>
        <w:jc w:val="right"/>
        <w:rPr>
          <w:rFonts w:ascii="Bookman Old Style" w:hAnsi="Bookman Old Style"/>
          <w:b/>
          <w:color w:val="002060"/>
          <w:sz w:val="28"/>
          <w:szCs w:val="28"/>
        </w:rPr>
      </w:pPr>
      <w:r w:rsidRPr="00E73BFC">
        <w:rPr>
          <w:rFonts w:ascii="Bookman Old Style" w:hAnsi="Bookman Old Style"/>
          <w:b/>
          <w:color w:val="002060"/>
          <w:sz w:val="28"/>
          <w:szCs w:val="28"/>
        </w:rPr>
        <w:t>Profª Giselda Hironaka</w:t>
      </w:r>
    </w:p>
    <w:p w:rsidR="00EE326E" w:rsidRPr="00E73BFC" w:rsidRDefault="00EE326E" w:rsidP="00EE326E">
      <w:pPr>
        <w:pStyle w:val="TextodoCaptulo"/>
        <w:jc w:val="right"/>
        <w:rPr>
          <w:rFonts w:ascii="Bookman Old Style" w:hAnsi="Bookman Old Style"/>
          <w:b/>
          <w:color w:val="002060"/>
          <w:sz w:val="28"/>
          <w:szCs w:val="28"/>
        </w:rPr>
      </w:pPr>
    </w:p>
    <w:p w:rsidR="00A00DF1" w:rsidRPr="00E73BFC" w:rsidRDefault="00A00DF1" w:rsidP="005A1BFD">
      <w:pPr>
        <w:pStyle w:val="TextodoCaptulo"/>
        <w:rPr>
          <w:rFonts w:ascii="Bookman Old Style" w:hAnsi="Bookman Old Style"/>
        </w:rPr>
      </w:pPr>
    </w:p>
    <w:p w:rsidR="00A00DF1" w:rsidRPr="00E73BFC" w:rsidRDefault="00A00DF1" w:rsidP="005A1BFD">
      <w:pPr>
        <w:pStyle w:val="TextodoCaptulo"/>
        <w:rPr>
          <w:rFonts w:ascii="Bookman Old Style" w:hAnsi="Bookman Old Style"/>
          <w:b/>
          <w:sz w:val="22"/>
          <w:szCs w:val="22"/>
        </w:rPr>
      </w:pPr>
      <w:r w:rsidRPr="00E73BFC">
        <w:rPr>
          <w:rFonts w:ascii="Bookman Old Style" w:hAnsi="Bookman Old Style"/>
          <w:b/>
          <w:i/>
          <w:sz w:val="22"/>
          <w:szCs w:val="22"/>
        </w:rPr>
        <w:t xml:space="preserve">Droit de saisine – </w:t>
      </w:r>
      <w:r w:rsidRPr="00E73BFC">
        <w:rPr>
          <w:rFonts w:ascii="Bookman Old Style" w:hAnsi="Bookman Old Style"/>
          <w:b/>
          <w:sz w:val="22"/>
          <w:szCs w:val="22"/>
        </w:rPr>
        <w:t>Momento da transmissão da herança</w:t>
      </w:r>
    </w:p>
    <w:p w:rsidR="00EE326E" w:rsidRPr="00E73BFC" w:rsidRDefault="00EE326E" w:rsidP="005A1BFD">
      <w:pPr>
        <w:pStyle w:val="TextodoCaptulo"/>
        <w:rPr>
          <w:rFonts w:ascii="Bookman Old Style" w:hAnsi="Bookman Old Style"/>
          <w:sz w:val="22"/>
          <w:szCs w:val="22"/>
        </w:rPr>
      </w:pPr>
      <w:r w:rsidRPr="00E73BFC">
        <w:rPr>
          <w:rFonts w:ascii="Bookman Old Style" w:hAnsi="Bookman Old Style"/>
          <w:sz w:val="22"/>
          <w:szCs w:val="22"/>
        </w:rPr>
        <w:t>A herança de alguém transmite-se no mesmo momento de sua morte. Trata-se de uma ficção jurídica que co</w:t>
      </w:r>
      <w:r w:rsidR="005A1BFD" w:rsidRPr="00E73BFC">
        <w:rPr>
          <w:rFonts w:ascii="Bookman Old Style" w:hAnsi="Bookman Old Style"/>
          <w:sz w:val="22"/>
          <w:szCs w:val="22"/>
        </w:rPr>
        <w:t xml:space="preserve">nvém ao Direito, eis que não há possibilidade, juridicamente falando, de um bem ficar sem titular, nem que seja por um único minuto. Não é possível que ocorra um “vazio” na titularidade de qualquer bem que componha agora – por força da morte – o acervo hereditário a ser distribuído. Assim, a transmissão se dá por força de lei, ainda que o (s) herdeiro (s) não tenha conhecimento desta sua situação. </w:t>
      </w:r>
    </w:p>
    <w:p w:rsidR="006E4BF6" w:rsidRPr="00E73BFC" w:rsidRDefault="005672E0" w:rsidP="005672E0">
      <w:pPr>
        <w:pStyle w:val="TextodoCaptulo"/>
        <w:rPr>
          <w:rFonts w:ascii="Bookman Old Style" w:hAnsi="Bookman Old Style"/>
          <w:sz w:val="22"/>
          <w:szCs w:val="22"/>
        </w:rPr>
      </w:pPr>
      <w:r w:rsidRPr="00E73BFC">
        <w:rPr>
          <w:rFonts w:ascii="Bookman Old Style" w:hAnsi="Bookman Old Style"/>
          <w:sz w:val="22"/>
          <w:szCs w:val="22"/>
        </w:rPr>
        <w:t>Esta transmissão, contudo, j</w:t>
      </w:r>
      <w:r w:rsidR="006E4BF6" w:rsidRPr="00E73BFC">
        <w:rPr>
          <w:rFonts w:ascii="Bookman Old Style" w:hAnsi="Bookman Old Style"/>
          <w:sz w:val="22"/>
          <w:szCs w:val="22"/>
        </w:rPr>
        <w:t>amais</w:t>
      </w:r>
      <w:r w:rsidRPr="00E73BFC">
        <w:rPr>
          <w:rFonts w:ascii="Bookman Old Style" w:hAnsi="Bookman Old Style"/>
          <w:sz w:val="22"/>
          <w:szCs w:val="22"/>
        </w:rPr>
        <w:t xml:space="preserve"> se dará</w:t>
      </w:r>
      <w:r w:rsidR="006E4BF6" w:rsidRPr="00E73BFC">
        <w:rPr>
          <w:rFonts w:ascii="Bookman Old Style" w:hAnsi="Bookman Old Style"/>
          <w:sz w:val="22"/>
          <w:szCs w:val="22"/>
        </w:rPr>
        <w:t xml:space="preserve"> antes do falecimento</w:t>
      </w:r>
      <w:r w:rsidRPr="00E73BFC">
        <w:rPr>
          <w:rFonts w:ascii="Bookman Old Style" w:hAnsi="Bookman Old Style"/>
          <w:sz w:val="22"/>
          <w:szCs w:val="22"/>
        </w:rPr>
        <w:t xml:space="preserve"> do autor da herança, uma vez que</w:t>
      </w:r>
      <w:r w:rsidR="006E4BF6" w:rsidRPr="00E73BFC">
        <w:rPr>
          <w:rFonts w:ascii="Bookman Old Style" w:hAnsi="Bookman Old Style"/>
          <w:sz w:val="22"/>
          <w:szCs w:val="22"/>
        </w:rPr>
        <w:t xml:space="preserve"> a </w:t>
      </w:r>
      <w:r w:rsidR="006E4BF6" w:rsidRPr="00E73BFC">
        <w:rPr>
          <w:rFonts w:ascii="Bookman Old Style" w:hAnsi="Bookman Old Style"/>
          <w:i/>
          <w:sz w:val="22"/>
          <w:szCs w:val="22"/>
        </w:rPr>
        <w:t>disposição de herança de pessoa viva</w:t>
      </w:r>
      <w:r w:rsidRPr="00E73BFC">
        <w:rPr>
          <w:rFonts w:ascii="Bookman Old Style" w:hAnsi="Bookman Old Style"/>
          <w:sz w:val="22"/>
          <w:szCs w:val="22"/>
        </w:rPr>
        <w:t xml:space="preserve"> é vedada em nosso sistema (</w:t>
      </w:r>
      <w:r w:rsidR="006E4BF6" w:rsidRPr="00E73BFC">
        <w:rPr>
          <w:rFonts w:ascii="Bookman Old Style" w:hAnsi="Bookman Old Style"/>
          <w:sz w:val="22"/>
          <w:szCs w:val="22"/>
        </w:rPr>
        <w:t>art. 1.089</w:t>
      </w:r>
      <w:r w:rsidRPr="00E73BFC">
        <w:rPr>
          <w:rFonts w:ascii="Bookman Old Style" w:hAnsi="Bookman Old Style"/>
          <w:sz w:val="22"/>
          <w:szCs w:val="22"/>
        </w:rPr>
        <w:t xml:space="preserve"> CC</w:t>
      </w:r>
      <w:r w:rsidR="006E4BF6" w:rsidRPr="00E73BFC">
        <w:rPr>
          <w:rFonts w:ascii="Bookman Old Style" w:hAnsi="Bookman Old Style"/>
          <w:sz w:val="22"/>
          <w:szCs w:val="22"/>
        </w:rPr>
        <w:t>), até porque, enquanto não se operar o evento morte, os potenciais herdeiros possuem mera expectativa de di</w:t>
      </w:r>
      <w:r w:rsidRPr="00E73BFC">
        <w:rPr>
          <w:rFonts w:ascii="Bookman Old Style" w:hAnsi="Bookman Old Style"/>
          <w:sz w:val="22"/>
          <w:szCs w:val="22"/>
        </w:rPr>
        <w:t>reito.</w:t>
      </w:r>
    </w:p>
    <w:p w:rsidR="005A1BFD" w:rsidRPr="00E73BFC" w:rsidRDefault="005A1BFD" w:rsidP="005A1BFD">
      <w:pPr>
        <w:pStyle w:val="TextodoCaptulo"/>
        <w:rPr>
          <w:rFonts w:ascii="Bookman Old Style" w:hAnsi="Bookman Old Style"/>
          <w:sz w:val="22"/>
          <w:szCs w:val="22"/>
        </w:rPr>
      </w:pPr>
      <w:r w:rsidRPr="00E73BFC">
        <w:rPr>
          <w:rFonts w:ascii="Bookman Old Style" w:hAnsi="Bookman Old Style"/>
          <w:sz w:val="22"/>
          <w:szCs w:val="22"/>
        </w:rPr>
        <w:t xml:space="preserve">O tempo da morte do autor da herança se denomina </w:t>
      </w:r>
      <w:r w:rsidRPr="00E73BFC">
        <w:rPr>
          <w:rFonts w:ascii="Bookman Old Style" w:hAnsi="Bookman Old Style"/>
          <w:i/>
          <w:sz w:val="22"/>
          <w:szCs w:val="22"/>
        </w:rPr>
        <w:t>abertura da sucessão</w:t>
      </w:r>
      <w:r w:rsidRPr="00E73BFC">
        <w:rPr>
          <w:rFonts w:ascii="Bookman Old Style" w:hAnsi="Bookman Old Style"/>
          <w:sz w:val="22"/>
          <w:szCs w:val="22"/>
        </w:rPr>
        <w:t xml:space="preserve"> e não se confunde com o momento posterior em que ocorrerá a </w:t>
      </w:r>
      <w:r w:rsidRPr="00E73BFC">
        <w:rPr>
          <w:rFonts w:ascii="Bookman Old Style" w:hAnsi="Bookman Old Style"/>
          <w:i/>
          <w:sz w:val="22"/>
          <w:szCs w:val="22"/>
        </w:rPr>
        <w:t>abertura do inventário</w:t>
      </w:r>
      <w:r w:rsidRPr="00E73BFC">
        <w:rPr>
          <w:rFonts w:ascii="Bookman Old Style" w:hAnsi="Bookman Old Style"/>
          <w:sz w:val="22"/>
          <w:szCs w:val="22"/>
        </w:rPr>
        <w:t xml:space="preserve"> (procedimento).</w:t>
      </w:r>
    </w:p>
    <w:p w:rsidR="00322F88" w:rsidRPr="00E73BFC" w:rsidRDefault="005A1BFD" w:rsidP="00322F88">
      <w:pPr>
        <w:pStyle w:val="TextodoCaptulo"/>
        <w:rPr>
          <w:rFonts w:ascii="Bookman Old Style" w:hAnsi="Bookman Old Style"/>
          <w:sz w:val="22"/>
          <w:szCs w:val="22"/>
        </w:rPr>
      </w:pPr>
      <w:r w:rsidRPr="00E73BFC">
        <w:rPr>
          <w:rFonts w:ascii="Bookman Old Style" w:hAnsi="Bookman Old Style"/>
          <w:sz w:val="22"/>
          <w:szCs w:val="22"/>
        </w:rPr>
        <w:t xml:space="preserve">A esta ficção jurídica se dá o nome de </w:t>
      </w:r>
      <w:r w:rsidRPr="00E73BFC">
        <w:rPr>
          <w:rFonts w:ascii="Bookman Old Style" w:hAnsi="Bookman Old Style"/>
          <w:i/>
          <w:sz w:val="22"/>
          <w:szCs w:val="22"/>
        </w:rPr>
        <w:t>droit de saisine</w:t>
      </w:r>
      <w:r w:rsidRPr="00E73BFC">
        <w:rPr>
          <w:rFonts w:ascii="Bookman Old Style" w:hAnsi="Bookman Old Style"/>
          <w:sz w:val="22"/>
          <w:szCs w:val="22"/>
        </w:rPr>
        <w:t xml:space="preserve">, expressão que vem da máxima </w:t>
      </w:r>
      <w:r w:rsidRPr="00E73BFC">
        <w:rPr>
          <w:rFonts w:ascii="Bookman Old Style" w:hAnsi="Bookman Old Style"/>
          <w:i/>
          <w:sz w:val="22"/>
          <w:szCs w:val="22"/>
        </w:rPr>
        <w:t>le mort saisit le vif, sans ministère de justice</w:t>
      </w:r>
      <w:r w:rsidR="009840A4" w:rsidRPr="00E73BFC">
        <w:rPr>
          <w:rFonts w:ascii="Bookman Old Style" w:hAnsi="Bookman Old Style"/>
          <w:sz w:val="22"/>
          <w:szCs w:val="22"/>
        </w:rPr>
        <w:t xml:space="preserve">, cuja tradução livre poderia ser o morto agarra o vivo, sem interferência da justiça. Como se disse, o </w:t>
      </w:r>
      <w:r w:rsidR="009840A4" w:rsidRPr="00E73BFC">
        <w:rPr>
          <w:rFonts w:ascii="Bookman Old Style" w:hAnsi="Bookman Old Style"/>
          <w:i/>
          <w:sz w:val="22"/>
          <w:szCs w:val="22"/>
        </w:rPr>
        <w:t>droit de saisine</w:t>
      </w:r>
      <w:r w:rsidR="009840A4" w:rsidRPr="00E73BFC">
        <w:rPr>
          <w:rFonts w:ascii="Bookman Old Style" w:hAnsi="Bookman Old Style"/>
          <w:sz w:val="22"/>
          <w:szCs w:val="22"/>
        </w:rPr>
        <w:t xml:space="preserve"> traduz a própria essência ou fundamento do direito das sucessões, no sentido de que nem mesmo a morte do titular pode interromper ou nulificar o direito de propriedade, pois o domínio e a posse dos bens de alguém imediatamente transmitem-se aos herdeiros, ainda que estes desconheçam esta sua qualidade ou o fato da morte, eis que tal fato ocorre em razão de singela ficção jurídica. Vale dizer, a transmissão do acervo hereditário que se dá, imediatamente, a favor dos herdeiros, legítimos ou instituídos, do falecido, </w:t>
      </w:r>
      <w:r w:rsidR="009840A4" w:rsidRPr="00E73BFC">
        <w:rPr>
          <w:rFonts w:ascii="Bookman Old Style" w:hAnsi="Bookman Old Style"/>
          <w:sz w:val="22"/>
          <w:szCs w:val="22"/>
        </w:rPr>
        <w:lastRenderedPageBreak/>
        <w:t xml:space="preserve">assim se processa por definição do direito, o qual determina uma situação que pode mesmo ser diametralmente distinta da ordem natural das coisas, mas que reflete a chance de uma solução lógica, atendendo às demandas jurídicas e sociais a respeito da ocorrência. E assim se passa porque, para o direito, apresenta-se uma insuportabilidade diante da ideia de que bens possam ficar sem um correspondente titular; então, a titularidade – aparentemente vazia – se transmite de pronto, </w:t>
      </w:r>
      <w:r w:rsidR="009840A4" w:rsidRPr="00E73BFC">
        <w:rPr>
          <w:rFonts w:ascii="Bookman Old Style" w:hAnsi="Bookman Old Style"/>
          <w:i/>
          <w:sz w:val="22"/>
          <w:szCs w:val="22"/>
        </w:rPr>
        <w:t>ipso iure</w:t>
      </w:r>
      <w:r w:rsidR="009840A4" w:rsidRPr="00E73BFC">
        <w:rPr>
          <w:rFonts w:ascii="Bookman Old Style" w:hAnsi="Bookman Old Style"/>
          <w:sz w:val="22"/>
          <w:szCs w:val="22"/>
        </w:rPr>
        <w:t>, para os sucessores do morto. Não há formalidade alguma para que tal fato se dê, bem como não importa o desconhecimento da transmissibilidade por quem quer que seja; o fato da</w:t>
      </w:r>
      <w:r w:rsidR="00322F88" w:rsidRPr="00E73BFC">
        <w:rPr>
          <w:rFonts w:ascii="Bookman Old Style" w:hAnsi="Bookman Old Style"/>
          <w:sz w:val="22"/>
          <w:szCs w:val="22"/>
        </w:rPr>
        <w:t xml:space="preserve"> morte e a transmissão legal do acervo são coincidentes cronologicamente, por força de presunção legal, isto é, o </w:t>
      </w:r>
      <w:r w:rsidR="00322F88" w:rsidRPr="00E73BFC">
        <w:rPr>
          <w:rFonts w:ascii="Bookman Old Style" w:hAnsi="Bookman Old Style" w:cs="Minion-Italic"/>
          <w:i/>
          <w:iCs/>
          <w:sz w:val="22"/>
          <w:szCs w:val="22"/>
        </w:rPr>
        <w:t>droit de saisine.</w:t>
      </w:r>
    </w:p>
    <w:p w:rsidR="009840A4" w:rsidRPr="00E73BFC" w:rsidRDefault="00322F88" w:rsidP="005672E0">
      <w:pPr>
        <w:pStyle w:val="TextodoCaptulo"/>
        <w:rPr>
          <w:rFonts w:ascii="Bookman Old Style" w:hAnsi="Bookman Old Style"/>
          <w:sz w:val="22"/>
          <w:szCs w:val="22"/>
        </w:rPr>
      </w:pPr>
      <w:r w:rsidRPr="00E73BFC">
        <w:rPr>
          <w:rFonts w:ascii="Bookman Old Style" w:hAnsi="Bookman Old Style"/>
          <w:sz w:val="22"/>
          <w:szCs w:val="22"/>
        </w:rPr>
        <w:t xml:space="preserve">O princípio da </w:t>
      </w:r>
      <w:r w:rsidRPr="00E73BFC">
        <w:rPr>
          <w:rFonts w:ascii="Bookman Old Style" w:hAnsi="Bookman Old Style" w:cs="Minion-Italic"/>
          <w:i/>
          <w:iCs/>
          <w:sz w:val="22"/>
          <w:szCs w:val="22"/>
        </w:rPr>
        <w:t xml:space="preserve">saisine </w:t>
      </w:r>
      <w:r w:rsidRPr="00E73BFC">
        <w:rPr>
          <w:rFonts w:ascii="Bookman Old Style" w:hAnsi="Bookman Old Style"/>
          <w:sz w:val="22"/>
          <w:szCs w:val="22"/>
        </w:rPr>
        <w:t xml:space="preserve">teve sua origem em uma situação peculiar da história francesa, referente à necessidade de se subtrair a propriedade do vassalo morto das exigências dos senhores feudais, em uma época em que estes eram “donos” de todas as terras submetidas à sua autoridade. Parte dessas propriedades, contudo, eram exploradas pelos vassalos e, quando eles morriam, elas eram “devolvidas” ao senhor feudal. Mediante uma </w:t>
      </w:r>
      <w:r w:rsidR="009840A4" w:rsidRPr="00E73BFC">
        <w:rPr>
          <w:rFonts w:ascii="Bookman Old Style" w:hAnsi="Bookman Old Style"/>
          <w:sz w:val="22"/>
          <w:szCs w:val="22"/>
        </w:rPr>
        <w:t>contribuição que os herdeiros</w:t>
      </w:r>
      <w:r w:rsidRPr="00E73BFC">
        <w:rPr>
          <w:rFonts w:ascii="Bookman Old Style" w:hAnsi="Bookman Old Style"/>
          <w:sz w:val="22"/>
          <w:szCs w:val="22"/>
        </w:rPr>
        <w:t xml:space="preserve"> </w:t>
      </w:r>
      <w:r w:rsidR="009840A4" w:rsidRPr="00E73BFC">
        <w:rPr>
          <w:rFonts w:ascii="Bookman Old Style" w:hAnsi="Bookman Old Style"/>
          <w:sz w:val="22"/>
          <w:szCs w:val="22"/>
        </w:rPr>
        <w:t>pagassem àquele, poderiam, então, recebê-las de volta. Essa regra era</w:t>
      </w:r>
      <w:r w:rsidRPr="00E73BFC">
        <w:rPr>
          <w:rFonts w:ascii="Bookman Old Style" w:hAnsi="Bookman Old Style"/>
          <w:sz w:val="22"/>
          <w:szCs w:val="22"/>
        </w:rPr>
        <w:t xml:space="preserve"> </w:t>
      </w:r>
      <w:r w:rsidR="009840A4" w:rsidRPr="00E73BFC">
        <w:rPr>
          <w:rFonts w:ascii="Bookman Old Style" w:hAnsi="Bookman Old Style"/>
          <w:sz w:val="22"/>
          <w:szCs w:val="22"/>
        </w:rPr>
        <w:t xml:space="preserve">assim prevista no direito francês: </w:t>
      </w:r>
      <w:r w:rsidR="009840A4" w:rsidRPr="00E73BFC">
        <w:rPr>
          <w:rFonts w:ascii="Bookman Old Style" w:hAnsi="Bookman Old Style" w:cs="Minion-Italic"/>
          <w:i/>
          <w:iCs/>
          <w:sz w:val="22"/>
          <w:szCs w:val="22"/>
        </w:rPr>
        <w:t>le vassal mort saisit le vif son seigneur</w:t>
      </w:r>
      <w:r w:rsidR="009840A4" w:rsidRPr="00E73BFC">
        <w:rPr>
          <w:rFonts w:ascii="Bookman Old Style" w:hAnsi="Bookman Old Style"/>
          <w:sz w:val="22"/>
          <w:szCs w:val="22"/>
        </w:rPr>
        <w:t>. Em</w:t>
      </w:r>
      <w:r w:rsidRPr="00E73BFC">
        <w:rPr>
          <w:rFonts w:ascii="Bookman Old Style" w:hAnsi="Bookman Old Style"/>
          <w:sz w:val="22"/>
          <w:szCs w:val="22"/>
        </w:rPr>
        <w:t xml:space="preserve"> </w:t>
      </w:r>
      <w:r w:rsidR="009840A4" w:rsidRPr="00E73BFC">
        <w:rPr>
          <w:rFonts w:ascii="Bookman Old Style" w:hAnsi="Bookman Old Style"/>
          <w:sz w:val="22"/>
          <w:szCs w:val="22"/>
        </w:rPr>
        <w:t>outras palavras: com a morte do va</w:t>
      </w:r>
      <w:r w:rsidRPr="00E73BFC">
        <w:rPr>
          <w:rFonts w:ascii="Bookman Old Style" w:hAnsi="Bookman Old Style"/>
          <w:sz w:val="22"/>
          <w:szCs w:val="22"/>
        </w:rPr>
        <w:t>ssalo, além de a sua família fi</w:t>
      </w:r>
      <w:r w:rsidR="009840A4" w:rsidRPr="00E73BFC">
        <w:rPr>
          <w:rFonts w:ascii="Bookman Old Style" w:hAnsi="Bookman Old Style"/>
          <w:sz w:val="22"/>
          <w:szCs w:val="22"/>
        </w:rPr>
        <w:t>car sem ter</w:t>
      </w:r>
      <w:r w:rsidRPr="00E73BFC">
        <w:rPr>
          <w:rFonts w:ascii="Bookman Old Style" w:hAnsi="Bookman Old Style"/>
          <w:sz w:val="22"/>
          <w:szCs w:val="22"/>
        </w:rPr>
        <w:t xml:space="preserve"> </w:t>
      </w:r>
      <w:r w:rsidR="009840A4" w:rsidRPr="00E73BFC">
        <w:rPr>
          <w:rFonts w:ascii="Bookman Old Style" w:hAnsi="Bookman Old Style"/>
          <w:sz w:val="22"/>
          <w:szCs w:val="22"/>
        </w:rPr>
        <w:t xml:space="preserve">sequer onde morar (pois a propriedade era devolvida ao </w:t>
      </w:r>
      <w:r w:rsidR="009840A4" w:rsidRPr="00E73BFC">
        <w:rPr>
          <w:rFonts w:ascii="Bookman Old Style" w:hAnsi="Bookman Old Style" w:cs="Minion-Italic"/>
          <w:i/>
          <w:iCs/>
          <w:sz w:val="22"/>
          <w:szCs w:val="22"/>
        </w:rPr>
        <w:t>seigneur</w:t>
      </w:r>
      <w:r w:rsidR="009840A4" w:rsidRPr="00E73BFC">
        <w:rPr>
          <w:rFonts w:ascii="Bookman Old Style" w:hAnsi="Bookman Old Style"/>
          <w:sz w:val="22"/>
          <w:szCs w:val="22"/>
        </w:rPr>
        <w:t>), os seus herdeiros</w:t>
      </w:r>
      <w:r w:rsidRPr="00E73BFC">
        <w:rPr>
          <w:rFonts w:ascii="Bookman Old Style" w:hAnsi="Bookman Old Style"/>
          <w:sz w:val="22"/>
          <w:szCs w:val="22"/>
        </w:rPr>
        <w:t xml:space="preserve"> </w:t>
      </w:r>
      <w:r w:rsidR="009840A4" w:rsidRPr="00E73BFC">
        <w:rPr>
          <w:rFonts w:ascii="Bookman Old Style" w:hAnsi="Bookman Old Style"/>
          <w:sz w:val="22"/>
          <w:szCs w:val="22"/>
        </w:rPr>
        <w:t>ainda deveriam indenizá-lo, para que pudessem recebê-la de volta.</w:t>
      </w:r>
    </w:p>
    <w:p w:rsidR="009840A4" w:rsidRPr="00E73BFC" w:rsidRDefault="009840A4" w:rsidP="005672E0">
      <w:pPr>
        <w:pStyle w:val="TextodoCaptulo"/>
        <w:rPr>
          <w:rFonts w:ascii="Bookman Old Style" w:hAnsi="Bookman Old Style"/>
          <w:sz w:val="22"/>
          <w:szCs w:val="22"/>
        </w:rPr>
      </w:pPr>
      <w:r w:rsidRPr="00E73BFC">
        <w:rPr>
          <w:rFonts w:ascii="Bookman Old Style" w:hAnsi="Bookman Old Style"/>
          <w:sz w:val="22"/>
          <w:szCs w:val="22"/>
        </w:rPr>
        <w:t>Diante d</w:t>
      </w:r>
      <w:r w:rsidR="00322F88" w:rsidRPr="00E73BFC">
        <w:rPr>
          <w:rFonts w:ascii="Bookman Old Style" w:hAnsi="Bookman Old Style"/>
          <w:sz w:val="22"/>
          <w:szCs w:val="22"/>
        </w:rPr>
        <w:t>essa injustiça, foi criada a fi</w:t>
      </w:r>
      <w:r w:rsidRPr="00E73BFC">
        <w:rPr>
          <w:rFonts w:ascii="Bookman Old Style" w:hAnsi="Bookman Old Style"/>
          <w:sz w:val="22"/>
          <w:szCs w:val="22"/>
        </w:rPr>
        <w:t xml:space="preserve">cção jurídica da </w:t>
      </w:r>
      <w:r w:rsidRPr="00E73BFC">
        <w:rPr>
          <w:rFonts w:ascii="Bookman Old Style" w:hAnsi="Bookman Old Style" w:cs="Minion-Italic"/>
          <w:i/>
          <w:iCs/>
          <w:sz w:val="22"/>
          <w:szCs w:val="22"/>
        </w:rPr>
        <w:t>saisine</w:t>
      </w:r>
      <w:r w:rsidRPr="00E73BFC">
        <w:rPr>
          <w:rFonts w:ascii="Bookman Old Style" w:hAnsi="Bookman Old Style"/>
          <w:sz w:val="22"/>
          <w:szCs w:val="22"/>
        </w:rPr>
        <w:t>, que admitia pressupor,</w:t>
      </w:r>
      <w:r w:rsidR="00322F88" w:rsidRPr="00E73BFC">
        <w:rPr>
          <w:rFonts w:ascii="Bookman Old Style" w:hAnsi="Bookman Old Style"/>
          <w:sz w:val="22"/>
          <w:szCs w:val="22"/>
        </w:rPr>
        <w:t xml:space="preserve"> </w:t>
      </w:r>
      <w:r w:rsidRPr="00E73BFC">
        <w:rPr>
          <w:rFonts w:ascii="Bookman Old Style" w:hAnsi="Bookman Old Style"/>
          <w:sz w:val="22"/>
          <w:szCs w:val="22"/>
        </w:rPr>
        <w:t>então, que o vassalo, no momento mesmo de sua morte, teria imitido</w:t>
      </w:r>
      <w:r w:rsidR="00322F88" w:rsidRPr="00E73BFC">
        <w:rPr>
          <w:rFonts w:ascii="Bookman Old Style" w:hAnsi="Bookman Old Style"/>
          <w:sz w:val="22"/>
          <w:szCs w:val="22"/>
        </w:rPr>
        <w:t xml:space="preserve"> </w:t>
      </w:r>
      <w:r w:rsidRPr="00E73BFC">
        <w:rPr>
          <w:rFonts w:ascii="Bookman Old Style" w:hAnsi="Bookman Old Style"/>
          <w:sz w:val="22"/>
          <w:szCs w:val="22"/>
        </w:rPr>
        <w:t>os seus herdeiros na posse de todos os seus bens.</w:t>
      </w:r>
    </w:p>
    <w:p w:rsidR="00322F88" w:rsidRPr="00E73BFC" w:rsidRDefault="009840A4" w:rsidP="00322F88">
      <w:pPr>
        <w:pStyle w:val="TextodoCaptulo"/>
        <w:jc w:val="right"/>
        <w:rPr>
          <w:rFonts w:ascii="Bookman Old Style" w:hAnsi="Bookman Old Style"/>
          <w:sz w:val="22"/>
          <w:szCs w:val="22"/>
        </w:rPr>
      </w:pPr>
      <w:r w:rsidRPr="00E73BFC">
        <w:rPr>
          <w:rFonts w:ascii="Bookman Old Style" w:hAnsi="Bookman Old Style"/>
          <w:sz w:val="22"/>
          <w:szCs w:val="22"/>
        </w:rPr>
        <w:t>A doutrina francesa e, hoje, também a</w:t>
      </w:r>
      <w:r w:rsidR="00322F88" w:rsidRPr="00E73BFC">
        <w:rPr>
          <w:rFonts w:ascii="Bookman Old Style" w:hAnsi="Bookman Old Style"/>
          <w:sz w:val="22"/>
          <w:szCs w:val="22"/>
        </w:rPr>
        <w:t xml:space="preserve"> doutrina canadense, assim defi</w:t>
      </w:r>
      <w:r w:rsidRPr="00E73BFC">
        <w:rPr>
          <w:rFonts w:ascii="Bookman Old Style" w:hAnsi="Bookman Old Style"/>
          <w:sz w:val="22"/>
          <w:szCs w:val="22"/>
        </w:rPr>
        <w:t>nem</w:t>
      </w:r>
      <w:r w:rsidR="00322F88" w:rsidRPr="00E73BFC">
        <w:rPr>
          <w:rFonts w:ascii="Bookman Old Style" w:hAnsi="Bookman Old Style"/>
          <w:sz w:val="22"/>
          <w:szCs w:val="22"/>
        </w:rPr>
        <w:t xml:space="preserve"> </w:t>
      </w:r>
      <w:r w:rsidRPr="00E73BFC">
        <w:rPr>
          <w:rFonts w:ascii="Bookman Old Style" w:hAnsi="Bookman Old Style"/>
          <w:sz w:val="22"/>
          <w:szCs w:val="22"/>
        </w:rPr>
        <w:t xml:space="preserve">a </w:t>
      </w:r>
      <w:r w:rsidRPr="00E73BFC">
        <w:rPr>
          <w:rFonts w:ascii="Bookman Old Style" w:hAnsi="Bookman Old Style" w:cs="Minion-Italic"/>
          <w:i/>
          <w:iCs/>
          <w:sz w:val="22"/>
          <w:szCs w:val="22"/>
        </w:rPr>
        <w:t>saisine</w:t>
      </w:r>
      <w:r w:rsidRPr="00E73BFC">
        <w:rPr>
          <w:rFonts w:ascii="Bookman Old Style" w:hAnsi="Bookman Old Style"/>
          <w:sz w:val="22"/>
          <w:szCs w:val="22"/>
        </w:rPr>
        <w:t>:</w:t>
      </w:r>
      <w:r w:rsidR="00322F88" w:rsidRPr="00E73BFC">
        <w:rPr>
          <w:rFonts w:ascii="Bookman Old Style" w:hAnsi="Bookman Old Style"/>
          <w:sz w:val="22"/>
          <w:szCs w:val="22"/>
        </w:rPr>
        <w:t xml:space="preserve"> </w:t>
      </w:r>
      <w:r w:rsidRPr="00E73BFC">
        <w:rPr>
          <w:rFonts w:ascii="Bookman Old Style" w:hAnsi="Bookman Old Style"/>
          <w:i/>
          <w:sz w:val="22"/>
          <w:szCs w:val="22"/>
        </w:rPr>
        <w:t xml:space="preserve">Le droit que l’on a d’entrer en possession effective du patrimoine du </w:t>
      </w:r>
      <w:r w:rsidRPr="00E73BFC">
        <w:rPr>
          <w:rFonts w:ascii="Bookman Old Style" w:hAnsi="Bookman Old Style" w:cs="Minion-Italic"/>
          <w:i/>
          <w:iCs/>
          <w:sz w:val="22"/>
          <w:szCs w:val="22"/>
        </w:rPr>
        <w:t>de</w:t>
      </w:r>
      <w:r w:rsidR="00322F88" w:rsidRPr="00E73BFC">
        <w:rPr>
          <w:rFonts w:ascii="Bookman Old Style" w:hAnsi="Bookman Old Style"/>
          <w:i/>
          <w:sz w:val="22"/>
          <w:szCs w:val="22"/>
        </w:rPr>
        <w:t xml:space="preserve"> </w:t>
      </w:r>
      <w:r w:rsidRPr="00E73BFC">
        <w:rPr>
          <w:rFonts w:ascii="Bookman Old Style" w:hAnsi="Bookman Old Style" w:cs="Minion-Italic"/>
          <w:i/>
          <w:iCs/>
          <w:sz w:val="22"/>
          <w:szCs w:val="22"/>
        </w:rPr>
        <w:t xml:space="preserve">cujus </w:t>
      </w:r>
      <w:r w:rsidR="00322F88" w:rsidRPr="00E73BFC">
        <w:rPr>
          <w:rFonts w:ascii="Bookman Old Style" w:hAnsi="Bookman Old Style"/>
          <w:i/>
          <w:sz w:val="22"/>
          <w:szCs w:val="22"/>
        </w:rPr>
        <w:t xml:space="preserve">e </w:t>
      </w:r>
      <w:r w:rsidRPr="00E73BFC">
        <w:rPr>
          <w:rFonts w:ascii="Bookman Old Style" w:hAnsi="Bookman Old Style"/>
          <w:i/>
          <w:sz w:val="22"/>
          <w:szCs w:val="22"/>
        </w:rPr>
        <w:t>d’exercer passivement et activement les actions qu’il avait1.</w:t>
      </w:r>
      <w:r w:rsidR="00322F88" w:rsidRPr="00E73BFC">
        <w:rPr>
          <w:rFonts w:ascii="Bookman Old Style" w:hAnsi="Bookman Old Style"/>
          <w:sz w:val="22"/>
          <w:szCs w:val="22"/>
        </w:rPr>
        <w:t xml:space="preserve"> </w:t>
      </w:r>
    </w:p>
    <w:p w:rsidR="00322F88" w:rsidRPr="00E73BFC" w:rsidRDefault="00322F88" w:rsidP="00322F88">
      <w:pPr>
        <w:pStyle w:val="TextodoCaptulo"/>
        <w:rPr>
          <w:rFonts w:ascii="Bookman Old Style" w:hAnsi="Bookman Old Style"/>
          <w:sz w:val="22"/>
          <w:szCs w:val="22"/>
        </w:rPr>
      </w:pPr>
      <w:r w:rsidRPr="00E73BFC">
        <w:rPr>
          <w:rFonts w:ascii="Bookman Old Style" w:hAnsi="Bookman Old Style"/>
          <w:sz w:val="22"/>
          <w:szCs w:val="22"/>
        </w:rPr>
        <w:t xml:space="preserve">Significa, portanto, o direito </w:t>
      </w:r>
      <w:r w:rsidR="009840A4" w:rsidRPr="00E73BFC">
        <w:rPr>
          <w:rFonts w:ascii="Bookman Old Style" w:hAnsi="Bookman Old Style"/>
          <w:sz w:val="22"/>
          <w:szCs w:val="22"/>
        </w:rPr>
        <w:t>de entrar na posse do patrimônio do falecido</w:t>
      </w:r>
      <w:r w:rsidRPr="00E73BFC">
        <w:rPr>
          <w:rFonts w:ascii="Bookman Old Style" w:hAnsi="Bookman Old Style"/>
          <w:sz w:val="22"/>
          <w:szCs w:val="22"/>
        </w:rPr>
        <w:t xml:space="preserve"> </w:t>
      </w:r>
      <w:r w:rsidR="009840A4" w:rsidRPr="00E73BFC">
        <w:rPr>
          <w:rFonts w:ascii="Bookman Old Style" w:hAnsi="Bookman Old Style"/>
          <w:sz w:val="22"/>
          <w:szCs w:val="22"/>
        </w:rPr>
        <w:t>e exercer todos os direitos e obrigações a ele inerentes, como se sob certa</w:t>
      </w:r>
      <w:r w:rsidRPr="00E73BFC">
        <w:rPr>
          <w:rFonts w:ascii="Bookman Old Style" w:hAnsi="Bookman Old Style"/>
          <w:sz w:val="22"/>
          <w:szCs w:val="22"/>
        </w:rPr>
        <w:t xml:space="preserve"> </w:t>
      </w:r>
      <w:r w:rsidR="009840A4" w:rsidRPr="00E73BFC">
        <w:rPr>
          <w:rFonts w:ascii="Bookman Old Style" w:hAnsi="Bookman Old Style"/>
          <w:sz w:val="22"/>
          <w:szCs w:val="22"/>
        </w:rPr>
        <w:t>autorização legal para se comportar, de plano, como possuidor da herança2.</w:t>
      </w:r>
      <w:r w:rsidRPr="00E73BFC">
        <w:rPr>
          <w:rFonts w:ascii="Bookman Old Style" w:hAnsi="Bookman Old Style"/>
          <w:sz w:val="22"/>
          <w:szCs w:val="22"/>
        </w:rPr>
        <w:t xml:space="preserve"> </w:t>
      </w:r>
      <w:r w:rsidR="009840A4" w:rsidRPr="00E73BFC">
        <w:rPr>
          <w:rFonts w:ascii="Bookman Old Style" w:hAnsi="Bookman Old Style"/>
          <w:sz w:val="22"/>
          <w:szCs w:val="22"/>
        </w:rPr>
        <w:t>Assim, restava certo que, com a morte, abria-se a sucessão, pela recepção do</w:t>
      </w:r>
      <w:r w:rsidRPr="00E73BFC">
        <w:rPr>
          <w:rFonts w:ascii="Bookman Old Style" w:hAnsi="Bookman Old Style"/>
          <w:sz w:val="22"/>
          <w:szCs w:val="22"/>
        </w:rPr>
        <w:t xml:space="preserve"> </w:t>
      </w:r>
      <w:r w:rsidR="009840A4" w:rsidRPr="00E73BFC">
        <w:rPr>
          <w:rFonts w:ascii="Bookman Old Style" w:hAnsi="Bookman Old Style"/>
          <w:sz w:val="22"/>
          <w:szCs w:val="22"/>
        </w:rPr>
        <w:t>princípio em comento.</w:t>
      </w:r>
      <w:r w:rsidRPr="00E73BFC">
        <w:rPr>
          <w:rFonts w:ascii="Bookman Old Style" w:hAnsi="Bookman Old Style"/>
          <w:sz w:val="22"/>
          <w:szCs w:val="22"/>
        </w:rPr>
        <w:t xml:space="preserve"> </w:t>
      </w:r>
    </w:p>
    <w:p w:rsidR="00322F88" w:rsidRPr="00E73BFC" w:rsidRDefault="00322F88" w:rsidP="00322F88">
      <w:pPr>
        <w:pStyle w:val="TextodoCaptulo"/>
        <w:rPr>
          <w:rFonts w:ascii="Bookman Old Style" w:hAnsi="Bookman Old Style" w:cs="Minion-Italic"/>
          <w:i/>
          <w:iCs/>
          <w:sz w:val="22"/>
          <w:szCs w:val="22"/>
        </w:rPr>
      </w:pPr>
      <w:r w:rsidRPr="00E73BFC">
        <w:rPr>
          <w:rFonts w:ascii="Bookman Old Style" w:hAnsi="Bookman Old Style"/>
          <w:sz w:val="22"/>
          <w:szCs w:val="22"/>
        </w:rPr>
        <w:t xml:space="preserve">Não se confundem os momentos, todavia, embora sejam momentos </w:t>
      </w:r>
      <w:r w:rsidRPr="00E73BFC">
        <w:rPr>
          <w:rFonts w:ascii="Bookman Old Style" w:hAnsi="Bookman Old Style"/>
          <w:sz w:val="22"/>
          <w:szCs w:val="22"/>
        </w:rPr>
        <w:lastRenderedPageBreak/>
        <w:t xml:space="preserve">coincidentes: a </w:t>
      </w:r>
      <w:r w:rsidRPr="00E73BFC">
        <w:rPr>
          <w:rFonts w:ascii="Bookman Old Style" w:hAnsi="Bookman Old Style"/>
          <w:i/>
          <w:sz w:val="22"/>
          <w:szCs w:val="22"/>
        </w:rPr>
        <w:t>morte</w:t>
      </w:r>
      <w:r w:rsidRPr="00E73BFC">
        <w:rPr>
          <w:rFonts w:ascii="Bookman Old Style" w:hAnsi="Bookman Old Style"/>
          <w:sz w:val="22"/>
          <w:szCs w:val="22"/>
        </w:rPr>
        <w:t xml:space="preserve"> é o antecedente lógico, é o pressuposto e a causa; a </w:t>
      </w:r>
      <w:r w:rsidRPr="00E73BFC">
        <w:rPr>
          <w:rFonts w:ascii="Bookman Old Style" w:hAnsi="Bookman Old Style"/>
          <w:i/>
          <w:sz w:val="22"/>
          <w:szCs w:val="22"/>
        </w:rPr>
        <w:t>transmissão</w:t>
      </w:r>
      <w:r w:rsidRPr="00E73BFC">
        <w:rPr>
          <w:rFonts w:ascii="Bookman Old Style" w:hAnsi="Bookman Old Style"/>
          <w:sz w:val="22"/>
          <w:szCs w:val="22"/>
        </w:rPr>
        <w:t xml:space="preserve"> é a consequência, é o efeito da morte. Por força de ficção legal, então, em que se fazem coincidentes os fatos – causa e efeito – em termos cronológicos, essa é a fórmula do que se convenciona denominar </w:t>
      </w:r>
      <w:r w:rsidRPr="00E73BFC">
        <w:rPr>
          <w:rFonts w:ascii="Bookman Old Style" w:hAnsi="Bookman Old Style" w:cs="Minion-Italic"/>
          <w:i/>
          <w:iCs/>
          <w:sz w:val="22"/>
          <w:szCs w:val="22"/>
        </w:rPr>
        <w:t>saisine</w:t>
      </w:r>
      <w:r w:rsidRPr="00E73BFC">
        <w:rPr>
          <w:rFonts w:ascii="Bookman Old Style" w:hAnsi="Bookman Old Style"/>
          <w:sz w:val="22"/>
          <w:szCs w:val="22"/>
        </w:rPr>
        <w:t xml:space="preserve">. O direito dá valor a essa coincidência por ele mesmo criada, tomando tal posição a bem do sistema, pressupondo ou presumindo que a construção seja adequada como a solução mais próxima possível do </w:t>
      </w:r>
      <w:r w:rsidRPr="00E73BFC">
        <w:rPr>
          <w:rFonts w:ascii="Bookman Old Style" w:hAnsi="Bookman Old Style" w:cs="Minion-Italic"/>
          <w:i/>
          <w:iCs/>
          <w:sz w:val="22"/>
          <w:szCs w:val="22"/>
        </w:rPr>
        <w:t>natural</w:t>
      </w:r>
      <w:r w:rsidRPr="00E73BFC">
        <w:rPr>
          <w:rFonts w:ascii="Bookman Old Style" w:hAnsi="Bookman Old Style"/>
          <w:sz w:val="22"/>
          <w:szCs w:val="22"/>
        </w:rPr>
        <w:t xml:space="preserve">, e que a presunção dará início a uma série de atos, apesar de ser, essa similitude com a verdade, apenas uma possibilidade. A lei, dessa forma, passa a presumir que o falecido investiu – ou teria podido investir – os seus sucessores na titularidade de seus bens, por meio dessa transmissão imediata, à qual se dá o nome de transmissão </w:t>
      </w:r>
      <w:r w:rsidRPr="00E73BFC">
        <w:rPr>
          <w:rFonts w:ascii="Bookman Old Style" w:hAnsi="Bookman Old Style" w:cs="Minion-Italic"/>
          <w:i/>
          <w:iCs/>
          <w:sz w:val="22"/>
          <w:szCs w:val="22"/>
        </w:rPr>
        <w:t>causa mortis.</w:t>
      </w:r>
    </w:p>
    <w:p w:rsidR="00322F88" w:rsidRPr="00E73BFC" w:rsidRDefault="00322F88" w:rsidP="00322F88">
      <w:pPr>
        <w:pStyle w:val="TextodoCaptulo"/>
        <w:rPr>
          <w:rFonts w:ascii="Bookman Old Style" w:hAnsi="Bookman Old Style" w:cs="Minion-Italic"/>
          <w:i/>
          <w:iCs/>
          <w:sz w:val="22"/>
          <w:szCs w:val="22"/>
        </w:rPr>
      </w:pPr>
      <w:r w:rsidRPr="00E73BFC">
        <w:rPr>
          <w:rFonts w:ascii="Bookman Old Style" w:hAnsi="Bookman Old Style"/>
          <w:sz w:val="22"/>
          <w:szCs w:val="22"/>
        </w:rPr>
        <w:t>Nem todas as relações das quais ele participava, em vida, são transmissíveis aos seus sucessores, por exemplo, seus direitos de personalidade, suas obrigações personalíssimas, e mesmo os direitos reais extinguíveis com a morte, entre outras hipóteses.</w:t>
      </w:r>
    </w:p>
    <w:p w:rsidR="00AA271F" w:rsidRPr="00E73BFC" w:rsidRDefault="00322F88" w:rsidP="00AA271F">
      <w:pPr>
        <w:pStyle w:val="TextodoCaptulo"/>
        <w:rPr>
          <w:rFonts w:ascii="Bookman Old Style" w:hAnsi="Bookman Old Style"/>
          <w:sz w:val="22"/>
          <w:szCs w:val="22"/>
        </w:rPr>
      </w:pPr>
      <w:r w:rsidRPr="00E73BFC">
        <w:rPr>
          <w:rFonts w:ascii="Bookman Old Style" w:hAnsi="Bookman Old Style"/>
          <w:sz w:val="22"/>
          <w:szCs w:val="22"/>
        </w:rPr>
        <w:t>Nesse fictício momento de conjugação do falecimento com a transmissão,</w:t>
      </w:r>
      <w:r w:rsidR="00AA271F" w:rsidRPr="00E73BFC">
        <w:rPr>
          <w:rFonts w:ascii="Bookman Old Style" w:hAnsi="Bookman Old Style"/>
          <w:sz w:val="22"/>
          <w:szCs w:val="22"/>
        </w:rPr>
        <w:t xml:space="preserve"> </w:t>
      </w:r>
      <w:r w:rsidRPr="00E73BFC">
        <w:rPr>
          <w:rFonts w:ascii="Bookman Old Style" w:hAnsi="Bookman Old Style"/>
          <w:sz w:val="22"/>
          <w:szCs w:val="22"/>
        </w:rPr>
        <w:t xml:space="preserve">considera-se aberta a sucessão do morto, no instante mesmo de sua morte ou </w:t>
      </w:r>
      <w:r w:rsidR="00AA271F" w:rsidRPr="00E73BFC">
        <w:rPr>
          <w:rFonts w:ascii="Bookman Old Style" w:hAnsi="Bookman Old Style"/>
          <w:sz w:val="22"/>
          <w:szCs w:val="22"/>
        </w:rPr>
        <w:t xml:space="preserve">no instante em que </w:t>
      </w:r>
      <w:r w:rsidRPr="00E73BFC">
        <w:rPr>
          <w:rFonts w:ascii="Bookman Old Style" w:hAnsi="Bookman Old Style"/>
          <w:sz w:val="22"/>
          <w:szCs w:val="22"/>
        </w:rPr>
        <w:t>sua morte seja presumida, despontando o direito à herança,</w:t>
      </w:r>
      <w:r w:rsidR="00AA271F" w:rsidRPr="00E73BFC">
        <w:rPr>
          <w:rFonts w:ascii="Bookman Old Style" w:hAnsi="Bookman Old Style"/>
          <w:sz w:val="22"/>
          <w:szCs w:val="22"/>
        </w:rPr>
        <w:t xml:space="preserve"> com a substituição do falecido pelos seus sucessores nas relações jurídicas (de natureza transmissível), das quais o autor da herança era partícipe. O patrimônio transmissível denomina-se herança e seguirá – a partir da presunção de transmissibilidade imediata – o destino que se estampa nas regras sucessórias do direito civil positivado. Outras legislações também adotaram a ficção legal em comento, e, entre elas, destacam-se as seguintes: Código Civil português (art. 2.131), Código Civil francês (arts. 718 a 724), Código Civil italiano (art. 456), Código Civil espanhol (arts. 657 a 661), Código Civil chileno (art. 955), Código Civil venezuelano (arts. 986 e 988), Código Civil japonês (arts. 964 e 992). Como fonte anterior, algumas normas já contemplavam o princípio da </w:t>
      </w:r>
      <w:r w:rsidR="00AA271F" w:rsidRPr="00E73BFC">
        <w:rPr>
          <w:rFonts w:ascii="Bookman Old Style" w:hAnsi="Bookman Old Style" w:cs="Minion-Italic"/>
          <w:i/>
          <w:iCs/>
          <w:sz w:val="22"/>
          <w:szCs w:val="22"/>
        </w:rPr>
        <w:t>saisine</w:t>
      </w:r>
      <w:r w:rsidR="00AA271F" w:rsidRPr="00E73BFC">
        <w:rPr>
          <w:rFonts w:ascii="Bookman Old Style" w:hAnsi="Bookman Old Style"/>
          <w:sz w:val="22"/>
          <w:szCs w:val="22"/>
        </w:rPr>
        <w:t>, por exemplo, o Alvará de 9 de novembro de 1754, o Assento de 16 de fevereiro de 1876, a Consolidação de Teixeira de Freitas, art. 978. Esse mesmo princípio esteve recepcionado, também, pelo projeto do Código Civil de 1965 e pelo Projeto de Código Civil n. 634, de 1975.</w:t>
      </w:r>
    </w:p>
    <w:p w:rsidR="00A00DF1" w:rsidRPr="00E73BFC" w:rsidRDefault="00B132DF" w:rsidP="00B132DF">
      <w:pPr>
        <w:pStyle w:val="TextodoCaptulo"/>
        <w:ind w:left="2380"/>
        <w:rPr>
          <w:rFonts w:ascii="Bookman Old Style" w:hAnsi="Bookman Old Style"/>
          <w:sz w:val="22"/>
          <w:szCs w:val="22"/>
        </w:rPr>
      </w:pPr>
      <w:r w:rsidRPr="00E73BFC">
        <w:rPr>
          <w:rFonts w:ascii="Bookman Old Style" w:hAnsi="Bookman Old Style"/>
          <w:sz w:val="22"/>
          <w:szCs w:val="22"/>
        </w:rPr>
        <w:t xml:space="preserve">(Texto construído a partir da obra </w:t>
      </w:r>
      <w:r w:rsidRPr="00E73BFC">
        <w:rPr>
          <w:rFonts w:ascii="Bookman Old Style" w:hAnsi="Bookman Old Style"/>
          <w:i/>
          <w:sz w:val="22"/>
          <w:szCs w:val="22"/>
        </w:rPr>
        <w:t xml:space="preserve">Morrer e Suceder: passado e presente da transmissão sucessória concorrente, </w:t>
      </w:r>
      <w:r w:rsidRPr="00E73BFC">
        <w:rPr>
          <w:rFonts w:ascii="Bookman Old Style" w:hAnsi="Bookman Old Style"/>
          <w:sz w:val="22"/>
          <w:szCs w:val="22"/>
        </w:rPr>
        <w:t xml:space="preserve">de autoria de Giselda Maria Fernandes </w:t>
      </w:r>
      <w:r w:rsidRPr="00E73BFC">
        <w:rPr>
          <w:rFonts w:ascii="Bookman Old Style" w:hAnsi="Bookman Old Style"/>
          <w:sz w:val="22"/>
          <w:szCs w:val="22"/>
        </w:rPr>
        <w:lastRenderedPageBreak/>
        <w:t>Novaes Hironaka, publicada pela Editora RT, São Paulo, 2011)</w:t>
      </w:r>
    </w:p>
    <w:p w:rsidR="00B132DF" w:rsidRPr="00E73BFC" w:rsidRDefault="00B132DF" w:rsidP="00A00DF1">
      <w:pPr>
        <w:pStyle w:val="TextodoCaptulo"/>
        <w:rPr>
          <w:rFonts w:ascii="Bookman Old Style" w:hAnsi="Bookman Old Style"/>
          <w:b/>
          <w:sz w:val="22"/>
          <w:szCs w:val="22"/>
        </w:rPr>
      </w:pPr>
    </w:p>
    <w:p w:rsidR="00A00DF1" w:rsidRPr="00E73BFC" w:rsidRDefault="00A00DF1" w:rsidP="00A00DF1">
      <w:pPr>
        <w:pStyle w:val="TextodoCaptulo"/>
        <w:rPr>
          <w:rFonts w:ascii="Bookman Old Style" w:hAnsi="Bookman Old Style"/>
          <w:b/>
          <w:sz w:val="22"/>
          <w:szCs w:val="22"/>
        </w:rPr>
      </w:pPr>
      <w:r w:rsidRPr="00E73BFC">
        <w:rPr>
          <w:rFonts w:ascii="Bookman Old Style" w:hAnsi="Bookman Old Style"/>
          <w:b/>
          <w:sz w:val="22"/>
          <w:szCs w:val="22"/>
        </w:rPr>
        <w:t>Indivisibilidade da herança</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 xml:space="preserve">A herança, por expressa disposição legal (CC, art. </w:t>
      </w:r>
      <w:r w:rsidR="00042EC7">
        <w:rPr>
          <w:rFonts w:ascii="Bookman Old Style" w:hAnsi="Bookman Old Style"/>
          <w:sz w:val="22"/>
          <w:szCs w:val="22"/>
        </w:rPr>
        <w:t>80</w:t>
      </w:r>
      <w:r w:rsidRPr="00E73BFC">
        <w:rPr>
          <w:rFonts w:ascii="Bookman Old Style" w:hAnsi="Bookman Old Style"/>
          <w:sz w:val="22"/>
          <w:szCs w:val="22"/>
        </w:rPr>
        <w:t xml:space="preserve">, II), é tida como imóvel, independente dos bens que a compõe, e ainda como uma universalidade </w:t>
      </w:r>
      <w:r w:rsidRPr="00E73BFC">
        <w:rPr>
          <w:rFonts w:ascii="Bookman Old Style" w:hAnsi="Bookman Old Style"/>
          <w:i/>
          <w:sz w:val="22"/>
          <w:szCs w:val="22"/>
        </w:rPr>
        <w:t>iuris</w:t>
      </w:r>
      <w:r w:rsidRPr="00E73BFC">
        <w:rPr>
          <w:rFonts w:ascii="Bookman Old Style" w:hAnsi="Bookman Old Style"/>
          <w:sz w:val="22"/>
          <w:szCs w:val="22"/>
        </w:rPr>
        <w:t>. Além desta característica, o conjunto de bens e direitos arrecadados também é tido como indivisível, se existirem dois ou mais herdeiros, até a adição do respectivo quinhão em favor de cada um, através da partilha, por expressa disposição contida no art. 1.</w:t>
      </w:r>
      <w:r w:rsidR="00042EC7">
        <w:rPr>
          <w:rFonts w:ascii="Bookman Old Style" w:hAnsi="Bookman Old Style"/>
          <w:sz w:val="22"/>
          <w:szCs w:val="22"/>
        </w:rPr>
        <w:t xml:space="preserve">791, </w:t>
      </w:r>
      <w:r w:rsidR="00042EC7">
        <w:rPr>
          <w:rFonts w:ascii="Bookman Old Style" w:hAnsi="Bookman Old Style"/>
          <w:i/>
          <w:sz w:val="22"/>
          <w:szCs w:val="22"/>
        </w:rPr>
        <w:t xml:space="preserve">caput </w:t>
      </w:r>
      <w:r w:rsidR="00042EC7">
        <w:rPr>
          <w:rFonts w:ascii="Bookman Old Style" w:hAnsi="Bookman Old Style"/>
          <w:sz w:val="22"/>
          <w:szCs w:val="22"/>
        </w:rPr>
        <w:t>e parágrafo único,</w:t>
      </w:r>
      <w:r w:rsidRPr="00E73BFC">
        <w:rPr>
          <w:rFonts w:ascii="Bookman Old Style" w:hAnsi="Bookman Old Style"/>
          <w:sz w:val="22"/>
          <w:szCs w:val="22"/>
        </w:rPr>
        <w:t xml:space="preserve"> do Código Civil.</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 xml:space="preserve">A indivisibilidade da herança faz com que ela permaneça como uma universalidade </w:t>
      </w:r>
      <w:r w:rsidRPr="00E73BFC">
        <w:rPr>
          <w:rFonts w:ascii="Bookman Old Style" w:hAnsi="Bookman Old Style"/>
          <w:i/>
          <w:sz w:val="22"/>
          <w:szCs w:val="22"/>
        </w:rPr>
        <w:t>iuris</w:t>
      </w:r>
      <w:r w:rsidRPr="00E73BFC">
        <w:rPr>
          <w:rFonts w:ascii="Bookman Old Style" w:hAnsi="Bookman Old Style"/>
          <w:sz w:val="22"/>
          <w:szCs w:val="22"/>
        </w:rPr>
        <w:t xml:space="preserve"> impartível, criando entre os herdeiros um regime de condomínio forçado, cada qual sendo titular de uma parte ideal do todo.</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Decorre da indivisibilidade imposta por lei a prerrogativa para cada herdeiro, de reclamar qualquer dos bens que compõe a herança de quem injustamente os possua, sem que este possa alegar o caráter parcial do direito do reivindicante (CC, art. 1.</w:t>
      </w:r>
      <w:r w:rsidR="00042EC7">
        <w:rPr>
          <w:rFonts w:ascii="Bookman Old Style" w:hAnsi="Bookman Old Style"/>
          <w:sz w:val="22"/>
          <w:szCs w:val="22"/>
        </w:rPr>
        <w:t>791</w:t>
      </w:r>
      <w:r w:rsidRPr="00E73BFC">
        <w:rPr>
          <w:rFonts w:ascii="Bookman Old Style" w:hAnsi="Bookman Old Style"/>
          <w:sz w:val="22"/>
          <w:szCs w:val="22"/>
        </w:rPr>
        <w:t>, parágrafo único). E assim agindo, mesmo sendo titular apenas de parte ideal do acervo, o herdeiro que teve a iniciativa beneficiará a todos os demais, não lhe sendo exclusivo o resultado.</w:t>
      </w:r>
      <w:r w:rsidRPr="00E73BFC">
        <w:rPr>
          <w:rStyle w:val="Refdenotaderodap"/>
          <w:rFonts w:ascii="Bookman Old Style" w:hAnsi="Bookman Old Style"/>
          <w:sz w:val="22"/>
          <w:szCs w:val="22"/>
        </w:rPr>
        <w:t xml:space="preserve"> </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E, como bem salienta SILVIO RODRIGUES, “tal solução legal, além de conveniente, se estriba em boa razão lógica. O herdeiro, dada sua condição de condômino, é titular apenas de uma parte ideal do espólio, pois seu quinhão só se individuará por ocasião da partilha. Entretanto, como não é possível deferir-lhe a defesa de um quinhão ainda não individuado, a lei define como indivisível seu direito e lhe concede a prerrogativa de reclamar a universalidade da herança”.</w:t>
      </w:r>
      <w:r w:rsidRPr="00E73BFC">
        <w:rPr>
          <w:rStyle w:val="Refdenotaderodap"/>
          <w:rFonts w:ascii="Bookman Old Style" w:hAnsi="Bookman Old Style"/>
          <w:sz w:val="22"/>
          <w:szCs w:val="22"/>
        </w:rPr>
        <w:t xml:space="preserve"> </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Lembra-se apenas que este direito do coerdeiro não exclui, mas convive</w:t>
      </w:r>
      <w:r w:rsidR="0011163A" w:rsidRPr="00E73BFC">
        <w:rPr>
          <w:rFonts w:ascii="Bookman Old Style" w:hAnsi="Bookman Old Style"/>
          <w:sz w:val="22"/>
          <w:szCs w:val="22"/>
        </w:rPr>
        <w:t>,</w:t>
      </w:r>
      <w:r w:rsidRPr="00E73BFC">
        <w:rPr>
          <w:rFonts w:ascii="Bookman Old Style" w:hAnsi="Bookman Old Style"/>
          <w:sz w:val="22"/>
          <w:szCs w:val="22"/>
        </w:rPr>
        <w:t xml:space="preserve"> com a legitimidade do próprio espólio, representada pelo inventariante, para propor qualquer ação na defesa dos interesses do acervo hereditário, inclusive, e, especialmente, de preservação do acervo patrimonial, em face de quem indevidamente aventure-se a lesá-lo.</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 xml:space="preserve">A indivisibilidade da herança refere-se não só ao domínio, como à própria posse dos bens. Como já visto, é transmitida a posse aos herdeiros, entretanto, a eles, na fase provisória do processo de inventário, é transferida a posse </w:t>
      </w:r>
      <w:r w:rsidRPr="00E73BFC">
        <w:rPr>
          <w:rFonts w:ascii="Bookman Old Style" w:hAnsi="Bookman Old Style"/>
          <w:sz w:val="22"/>
          <w:szCs w:val="22"/>
        </w:rPr>
        <w:lastRenderedPageBreak/>
        <w:t>indireta, reservada ao inventariante a posse direta.</w:t>
      </w:r>
      <w:r w:rsidRPr="00E73BFC">
        <w:rPr>
          <w:rStyle w:val="Refdenotaderodap"/>
          <w:rFonts w:ascii="Bookman Old Style" w:hAnsi="Bookman Old Style"/>
          <w:sz w:val="22"/>
          <w:szCs w:val="22"/>
        </w:rPr>
        <w:t xml:space="preserve"> </w:t>
      </w:r>
      <w:r w:rsidRPr="00E73BFC">
        <w:rPr>
          <w:rFonts w:ascii="Bookman Old Style" w:hAnsi="Bookman Old Style"/>
          <w:sz w:val="22"/>
          <w:szCs w:val="22"/>
        </w:rPr>
        <w:t>Neste contexto, se algum herdeiro exercer a posse direta exclusiva de um determinado bem, o inventariante pode reclamá-la em favor da massa, no exercício de sua administração do espólio, ou ainda, como a qualquer herdeiro preterido, tem sido admitida ação para cobrança de aluguéis, através de arbitramento judicial, a ser revertido em favor da massa.</w:t>
      </w:r>
      <w:r w:rsidRPr="00E73BFC">
        <w:rPr>
          <w:rStyle w:val="Refdenotaderodap"/>
          <w:rFonts w:ascii="Bookman Old Style" w:hAnsi="Bookman Old Style"/>
          <w:sz w:val="22"/>
          <w:szCs w:val="22"/>
        </w:rPr>
        <w:t xml:space="preserve"> </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Por fim, como efeito da indivisibilidade verifica-se que a cada coerdeiro só será permitida cessão de sua quota-parte (fração ideal e abstrata) da herança, impossibilitando a negociação isolada por um, da integralidade de um bem ou direito.</w:t>
      </w:r>
    </w:p>
    <w:p w:rsidR="00A00DF1" w:rsidRPr="00E73BFC" w:rsidRDefault="00A00DF1" w:rsidP="00A00DF1">
      <w:pPr>
        <w:pStyle w:val="TextodoCaptulo"/>
        <w:rPr>
          <w:rFonts w:ascii="Bookman Old Style" w:hAnsi="Bookman Old Style"/>
          <w:sz w:val="22"/>
          <w:szCs w:val="22"/>
        </w:rPr>
      </w:pPr>
      <w:r w:rsidRPr="00E73BFC">
        <w:rPr>
          <w:rFonts w:ascii="Bookman Old Style" w:hAnsi="Bookman Old Style"/>
          <w:sz w:val="22"/>
          <w:szCs w:val="22"/>
        </w:rPr>
        <w:t>Este estado de indivisibilidade cessará, como já mencionado, com a partilha, que se seguirá ao inventário; são duas fases do mesmo processo judicial que visa à formalização da transmissão da herança. Mas nada impede que na própria partilha, os herdeiros, todos ou alguns deles, permaneçam como condôminos de determinados bens. Desfaz-se a comunhão forçada em razão da indivisibilidade provisória da herança, e forma-se o condomínio em razão da aquisição, pelos sucessores, com a partilha, de partes ideais sobre o mesmo bem.</w:t>
      </w:r>
    </w:p>
    <w:p w:rsidR="00B132DF" w:rsidRPr="00E73BFC" w:rsidRDefault="00B132DF" w:rsidP="00B132DF">
      <w:pPr>
        <w:pStyle w:val="TextodoCaptulo"/>
        <w:ind w:left="2040"/>
        <w:rPr>
          <w:rFonts w:ascii="Bookman Old Style" w:hAnsi="Bookman Old Style"/>
          <w:sz w:val="22"/>
          <w:szCs w:val="22"/>
        </w:rPr>
      </w:pPr>
      <w:r w:rsidRPr="00E73BFC">
        <w:rPr>
          <w:rFonts w:ascii="Bookman Old Style" w:hAnsi="Bookman Old Style"/>
          <w:sz w:val="22"/>
          <w:szCs w:val="22"/>
        </w:rPr>
        <w:t xml:space="preserve">(Texto construído a partir da obra </w:t>
      </w:r>
      <w:r w:rsidRPr="00E73BFC">
        <w:rPr>
          <w:rFonts w:ascii="Bookman Old Style" w:hAnsi="Bookman Old Style"/>
          <w:i/>
          <w:sz w:val="22"/>
          <w:szCs w:val="22"/>
        </w:rPr>
        <w:t xml:space="preserve">Direito das Sucessões, </w:t>
      </w:r>
      <w:r w:rsidRPr="00E73BFC">
        <w:rPr>
          <w:rFonts w:ascii="Bookman Old Style" w:hAnsi="Bookman Old Style"/>
          <w:sz w:val="22"/>
          <w:szCs w:val="22"/>
        </w:rPr>
        <w:t>de autoria de Francisco José Cahali e Giselda Maria Fernandes Novaes Hironaka, publicada pela Editora RT, São Paulo, 4ª edição, 2011)</w:t>
      </w:r>
    </w:p>
    <w:p w:rsidR="0011163A" w:rsidRPr="00E73BFC" w:rsidRDefault="0011163A" w:rsidP="00A00DF1">
      <w:pPr>
        <w:pStyle w:val="TextodoCaptulo"/>
        <w:rPr>
          <w:rFonts w:ascii="Bookman Old Style" w:hAnsi="Bookman Old Style"/>
          <w:sz w:val="22"/>
          <w:szCs w:val="22"/>
        </w:rPr>
      </w:pPr>
    </w:p>
    <w:p w:rsidR="005672E0" w:rsidRPr="00E73BFC" w:rsidRDefault="005672E0" w:rsidP="00A00DF1">
      <w:pPr>
        <w:pStyle w:val="TextodoCaptulo"/>
        <w:rPr>
          <w:rFonts w:ascii="Bookman Old Style" w:hAnsi="Bookman Old Style"/>
          <w:b/>
          <w:sz w:val="22"/>
          <w:szCs w:val="22"/>
        </w:rPr>
      </w:pPr>
      <w:r w:rsidRPr="00E73BFC">
        <w:rPr>
          <w:rFonts w:ascii="Bookman Old Style" w:hAnsi="Bookman Old Style"/>
          <w:b/>
          <w:sz w:val="22"/>
          <w:szCs w:val="22"/>
        </w:rPr>
        <w:t>Abertura do inventário</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sz w:val="22"/>
          <w:szCs w:val="22"/>
        </w:rPr>
        <w:t>A sucessão é aberta no local do último domicílio do falecido (art. 1785 CC), ainda que outro tenha sido o local de sua morte e ainda que outros sejam os locais da situação dos bens. A regra deriva da necessidade de se fixar o foro competente para o processamento do inventário e da partilha, mas liga-se ainda ao problema da determinação da jurisdição internacional competente. É regra, portanto, que se relaciona ao direito processual e ao direito internacional privado.</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sz w:val="22"/>
          <w:szCs w:val="22"/>
        </w:rPr>
        <w:t xml:space="preserve">A norma que vinha estatuída no Código Civil de 1916 veio repetida no Código atual, determinando a abertura da sucessão no lugar do último domicílio do finado. Se este, todavia não possuía domicílio ou possuía mais de um, o </w:t>
      </w:r>
      <w:r w:rsidRPr="00E73BFC">
        <w:rPr>
          <w:rFonts w:ascii="Bookman Old Style" w:hAnsi="Bookman Old Style"/>
          <w:sz w:val="22"/>
          <w:szCs w:val="22"/>
        </w:rPr>
        <w:lastRenderedPageBreak/>
        <w:t>problema de sua determinação para fins de estabelecer o local da abertura da sucessão desloca-se para as regras da Parte Geral atinentes ao domicílio da pessoa física.</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i/>
          <w:sz w:val="22"/>
          <w:szCs w:val="22"/>
        </w:rPr>
        <w:t>Abertura da sucessão</w:t>
      </w:r>
      <w:r w:rsidRPr="00E73BFC">
        <w:rPr>
          <w:rFonts w:ascii="Bookman Old Style" w:hAnsi="Bookman Old Style"/>
          <w:sz w:val="22"/>
          <w:szCs w:val="22"/>
        </w:rPr>
        <w:t xml:space="preserve"> não é, todavia, conceito idêntico ao de </w:t>
      </w:r>
      <w:r w:rsidRPr="00E73BFC">
        <w:rPr>
          <w:rFonts w:ascii="Bookman Old Style" w:hAnsi="Bookman Old Style"/>
          <w:i/>
          <w:sz w:val="22"/>
          <w:szCs w:val="22"/>
        </w:rPr>
        <w:t>abertura do inventário</w:t>
      </w:r>
      <w:r w:rsidRPr="00E73BFC">
        <w:rPr>
          <w:rFonts w:ascii="Bookman Old Style" w:hAnsi="Bookman Old Style"/>
          <w:sz w:val="22"/>
          <w:szCs w:val="22"/>
        </w:rPr>
        <w:t>. A regra processual geral é a de que o foro competente para assistir à abertura do inventário é o foro onde tinha o finado o seu último domicílio. Aqui coincidem as regras. Mas a normativa processual (CPC) de 1973 veio especificar o foro competente para o processamento do inventário nas hipóteses em que o domicílio é incerto.</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sz w:val="22"/>
          <w:szCs w:val="22"/>
        </w:rPr>
        <w:t xml:space="preserve">Entendeu o legislador processual que não bastava indicar o local da abertura da sucessão pelo último domicílio do falecido, porque este poderia apresentar-se de forma incerta, poderia o falecido não possuir domicílio algum, ou ainda possuir mais de um domicílio, e por estes motivos, especificou a regra no que concerne ao local da abertura do inventário, fazendo-o incidir no local da situação dos bens sempre que o domicílio fosse incerto (art. 96, I, CPC). Mas outro problema seria criado quando os bens que compusessem a herança se situassem em locais diversos. Entendendo o legislador não ser possível a multiplicidade de inventários referentes a uma mesma herança, bem imóvel indivisível por determinação legal, deslocou a competência jurisdicional para o local do óbito do </w:t>
      </w:r>
      <w:r w:rsidRPr="00E73BFC">
        <w:rPr>
          <w:rFonts w:ascii="Bookman Old Style" w:hAnsi="Bookman Old Style"/>
          <w:i/>
          <w:sz w:val="22"/>
          <w:szCs w:val="22"/>
        </w:rPr>
        <w:t>de cujus</w:t>
      </w:r>
      <w:r w:rsidRPr="00E73BFC">
        <w:rPr>
          <w:rFonts w:ascii="Bookman Old Style" w:hAnsi="Bookman Old Style"/>
          <w:sz w:val="22"/>
          <w:szCs w:val="22"/>
        </w:rPr>
        <w:t xml:space="preserve"> (art. 96, II, CPC). Por fim, para a hipótese de pluralidade domiciliar, permitiu a abertura do inventário em qualquer foro correspondente a um dos domicílios do finado (art. 94, parágrafo 1º).</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sz w:val="22"/>
          <w:szCs w:val="22"/>
        </w:rPr>
        <w:t>Diversos são os problemas relativos à jurisdição competente e à determinação da lei material aplicável à sucessão quando esta apresenta algum elemento estrangeiro. Essa temática é referente ao direito internacional privado, ramo do direito que estabelece regras para a solução dos conflitos de lei no espaço.</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i/>
          <w:iCs/>
          <w:sz w:val="22"/>
          <w:szCs w:val="22"/>
        </w:rPr>
        <w:t>Sucessão no espaço</w:t>
      </w:r>
      <w:r w:rsidRPr="00E73BFC">
        <w:rPr>
          <w:rFonts w:ascii="Bookman Old Style" w:hAnsi="Bookman Old Style"/>
          <w:sz w:val="22"/>
          <w:szCs w:val="22"/>
        </w:rPr>
        <w:t xml:space="preserve"> – Morto o </w:t>
      </w:r>
      <w:r w:rsidRPr="00E73BFC">
        <w:rPr>
          <w:rFonts w:ascii="Bookman Old Style" w:hAnsi="Bookman Old Style"/>
          <w:i/>
          <w:sz w:val="22"/>
          <w:szCs w:val="22"/>
        </w:rPr>
        <w:t>de cujus</w:t>
      </w:r>
      <w:r w:rsidRPr="00E73BFC">
        <w:rPr>
          <w:rFonts w:ascii="Bookman Old Style" w:hAnsi="Bookman Old Style"/>
          <w:sz w:val="22"/>
          <w:szCs w:val="22"/>
        </w:rPr>
        <w:t>, o primeiro passo que se deve seguir é o referente à determinação do foro competente para o processamento do inventário. Quando, entretanto, existe na relação sucessória qualquer elemento estrangeiro, a</w:t>
      </w:r>
      <w:bookmarkStart w:id="0" w:name="_GoBack"/>
      <w:bookmarkEnd w:id="0"/>
      <w:r w:rsidRPr="00E73BFC">
        <w:rPr>
          <w:rFonts w:ascii="Bookman Old Style" w:hAnsi="Bookman Old Style"/>
          <w:sz w:val="22"/>
          <w:szCs w:val="22"/>
        </w:rPr>
        <w:t xml:space="preserve"> problemática desloca-se para a determinação da jurisdição competente para conhecer do inventário e proceder à partilha dos bens. E isso se dá porque esse elemento estrangeiro revela uma conexão da relação jurídica sucessória com mais de um ordenamento jurídico. Assim, a nacionalidade do </w:t>
      </w:r>
      <w:r w:rsidRPr="00E73BFC">
        <w:rPr>
          <w:rFonts w:ascii="Bookman Old Style" w:hAnsi="Bookman Old Style"/>
          <w:i/>
          <w:sz w:val="22"/>
          <w:szCs w:val="22"/>
        </w:rPr>
        <w:t>de cujus</w:t>
      </w:r>
      <w:r w:rsidRPr="00E73BFC">
        <w:rPr>
          <w:rFonts w:ascii="Bookman Old Style" w:hAnsi="Bookman Old Style"/>
          <w:sz w:val="22"/>
          <w:szCs w:val="22"/>
        </w:rPr>
        <w:t xml:space="preserve"> e dos herdeiros potenciais, o domicílio de um ou dos outros, a situação </w:t>
      </w:r>
      <w:r w:rsidRPr="00E73BFC">
        <w:rPr>
          <w:rFonts w:ascii="Bookman Old Style" w:hAnsi="Bookman Old Style"/>
          <w:sz w:val="22"/>
          <w:szCs w:val="22"/>
        </w:rPr>
        <w:lastRenderedPageBreak/>
        <w:t>de bens no estrangeiro, ou mesmo ter o falecimento ocorrido em outro Estado são elementos que devem despertar a atenção do profissional do Direito no sentido de verificar qual o foro e qual a lei competente para dirimir a questão.</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sz w:val="22"/>
          <w:szCs w:val="22"/>
        </w:rPr>
        <w:t xml:space="preserve">No âmbito do direito sucessório brasileiro, interessa saber quando será competente a jurisdição nacional. Assim, será competente a jurisdição brasileira sempre que o defunto tivesse, no momento de sua morte, domicílio no território nacional, fosse ele brasileiro nato, naturalizado ou mesmo estrangeiro aqui domiciliado, uma vez que esta é a regra geral relativa à determinação do foro competente para a abertura do inventário. Mas não apenas nessas hipóteses. O legislador processual houve por bem determinar a competência exclusiva da jurisdição nacional sempre que os bens outrora pertencentes ao </w:t>
      </w:r>
      <w:r w:rsidRPr="00E73BFC">
        <w:rPr>
          <w:rFonts w:ascii="Bookman Old Style" w:hAnsi="Bookman Old Style"/>
          <w:i/>
          <w:sz w:val="22"/>
          <w:szCs w:val="22"/>
        </w:rPr>
        <w:t>de cujus</w:t>
      </w:r>
      <w:r w:rsidRPr="00E73BFC">
        <w:rPr>
          <w:rFonts w:ascii="Bookman Old Style" w:hAnsi="Bookman Old Style"/>
          <w:sz w:val="22"/>
          <w:szCs w:val="22"/>
        </w:rPr>
        <w:t xml:space="preserve"> estejam situados no Brasil, ainda que o falecido não possua mais domicílio no país (hipótese em que será tido como competente o juízo nacional do foro em que por último teve o morto seu domicílio) ou mesmo que tenha nunca fixado aqui o seu domicílio (quando então, tem-se por competente o juízo da situação dos bens a inventariar) - art. 89, inc. II, CPC.</w:t>
      </w:r>
    </w:p>
    <w:p w:rsidR="005672E0" w:rsidRPr="00E73BFC" w:rsidRDefault="0011163A" w:rsidP="005672E0">
      <w:pPr>
        <w:pStyle w:val="TextodoCaptulo"/>
        <w:rPr>
          <w:rFonts w:ascii="Bookman Old Style" w:hAnsi="Bookman Old Style"/>
          <w:sz w:val="22"/>
          <w:szCs w:val="22"/>
        </w:rPr>
      </w:pPr>
      <w:r w:rsidRPr="00E73BFC">
        <w:rPr>
          <w:rFonts w:ascii="Bookman Old Style" w:hAnsi="Bookman Old Style"/>
          <w:sz w:val="22"/>
          <w:szCs w:val="22"/>
        </w:rPr>
        <w:t>Resolvido o problema atinente à determinação do foro competente, deve-se verificar qual a lei que regerá materialmente a sucessão. Esta é uma tarefa atribuída ao juiz nacional competente para o processamento do inventário, atendo-se ele ao quanto disposto no art. 10º da L</w:t>
      </w:r>
      <w:r w:rsidR="005672E0" w:rsidRPr="00E73BFC">
        <w:rPr>
          <w:rFonts w:ascii="Bookman Old Style" w:hAnsi="Bookman Old Style"/>
          <w:sz w:val="22"/>
          <w:szCs w:val="22"/>
        </w:rPr>
        <w:t>ei de Introdução às normas do Direito Brasileiro</w:t>
      </w:r>
      <w:r w:rsidRPr="00E73BFC">
        <w:rPr>
          <w:rFonts w:ascii="Bookman Old Style" w:hAnsi="Bookman Old Style"/>
          <w:sz w:val="22"/>
          <w:szCs w:val="22"/>
        </w:rPr>
        <w:t xml:space="preserve"> (</w:t>
      </w:r>
      <w:r w:rsidR="005672E0" w:rsidRPr="00E73BFC">
        <w:rPr>
          <w:rFonts w:ascii="Bookman Old Style" w:hAnsi="Bookman Old Style"/>
          <w:sz w:val="22"/>
          <w:szCs w:val="22"/>
        </w:rPr>
        <w:t xml:space="preserve">LINDB – nome </w:t>
      </w:r>
      <w:r w:rsidR="00B132DF" w:rsidRPr="00E73BFC">
        <w:rPr>
          <w:rFonts w:ascii="Bookman Old Style" w:hAnsi="Bookman Old Style"/>
          <w:sz w:val="22"/>
          <w:szCs w:val="22"/>
        </w:rPr>
        <w:t>substitutivo da antiga LICC</w:t>
      </w:r>
      <w:r w:rsidR="005672E0" w:rsidRPr="00E73BFC">
        <w:rPr>
          <w:rFonts w:ascii="Bookman Old Style" w:hAnsi="Bookman Old Style"/>
          <w:sz w:val="22"/>
          <w:szCs w:val="22"/>
        </w:rPr>
        <w:t>, pela Lei nº 12.376/2010</w:t>
      </w:r>
      <w:r w:rsidRPr="00E73BFC">
        <w:rPr>
          <w:rFonts w:ascii="Bookman Old Style" w:hAnsi="Bookman Old Style"/>
          <w:sz w:val="22"/>
          <w:szCs w:val="22"/>
        </w:rPr>
        <w:t>), bem assim ao disposto no inc. XXXI do art. 5º da Constituição Federal.</w:t>
      </w:r>
    </w:p>
    <w:p w:rsidR="0011163A" w:rsidRPr="00E73BFC" w:rsidRDefault="0011163A" w:rsidP="0011163A">
      <w:pPr>
        <w:pStyle w:val="TextodoCaptulo"/>
        <w:rPr>
          <w:rFonts w:ascii="Bookman Old Style" w:hAnsi="Bookman Old Style"/>
          <w:sz w:val="22"/>
          <w:szCs w:val="22"/>
        </w:rPr>
      </w:pPr>
      <w:r w:rsidRPr="00E73BFC">
        <w:rPr>
          <w:rFonts w:ascii="Bookman Old Style" w:hAnsi="Bookman Old Style"/>
          <w:sz w:val="22"/>
          <w:szCs w:val="22"/>
        </w:rPr>
        <w:t xml:space="preserve">Determina o art. 10º, </w:t>
      </w:r>
      <w:r w:rsidRPr="00E73BFC">
        <w:rPr>
          <w:rFonts w:ascii="Bookman Old Style" w:hAnsi="Bookman Old Style"/>
          <w:i/>
          <w:sz w:val="22"/>
          <w:szCs w:val="22"/>
        </w:rPr>
        <w:t>caput</w:t>
      </w:r>
      <w:r w:rsidRPr="00E73BFC">
        <w:rPr>
          <w:rFonts w:ascii="Bookman Old Style" w:hAnsi="Bookman Old Style"/>
          <w:sz w:val="22"/>
          <w:szCs w:val="22"/>
        </w:rPr>
        <w:t xml:space="preserve">, da </w:t>
      </w:r>
      <w:r w:rsidR="005672E0" w:rsidRPr="00E73BFC">
        <w:rPr>
          <w:rFonts w:ascii="Bookman Old Style" w:hAnsi="Bookman Old Style"/>
          <w:sz w:val="22"/>
          <w:szCs w:val="22"/>
        </w:rPr>
        <w:t>LINDB</w:t>
      </w:r>
      <w:r w:rsidRPr="00E73BFC">
        <w:rPr>
          <w:rFonts w:ascii="Bookman Old Style" w:hAnsi="Bookman Old Style"/>
          <w:sz w:val="22"/>
          <w:szCs w:val="22"/>
        </w:rPr>
        <w:t xml:space="preserve"> que a lei que regula a sucessão é aquela lei vigente no local do último domicílio do </w:t>
      </w:r>
      <w:r w:rsidRPr="00E73BFC">
        <w:rPr>
          <w:rFonts w:ascii="Bookman Old Style" w:hAnsi="Bookman Old Style"/>
          <w:i/>
          <w:sz w:val="22"/>
          <w:szCs w:val="22"/>
        </w:rPr>
        <w:t>de cujus</w:t>
      </w:r>
      <w:r w:rsidRPr="00E73BFC">
        <w:rPr>
          <w:rFonts w:ascii="Bookman Old Style" w:hAnsi="Bookman Old Style"/>
          <w:sz w:val="22"/>
          <w:szCs w:val="22"/>
        </w:rPr>
        <w:t>.</w:t>
      </w:r>
    </w:p>
    <w:p w:rsidR="00A00DF1" w:rsidRPr="00E73BFC" w:rsidRDefault="0011163A" w:rsidP="00242031">
      <w:pPr>
        <w:pStyle w:val="TextodoCaptulo"/>
        <w:rPr>
          <w:rFonts w:ascii="Bookman Old Style" w:hAnsi="Bookman Old Style"/>
          <w:sz w:val="22"/>
          <w:szCs w:val="22"/>
        </w:rPr>
      </w:pPr>
      <w:r w:rsidRPr="00E73BFC">
        <w:rPr>
          <w:rFonts w:ascii="Bookman Old Style" w:hAnsi="Bookman Old Style"/>
          <w:sz w:val="22"/>
          <w:szCs w:val="22"/>
        </w:rPr>
        <w:t>Assim, sempre que domiciliado o autor da herança no Brasil no momento de sua morte, a lei aplicável será, a princípio, a brasileira. Disse-se a princípio por ser factível a hipótese de o sucessor, determinado pela lei brasileira como tal, uma vez que é a nossa ordem de vocação hereditária a aplicável, ser domiciliado no exterior. Nessa hipótese, dever-se-á verificar da aptidão, da legitimidade para suceder, segundo o disposto na lei pessoal do presumível sucessor, já que se trata de hipótese de capacidade e que, como tal, requer a aplicação da lei do domicílio do indivíduo para sua determinação (</w:t>
      </w:r>
      <w:r w:rsidR="005672E0" w:rsidRPr="00E73BFC">
        <w:rPr>
          <w:rFonts w:ascii="Bookman Old Style" w:hAnsi="Bookman Old Style"/>
          <w:sz w:val="22"/>
          <w:szCs w:val="22"/>
        </w:rPr>
        <w:t>LINDB</w:t>
      </w:r>
      <w:r w:rsidRPr="00E73BFC">
        <w:rPr>
          <w:rFonts w:ascii="Bookman Old Style" w:hAnsi="Bookman Old Style"/>
          <w:sz w:val="22"/>
          <w:szCs w:val="22"/>
        </w:rPr>
        <w:t xml:space="preserve">, art. 7º). Percebe-se, portanto, que o direito de participar da sucessão será determinado pela lei do domicílio do </w:t>
      </w:r>
      <w:r w:rsidRPr="00E73BFC">
        <w:rPr>
          <w:rFonts w:ascii="Bookman Old Style" w:hAnsi="Bookman Old Style"/>
          <w:i/>
          <w:sz w:val="22"/>
          <w:szCs w:val="22"/>
        </w:rPr>
        <w:t>de cujus</w:t>
      </w:r>
      <w:r w:rsidRPr="00E73BFC">
        <w:rPr>
          <w:rFonts w:ascii="Bookman Old Style" w:hAnsi="Bookman Old Style"/>
          <w:sz w:val="22"/>
          <w:szCs w:val="22"/>
        </w:rPr>
        <w:t xml:space="preserve">, mas o direito a suceder determinar-se-á segundo a lei </w:t>
      </w:r>
      <w:r w:rsidRPr="00E73BFC">
        <w:rPr>
          <w:rFonts w:ascii="Bookman Old Style" w:hAnsi="Bookman Old Style"/>
          <w:sz w:val="22"/>
          <w:szCs w:val="22"/>
        </w:rPr>
        <w:lastRenderedPageBreak/>
        <w:t>pessoal do sucessível, contra quem pode pesar, segundo a lei vigente no Estado em que é domiciliado, um qualquer impedimento, uma causa de indignidade ou deserdação, ainda que não verificada ou desconhecida pela lei brasileira, salvo se ofender nossa ordem pública, como a hipótese de a lei pessoal determinar o afastamento do filho adotivo da sucessão.</w:t>
      </w:r>
    </w:p>
    <w:p w:rsidR="00B132DF" w:rsidRPr="00E73BFC" w:rsidRDefault="00B132DF" w:rsidP="00E61B7B">
      <w:pPr>
        <w:pStyle w:val="TextodoCaptulo"/>
        <w:ind w:left="2720"/>
        <w:rPr>
          <w:rFonts w:ascii="Bookman Old Style" w:hAnsi="Bookman Old Style"/>
          <w:sz w:val="22"/>
          <w:szCs w:val="22"/>
        </w:rPr>
      </w:pPr>
      <w:r w:rsidRPr="00E73BFC">
        <w:rPr>
          <w:rFonts w:ascii="Bookman Old Style" w:hAnsi="Bookman Old Style"/>
          <w:sz w:val="22"/>
          <w:szCs w:val="22"/>
        </w:rPr>
        <w:t xml:space="preserve">(Texto construído a partir da obra </w:t>
      </w:r>
      <w:r w:rsidRPr="00E73BFC">
        <w:rPr>
          <w:rFonts w:ascii="Bookman Old Style" w:hAnsi="Bookman Old Style"/>
          <w:i/>
          <w:sz w:val="22"/>
          <w:szCs w:val="22"/>
        </w:rPr>
        <w:t>Comentários ao Código Civil: Parte Especial – Do Direito das Sucessões</w:t>
      </w:r>
      <w:r w:rsidR="00E61B7B" w:rsidRPr="00E73BFC">
        <w:rPr>
          <w:rFonts w:ascii="Bookman Old Style" w:hAnsi="Bookman Old Style"/>
          <w:i/>
          <w:sz w:val="22"/>
          <w:szCs w:val="22"/>
        </w:rPr>
        <w:t xml:space="preserve"> (arts. 1784 a 1856)</w:t>
      </w:r>
      <w:r w:rsidRPr="00E73BFC">
        <w:rPr>
          <w:rFonts w:ascii="Bookman Old Style" w:hAnsi="Bookman Old Style"/>
          <w:i/>
          <w:sz w:val="22"/>
          <w:szCs w:val="22"/>
        </w:rPr>
        <w:t xml:space="preserve">, </w:t>
      </w:r>
      <w:r w:rsidRPr="00E73BFC">
        <w:rPr>
          <w:rFonts w:ascii="Bookman Old Style" w:hAnsi="Bookman Old Style"/>
          <w:sz w:val="22"/>
          <w:szCs w:val="22"/>
        </w:rPr>
        <w:t xml:space="preserve">de autoria de Giselda Maria Fernandes Novaes Hironaka, </w:t>
      </w:r>
      <w:r w:rsidR="00E61B7B" w:rsidRPr="00E73BFC">
        <w:rPr>
          <w:rFonts w:ascii="Bookman Old Style" w:hAnsi="Bookman Old Style"/>
          <w:sz w:val="22"/>
          <w:szCs w:val="22"/>
        </w:rPr>
        <w:t xml:space="preserve">volume 20 </w:t>
      </w:r>
      <w:r w:rsidRPr="00E73BFC">
        <w:rPr>
          <w:rFonts w:ascii="Bookman Old Style" w:hAnsi="Bookman Old Style"/>
          <w:sz w:val="22"/>
          <w:szCs w:val="22"/>
        </w:rPr>
        <w:t xml:space="preserve">publicada </w:t>
      </w:r>
      <w:r w:rsidR="00E61B7B" w:rsidRPr="00E73BFC">
        <w:rPr>
          <w:rFonts w:ascii="Bookman Old Style" w:hAnsi="Bookman Old Style"/>
          <w:sz w:val="22"/>
          <w:szCs w:val="22"/>
        </w:rPr>
        <w:t>pela Editora Saraiva, São Paulo, 2008</w:t>
      </w:r>
      <w:r w:rsidRPr="00E73BFC">
        <w:rPr>
          <w:rFonts w:ascii="Bookman Old Style" w:hAnsi="Bookman Old Style"/>
          <w:sz w:val="22"/>
          <w:szCs w:val="22"/>
        </w:rPr>
        <w:t>)</w:t>
      </w:r>
      <w:r w:rsidR="00E61B7B" w:rsidRPr="00E73BFC">
        <w:rPr>
          <w:rFonts w:ascii="Bookman Old Style" w:hAnsi="Bookman Old Style"/>
          <w:sz w:val="22"/>
          <w:szCs w:val="22"/>
        </w:rPr>
        <w:t>.</w:t>
      </w:r>
    </w:p>
    <w:sectPr w:rsidR="00B132DF" w:rsidRPr="00E73BFC">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F3" w:rsidRDefault="007F2FF3" w:rsidP="00A00DF1">
      <w:pPr>
        <w:spacing w:after="0" w:line="240" w:lineRule="auto"/>
      </w:pPr>
      <w:r>
        <w:separator/>
      </w:r>
    </w:p>
  </w:endnote>
  <w:endnote w:type="continuationSeparator" w:id="0">
    <w:p w:rsidR="007F2FF3" w:rsidRDefault="007F2FF3" w:rsidP="00A0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ni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F3" w:rsidRDefault="007F2FF3" w:rsidP="00A00DF1">
      <w:pPr>
        <w:spacing w:after="0" w:line="240" w:lineRule="auto"/>
      </w:pPr>
      <w:r>
        <w:separator/>
      </w:r>
    </w:p>
  </w:footnote>
  <w:footnote w:type="continuationSeparator" w:id="0">
    <w:p w:rsidR="007F2FF3" w:rsidRDefault="007F2FF3" w:rsidP="00A00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230C7"/>
    <w:multiLevelType w:val="singleLevel"/>
    <w:tmpl w:val="EBE65EDE"/>
    <w:lvl w:ilvl="0">
      <w:start w:val="1"/>
      <w:numFmt w:val="bullet"/>
      <w:pStyle w:val="TextodoResumoEsquemti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6E"/>
    <w:rsid w:val="00042EC7"/>
    <w:rsid w:val="000B180B"/>
    <w:rsid w:val="0011163A"/>
    <w:rsid w:val="001C3E75"/>
    <w:rsid w:val="00242031"/>
    <w:rsid w:val="00322F88"/>
    <w:rsid w:val="00414A76"/>
    <w:rsid w:val="005672E0"/>
    <w:rsid w:val="005A1BFD"/>
    <w:rsid w:val="005F1560"/>
    <w:rsid w:val="006B3919"/>
    <w:rsid w:val="006E4BF6"/>
    <w:rsid w:val="00767AA9"/>
    <w:rsid w:val="007F2FF3"/>
    <w:rsid w:val="00820187"/>
    <w:rsid w:val="00843944"/>
    <w:rsid w:val="00952958"/>
    <w:rsid w:val="009840A4"/>
    <w:rsid w:val="00A00DF1"/>
    <w:rsid w:val="00AA271F"/>
    <w:rsid w:val="00B132DF"/>
    <w:rsid w:val="00B549B9"/>
    <w:rsid w:val="00E257A7"/>
    <w:rsid w:val="00E61B7B"/>
    <w:rsid w:val="00E73BFC"/>
    <w:rsid w:val="00EE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87913-209F-4ECE-A779-8708A6C1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6E"/>
    <w:pPr>
      <w:spacing w:after="120" w:line="360" w:lineRule="auto"/>
      <w:ind w:firstLine="340"/>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a"/>
    <w:rsid w:val="00A00DF1"/>
    <w:pPr>
      <w:widowControl w:val="0"/>
      <w:tabs>
        <w:tab w:val="left" w:pos="448"/>
      </w:tabs>
      <w:spacing w:before="213" w:after="234" w:line="250" w:lineRule="atLeast"/>
      <w:ind w:left="448" w:hanging="448"/>
      <w:jc w:val="both"/>
    </w:pPr>
    <w:rPr>
      <w:rFonts w:ascii="Times" w:hAnsi="Times"/>
      <w:snapToGrid w:val="0"/>
      <w:sz w:val="21"/>
    </w:rPr>
  </w:style>
  <w:style w:type="paragraph" w:customStyle="1" w:styleId="NmerodoCaptulo">
    <w:name w:val="Número do Capítulo"/>
    <w:basedOn w:val="Normal"/>
    <w:pPr>
      <w:widowControl w:val="0"/>
      <w:spacing w:before="1440" w:after="240"/>
      <w:jc w:val="right"/>
    </w:pPr>
    <w:rPr>
      <w:rFonts w:ascii="Tms Rmn" w:hAnsi="Tms Rmn"/>
      <w:b/>
      <w:color w:val="000080"/>
      <w:sz w:val="28"/>
    </w:rPr>
  </w:style>
  <w:style w:type="paragraph" w:customStyle="1" w:styleId="TtulodoCaptulo">
    <w:name w:val="Título do Capítulo"/>
    <w:basedOn w:val="Normal"/>
    <w:pPr>
      <w:widowControl w:val="0"/>
      <w:spacing w:after="360"/>
      <w:jc w:val="right"/>
    </w:pPr>
    <w:rPr>
      <w:rFonts w:ascii="Tms Rmn" w:hAnsi="Tms Rmn"/>
      <w:b/>
      <w:caps/>
      <w:color w:val="000080"/>
      <w:sz w:val="28"/>
    </w:rPr>
  </w:style>
  <w:style w:type="paragraph" w:customStyle="1" w:styleId="SumriodoCaptulo">
    <w:name w:val="Sumário do Capítulo"/>
    <w:basedOn w:val="Normal"/>
    <w:pPr>
      <w:widowControl w:val="0"/>
      <w:spacing w:after="720"/>
      <w:ind w:left="1361"/>
    </w:pPr>
    <w:rPr>
      <w:rFonts w:ascii="Tms Rmn" w:hAnsi="Tms Rmn"/>
    </w:rPr>
  </w:style>
  <w:style w:type="paragraph" w:customStyle="1" w:styleId="SubTtulodoCaptulo">
    <w:name w:val="Sub Título do Capítulo"/>
    <w:basedOn w:val="Normal"/>
    <w:pPr>
      <w:widowControl w:val="0"/>
      <w:ind w:left="340" w:hanging="340"/>
    </w:pPr>
    <w:rPr>
      <w:rFonts w:ascii="Tms Rmn" w:hAnsi="Tms Rmn"/>
      <w:b/>
      <w:sz w:val="24"/>
    </w:rPr>
  </w:style>
  <w:style w:type="paragraph" w:customStyle="1" w:styleId="TextodoCaptulo">
    <w:name w:val="Texto do Capítulo"/>
    <w:basedOn w:val="Normal"/>
    <w:pPr>
      <w:widowControl w:val="0"/>
    </w:pPr>
    <w:rPr>
      <w:rFonts w:ascii="Tms Rmn" w:hAnsi="Tms Rmn"/>
      <w:sz w:val="24"/>
    </w:rPr>
  </w:style>
  <w:style w:type="paragraph" w:customStyle="1" w:styleId="NotadeRodap">
    <w:name w:val="Nota de Rodapé"/>
    <w:basedOn w:val="Normal"/>
    <w:pPr>
      <w:widowControl w:val="0"/>
      <w:spacing w:after="60"/>
    </w:pPr>
    <w:rPr>
      <w:rFonts w:ascii="Tms Rmn" w:hAnsi="Tms Rmn"/>
    </w:rPr>
  </w:style>
  <w:style w:type="paragraph" w:customStyle="1" w:styleId="TtuloResumoEsquemtico">
    <w:name w:val="Título Resumo Esquemático"/>
    <w:basedOn w:val="Normal"/>
    <w:pPr>
      <w:widowControl w:val="0"/>
    </w:pPr>
    <w:rPr>
      <w:rFonts w:ascii="Tms Rmn" w:hAnsi="Tms Rmn"/>
      <w:b/>
      <w:sz w:val="24"/>
    </w:rPr>
  </w:style>
  <w:style w:type="paragraph" w:customStyle="1" w:styleId="TextodoResumoEsquemtico">
    <w:name w:val="Texto do Resumo Esquemático"/>
    <w:basedOn w:val="Normal"/>
    <w:pPr>
      <w:widowControl w:val="0"/>
      <w:numPr>
        <w:numId w:val="1"/>
      </w:numPr>
    </w:pPr>
    <w:rPr>
      <w:rFonts w:ascii="Tms Rmn" w:hAnsi="Tms Rmn"/>
      <w:sz w:val="24"/>
    </w:rPr>
  </w:style>
  <w:style w:type="paragraph" w:customStyle="1" w:styleId="SubTtulodoResumoEsquemtico">
    <w:name w:val="Sub Título do Resumo Esquemático"/>
    <w:basedOn w:val="Normal"/>
    <w:pPr>
      <w:widowControl w:val="0"/>
    </w:pPr>
    <w:rPr>
      <w:rFonts w:ascii="Tms Rmn" w:hAnsi="Tms Rmn"/>
      <w:i/>
      <w:sz w:val="24"/>
    </w:rPr>
  </w:style>
  <w:style w:type="paragraph" w:customStyle="1" w:styleId="TextodasRefernciasDoutrinrias">
    <w:name w:val="Texto das Referências Doutrinárias"/>
    <w:basedOn w:val="Normal"/>
    <w:pPr>
      <w:widowControl w:val="0"/>
      <w:pBdr>
        <w:left w:val="single" w:sz="24" w:space="6" w:color="000080"/>
        <w:right w:val="single" w:sz="24" w:space="6" w:color="000080"/>
      </w:pBdr>
    </w:pPr>
    <w:rPr>
      <w:rFonts w:ascii="Tms Rmn" w:hAnsi="Tms Rmn"/>
      <w:sz w:val="24"/>
    </w:rPr>
  </w:style>
  <w:style w:type="paragraph" w:customStyle="1" w:styleId="SubSubTtulodoCaptulo">
    <w:name w:val="Sub Sub Título do Capítulo"/>
    <w:basedOn w:val="Normal"/>
    <w:pPr>
      <w:widowControl w:val="0"/>
    </w:pPr>
    <w:rPr>
      <w:rFonts w:ascii="Tms Rmn" w:hAnsi="Tms Rmn"/>
      <w:i/>
      <w:sz w:val="24"/>
    </w:rPr>
  </w:style>
  <w:style w:type="paragraph" w:customStyle="1" w:styleId="TextodaBibliografia">
    <w:name w:val="Texto da Bibliografia"/>
    <w:basedOn w:val="Normal"/>
    <w:pPr>
      <w:widowControl w:val="0"/>
      <w:ind w:left="340" w:hanging="340"/>
    </w:pPr>
    <w:rPr>
      <w:rFonts w:ascii="Tms Rmn" w:hAnsi="Tms Rmn"/>
      <w:sz w:val="24"/>
    </w:rPr>
  </w:style>
  <w:style w:type="paragraph" w:customStyle="1" w:styleId="texto">
    <w:name w:val="texto"/>
    <w:rsid w:val="00A00DF1"/>
    <w:pPr>
      <w:widowControl w:val="0"/>
      <w:tabs>
        <w:tab w:val="left" w:pos="1021"/>
      </w:tabs>
      <w:spacing w:after="128" w:line="250" w:lineRule="atLeast"/>
      <w:ind w:firstLine="448"/>
      <w:jc w:val="both"/>
    </w:pPr>
    <w:rPr>
      <w:rFonts w:ascii="Times" w:hAnsi="Times"/>
      <w:snapToGrid w:val="0"/>
      <w:color w:val="000000"/>
      <w:sz w:val="21"/>
    </w:rPr>
  </w:style>
  <w:style w:type="paragraph" w:styleId="Textodenotaderodap">
    <w:name w:val="footnote text"/>
    <w:basedOn w:val="Normal"/>
    <w:link w:val="TextodenotaderodapChar"/>
    <w:rsid w:val="00A00DF1"/>
    <w:pPr>
      <w:spacing w:after="0" w:line="240" w:lineRule="auto"/>
      <w:ind w:firstLine="0"/>
      <w:jc w:val="left"/>
    </w:pPr>
  </w:style>
  <w:style w:type="character" w:customStyle="1" w:styleId="TextodenotaderodapChar">
    <w:name w:val="Texto de nota de rodapé Char"/>
    <w:basedOn w:val="Fontepargpadro"/>
    <w:link w:val="Textodenotaderodap"/>
    <w:rsid w:val="00A00DF1"/>
  </w:style>
  <w:style w:type="character" w:styleId="Refdenotaderodap">
    <w:name w:val="footnote reference"/>
    <w:basedOn w:val="Fontepargpadro"/>
    <w:rsid w:val="00A00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5319">
      <w:bodyDiv w:val="1"/>
      <w:marLeft w:val="0"/>
      <w:marRight w:val="0"/>
      <w:marTop w:val="0"/>
      <w:marBottom w:val="0"/>
      <w:divBdr>
        <w:top w:val="none" w:sz="0" w:space="0" w:color="auto"/>
        <w:left w:val="none" w:sz="0" w:space="0" w:color="auto"/>
        <w:bottom w:val="none" w:sz="0" w:space="0" w:color="auto"/>
        <w:right w:val="none" w:sz="0" w:space="0" w:color="auto"/>
      </w:divBdr>
      <w:divsChild>
        <w:div w:id="1942031325">
          <w:marLeft w:val="0"/>
          <w:marRight w:val="0"/>
          <w:marTop w:val="0"/>
          <w:marBottom w:val="0"/>
          <w:divBdr>
            <w:top w:val="none" w:sz="0" w:space="0" w:color="auto"/>
            <w:left w:val="none" w:sz="0" w:space="0" w:color="auto"/>
            <w:bottom w:val="none" w:sz="0" w:space="0" w:color="auto"/>
            <w:right w:val="none" w:sz="0" w:space="0" w:color="auto"/>
          </w:divBdr>
          <w:divsChild>
            <w:div w:id="1759208171">
              <w:marLeft w:val="0"/>
              <w:marRight w:val="0"/>
              <w:marTop w:val="0"/>
              <w:marBottom w:val="0"/>
              <w:divBdr>
                <w:top w:val="none" w:sz="0" w:space="0" w:color="auto"/>
                <w:left w:val="none" w:sz="0" w:space="0" w:color="auto"/>
                <w:bottom w:val="none" w:sz="0" w:space="0" w:color="auto"/>
                <w:right w:val="none" w:sz="0" w:space="0" w:color="auto"/>
              </w:divBdr>
              <w:divsChild>
                <w:div w:id="937326042">
                  <w:marLeft w:val="45"/>
                  <w:marRight w:val="0"/>
                  <w:marTop w:val="0"/>
                  <w:marBottom w:val="0"/>
                  <w:divBdr>
                    <w:top w:val="none" w:sz="0" w:space="0" w:color="auto"/>
                    <w:left w:val="none" w:sz="0" w:space="0" w:color="auto"/>
                    <w:bottom w:val="none" w:sz="0" w:space="0" w:color="auto"/>
                    <w:right w:val="none" w:sz="0" w:space="0" w:color="auto"/>
                  </w:divBdr>
                  <w:divsChild>
                    <w:div w:id="956064726">
                      <w:marLeft w:val="0"/>
                      <w:marRight w:val="0"/>
                      <w:marTop w:val="0"/>
                      <w:marBottom w:val="0"/>
                      <w:divBdr>
                        <w:top w:val="none" w:sz="0" w:space="0" w:color="auto"/>
                        <w:left w:val="none" w:sz="0" w:space="0" w:color="auto"/>
                        <w:bottom w:val="none" w:sz="0" w:space="0" w:color="auto"/>
                        <w:right w:val="none" w:sz="0" w:space="0" w:color="auto"/>
                      </w:divBdr>
                      <w:divsChild>
                        <w:div w:id="1249383677">
                          <w:marLeft w:val="0"/>
                          <w:marRight w:val="0"/>
                          <w:marTop w:val="0"/>
                          <w:marBottom w:val="0"/>
                          <w:divBdr>
                            <w:top w:val="none" w:sz="0" w:space="0" w:color="auto"/>
                            <w:left w:val="none" w:sz="0" w:space="0" w:color="auto"/>
                            <w:bottom w:val="none" w:sz="0" w:space="0" w:color="auto"/>
                            <w:right w:val="none" w:sz="0" w:space="0" w:color="auto"/>
                          </w:divBdr>
                          <w:divsChild>
                            <w:div w:id="2113208482">
                              <w:marLeft w:val="0"/>
                              <w:marRight w:val="0"/>
                              <w:marTop w:val="0"/>
                              <w:marBottom w:val="0"/>
                              <w:divBdr>
                                <w:top w:val="none" w:sz="0" w:space="0" w:color="auto"/>
                                <w:left w:val="none" w:sz="0" w:space="0" w:color="auto"/>
                                <w:bottom w:val="none" w:sz="0" w:space="0" w:color="auto"/>
                                <w:right w:val="none" w:sz="0" w:space="0" w:color="auto"/>
                              </w:divBdr>
                              <w:divsChild>
                                <w:div w:id="1773629107">
                                  <w:marLeft w:val="0"/>
                                  <w:marRight w:val="0"/>
                                  <w:marTop w:val="0"/>
                                  <w:marBottom w:val="0"/>
                                  <w:divBdr>
                                    <w:top w:val="none" w:sz="0" w:space="0" w:color="auto"/>
                                    <w:left w:val="none" w:sz="0" w:space="0" w:color="auto"/>
                                    <w:bottom w:val="none" w:sz="0" w:space="0" w:color="auto"/>
                                    <w:right w:val="none" w:sz="0" w:space="0" w:color="auto"/>
                                  </w:divBdr>
                                  <w:divsChild>
                                    <w:div w:id="267932941">
                                      <w:marLeft w:val="0"/>
                                      <w:marRight w:val="0"/>
                                      <w:marTop w:val="0"/>
                                      <w:marBottom w:val="0"/>
                                      <w:divBdr>
                                        <w:top w:val="none" w:sz="0" w:space="0" w:color="auto"/>
                                        <w:left w:val="none" w:sz="0" w:space="0" w:color="auto"/>
                                        <w:bottom w:val="none" w:sz="0" w:space="0" w:color="auto"/>
                                        <w:right w:val="none" w:sz="0" w:space="0" w:color="auto"/>
                                      </w:divBdr>
                                      <w:divsChild>
                                        <w:div w:id="415058059">
                                          <w:marLeft w:val="0"/>
                                          <w:marRight w:val="0"/>
                                          <w:marTop w:val="0"/>
                                          <w:marBottom w:val="0"/>
                                          <w:divBdr>
                                            <w:top w:val="none" w:sz="0" w:space="0" w:color="auto"/>
                                            <w:left w:val="none" w:sz="0" w:space="0" w:color="auto"/>
                                            <w:bottom w:val="none" w:sz="0" w:space="0" w:color="auto"/>
                                            <w:right w:val="none" w:sz="0" w:space="0" w:color="auto"/>
                                          </w:divBdr>
                                          <w:divsChild>
                                            <w:div w:id="435255932">
                                              <w:marLeft w:val="315"/>
                                              <w:marRight w:val="120"/>
                                              <w:marTop w:val="0"/>
                                              <w:marBottom w:val="210"/>
                                              <w:divBdr>
                                                <w:top w:val="none" w:sz="0" w:space="0" w:color="auto"/>
                                                <w:left w:val="none" w:sz="0" w:space="0" w:color="auto"/>
                                                <w:bottom w:val="single" w:sz="18" w:space="0" w:color="D8E7F7"/>
                                                <w:right w:val="none" w:sz="0" w:space="0" w:color="auto"/>
                                              </w:divBdr>
                                              <w:divsChild>
                                                <w:div w:id="48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elda\Desktop\capitu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capitulo</Template>
  <TotalTime>10</TotalTime>
  <Pages>8</Pages>
  <Words>2635</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Editora Revista dos Tribunais</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Giselda</dc:creator>
  <cp:keywords/>
  <cp:lastModifiedBy>Romualdo Baptista dos Santos</cp:lastModifiedBy>
  <cp:revision>3</cp:revision>
  <dcterms:created xsi:type="dcterms:W3CDTF">2020-08-17T20:26:00Z</dcterms:created>
  <dcterms:modified xsi:type="dcterms:W3CDTF">2020-08-17T22:28:00Z</dcterms:modified>
</cp:coreProperties>
</file>