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89C6" w14:textId="77777777" w:rsidR="00EF0BAD" w:rsidRDefault="006265C9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Faculdade de Direito da Universidade de São Paulo</w:t>
      </w:r>
    </w:p>
    <w:p w14:paraId="15BD3CE9" w14:textId="77777777" w:rsidR="00EF0BAD" w:rsidRDefault="00EF0BAD">
      <w:pPr>
        <w:ind w:left="1" w:hanging="3"/>
        <w:jc w:val="center"/>
        <w:rPr>
          <w:sz w:val="28"/>
          <w:szCs w:val="28"/>
        </w:rPr>
      </w:pPr>
    </w:p>
    <w:p w14:paraId="17D6712B" w14:textId="77777777" w:rsidR="00EF0BAD" w:rsidRDefault="006265C9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Processo Arbitral (DPC 0442)</w:t>
      </w:r>
    </w:p>
    <w:p w14:paraId="18C02CC8" w14:textId="77777777" w:rsidR="00EF0BAD" w:rsidRDefault="00EF0BAD">
      <w:pPr>
        <w:ind w:left="0" w:hanging="2"/>
        <w:jc w:val="center"/>
        <w:rPr>
          <w:sz w:val="24"/>
          <w:szCs w:val="24"/>
        </w:rPr>
      </w:pPr>
    </w:p>
    <w:p w14:paraId="1F82A3F0" w14:textId="77777777" w:rsidR="00EF0BAD" w:rsidRDefault="006265C9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Período Diurno</w:t>
      </w:r>
    </w:p>
    <w:p w14:paraId="71D7F943" w14:textId="77777777" w:rsidR="00EF0BAD" w:rsidRDefault="006265C9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Quintas-feiras, 7h25 - 9h</w:t>
      </w:r>
    </w:p>
    <w:p w14:paraId="05827FB2" w14:textId="77777777" w:rsidR="00EF0BAD" w:rsidRDefault="00EF0BAD">
      <w:pPr>
        <w:ind w:left="0" w:hanging="2"/>
        <w:jc w:val="center"/>
        <w:rPr>
          <w:sz w:val="24"/>
          <w:szCs w:val="24"/>
        </w:rPr>
      </w:pPr>
    </w:p>
    <w:p w14:paraId="7A6988FB" w14:textId="77777777" w:rsidR="00EF0BAD" w:rsidRDefault="006265C9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Professor Carlos Alberto Carmona</w:t>
      </w:r>
    </w:p>
    <w:p w14:paraId="3DB903AA" w14:textId="77777777" w:rsidR="00EF0BAD" w:rsidRDefault="00EF0BAD">
      <w:pPr>
        <w:ind w:left="0" w:hanging="2"/>
        <w:jc w:val="center"/>
        <w:rPr>
          <w:sz w:val="24"/>
          <w:szCs w:val="24"/>
        </w:rPr>
      </w:pPr>
    </w:p>
    <w:p w14:paraId="7DCE5B9C" w14:textId="77777777" w:rsidR="00EF0BAD" w:rsidRDefault="006265C9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Professores assistentes Ricardo de Carvalho Aprigliano e Carlos Eduardo </w:t>
      </w:r>
      <w:proofErr w:type="spellStart"/>
      <w:r>
        <w:rPr>
          <w:sz w:val="24"/>
          <w:szCs w:val="24"/>
        </w:rPr>
        <w:t>Stefen</w:t>
      </w:r>
      <w:proofErr w:type="spellEnd"/>
      <w:r>
        <w:rPr>
          <w:sz w:val="24"/>
          <w:szCs w:val="24"/>
        </w:rPr>
        <w:t xml:space="preserve"> Elias</w:t>
      </w:r>
    </w:p>
    <w:p w14:paraId="709D5B1E" w14:textId="77777777" w:rsidR="00EF0BAD" w:rsidRDefault="00EF0BAD">
      <w:pPr>
        <w:ind w:left="0" w:hanging="2"/>
      </w:pPr>
    </w:p>
    <w:p w14:paraId="5FBD7A05" w14:textId="77777777" w:rsidR="00EF0BAD" w:rsidRDefault="00EF0BAD">
      <w:pPr>
        <w:ind w:left="0" w:hanging="2"/>
      </w:pPr>
    </w:p>
    <w:p w14:paraId="02FEEFDB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AGOSTO</w:t>
      </w:r>
    </w:p>
    <w:p w14:paraId="09445677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20/8</w:t>
      </w:r>
    </w:p>
    <w:p w14:paraId="1DB5C5A9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16CB83A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Princípios gerais do processo aplicados à arbitragem.</w:t>
      </w:r>
    </w:p>
    <w:p w14:paraId="22E483D8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3A2AD84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02E775B3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27/8</w:t>
      </w:r>
    </w:p>
    <w:p w14:paraId="049B1837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CFCB4B3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Arbitragem e conexão. Reunião e consolidação de procedimentos arbitrais paralelos</w:t>
      </w:r>
    </w:p>
    <w:p w14:paraId="15AD02C6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95022A0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SETEMBRO</w:t>
      </w:r>
    </w:p>
    <w:p w14:paraId="024D0C8D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0E72814" w14:textId="4679A5C9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03/9 </w:t>
      </w:r>
    </w:p>
    <w:p w14:paraId="1EF98394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Poderes instrutórios dos árbitros. </w:t>
      </w:r>
    </w:p>
    <w:p w14:paraId="653975FE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8707813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3DBB52D6" w14:textId="43D9E391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10/9</w:t>
      </w:r>
    </w:p>
    <w:p w14:paraId="56659EBA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Aspectos práticos do processo arbitral: organização das audiências, ordem de produção das provas, meios probatórios, oralidade acentuada, preparo dos advogados e dos árbitros. </w:t>
      </w:r>
      <w:r>
        <w:rPr>
          <w:i/>
          <w:color w:val="000000"/>
          <w:sz w:val="28"/>
          <w:szCs w:val="28"/>
        </w:rPr>
        <w:t xml:space="preserve">Expert </w:t>
      </w:r>
      <w:proofErr w:type="spellStart"/>
      <w:r>
        <w:rPr>
          <w:i/>
          <w:color w:val="000000"/>
          <w:sz w:val="28"/>
          <w:szCs w:val="28"/>
        </w:rPr>
        <w:t>witnesses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hot </w:t>
      </w:r>
      <w:proofErr w:type="spellStart"/>
      <w:r>
        <w:rPr>
          <w:i/>
          <w:color w:val="000000"/>
          <w:sz w:val="28"/>
          <w:szCs w:val="28"/>
        </w:rPr>
        <w:t>tubbing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written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statements</w:t>
      </w:r>
      <w:proofErr w:type="spellEnd"/>
      <w:r>
        <w:rPr>
          <w:color w:val="000000"/>
          <w:sz w:val="28"/>
          <w:szCs w:val="28"/>
        </w:rPr>
        <w:t xml:space="preserve"> e sistema </w:t>
      </w:r>
      <w:proofErr w:type="spellStart"/>
      <w:r>
        <w:rPr>
          <w:i/>
          <w:color w:val="000000"/>
          <w:sz w:val="28"/>
          <w:szCs w:val="28"/>
        </w:rPr>
        <w:t>chess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clock</w:t>
      </w:r>
      <w:proofErr w:type="spellEnd"/>
      <w:r>
        <w:rPr>
          <w:color w:val="000000"/>
          <w:sz w:val="28"/>
          <w:szCs w:val="28"/>
        </w:rPr>
        <w:t>.</w:t>
      </w:r>
    </w:p>
    <w:p w14:paraId="13872E40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405F736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17/9</w:t>
      </w:r>
    </w:p>
    <w:p w14:paraId="33E9A1AB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4EBE8CD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Continuação: Aspectos práticos do processo arbitral: organização das audiências, ordem de produção das provas, meios probatórios, oralidade acentuada, preparo dos advogados e dos árbitros. </w:t>
      </w:r>
      <w:r>
        <w:rPr>
          <w:i/>
          <w:color w:val="000000"/>
          <w:sz w:val="28"/>
          <w:szCs w:val="28"/>
        </w:rPr>
        <w:t xml:space="preserve">Expert </w:t>
      </w:r>
      <w:proofErr w:type="spellStart"/>
      <w:r>
        <w:rPr>
          <w:i/>
          <w:color w:val="000000"/>
          <w:sz w:val="28"/>
          <w:szCs w:val="28"/>
        </w:rPr>
        <w:t>witnesses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hot </w:t>
      </w:r>
      <w:proofErr w:type="spellStart"/>
      <w:r>
        <w:rPr>
          <w:i/>
          <w:color w:val="000000"/>
          <w:sz w:val="28"/>
          <w:szCs w:val="28"/>
        </w:rPr>
        <w:t>tubbing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written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statements</w:t>
      </w:r>
      <w:proofErr w:type="spellEnd"/>
      <w:r>
        <w:rPr>
          <w:color w:val="000000"/>
          <w:sz w:val="28"/>
          <w:szCs w:val="28"/>
        </w:rPr>
        <w:t xml:space="preserve"> e sistema </w:t>
      </w:r>
      <w:proofErr w:type="spellStart"/>
      <w:r>
        <w:rPr>
          <w:i/>
          <w:color w:val="000000"/>
          <w:sz w:val="28"/>
          <w:szCs w:val="28"/>
        </w:rPr>
        <w:t>chess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</w:t>
      </w:r>
      <w:r>
        <w:rPr>
          <w:i/>
          <w:color w:val="000000"/>
          <w:sz w:val="28"/>
          <w:szCs w:val="28"/>
        </w:rPr>
        <w:t>lock</w:t>
      </w:r>
      <w:proofErr w:type="spellEnd"/>
      <w:r>
        <w:rPr>
          <w:color w:val="000000"/>
          <w:sz w:val="28"/>
          <w:szCs w:val="28"/>
        </w:rPr>
        <w:t>.</w:t>
      </w:r>
    </w:p>
    <w:p w14:paraId="094EC57C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DFAE4B0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24/9</w:t>
      </w:r>
    </w:p>
    <w:p w14:paraId="0D240816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Arbitragem societária. Arbitragem trabalhista.</w:t>
      </w:r>
    </w:p>
    <w:p w14:paraId="3A56E6CB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2E0D96E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7022913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OUTUBRO</w:t>
      </w:r>
    </w:p>
    <w:p w14:paraId="28EEAF1F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01: </w:t>
      </w:r>
    </w:p>
    <w:p w14:paraId="67C0FD6B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1C6E4CF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Arbitragem e Administração Pública. Arbitragem na Recuperação judicial e no âmbito do processo falimentar</w:t>
      </w:r>
    </w:p>
    <w:p w14:paraId="7644CB76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83E6E38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</w:p>
    <w:p w14:paraId="1E173A08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C19F6A8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Custas na arbitragem. Honorários advocatícios. </w:t>
      </w:r>
      <w:r>
        <w:rPr>
          <w:i/>
          <w:color w:val="000000"/>
          <w:sz w:val="28"/>
          <w:szCs w:val="28"/>
        </w:rPr>
        <w:t xml:space="preserve">Security for </w:t>
      </w:r>
      <w:proofErr w:type="spellStart"/>
      <w:r>
        <w:rPr>
          <w:i/>
          <w:color w:val="000000"/>
          <w:sz w:val="28"/>
          <w:szCs w:val="28"/>
        </w:rPr>
        <w:t>costs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i/>
          <w:color w:val="000000"/>
          <w:sz w:val="28"/>
          <w:szCs w:val="28"/>
        </w:rPr>
        <w:t>Third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party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funding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B187C40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Problemas decorrentes da publicidade (ou do sigilo) da arbitragem.</w:t>
      </w:r>
    </w:p>
    <w:p w14:paraId="45636869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1A950B9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15:</w:t>
      </w:r>
    </w:p>
    <w:p w14:paraId="278A951C" w14:textId="77777777" w:rsidR="00EF0BAD" w:rsidRDefault="00EF0BAD">
      <w:pPr>
        <w:spacing w:after="120"/>
        <w:ind w:left="1" w:hanging="3"/>
        <w:jc w:val="both"/>
        <w:rPr>
          <w:sz w:val="28"/>
          <w:szCs w:val="28"/>
        </w:rPr>
      </w:pPr>
    </w:p>
    <w:p w14:paraId="0A872D17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Prova Bimestral</w:t>
      </w:r>
    </w:p>
    <w:p w14:paraId="7ED97DA1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8B5851E" w14:textId="77777777" w:rsidR="00EF0BAD" w:rsidRDefault="00EF0BAD">
      <w:pPr>
        <w:ind w:left="0" w:hanging="2"/>
      </w:pPr>
    </w:p>
    <w:p w14:paraId="66C0C502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22: </w:t>
      </w:r>
    </w:p>
    <w:p w14:paraId="0C52DA56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Poder Judiciário e arbitragem: cartas arbitrais, medidas de urgência, instituição forçada da arbitragem, medidas </w:t>
      </w:r>
      <w:proofErr w:type="spellStart"/>
      <w:r>
        <w:rPr>
          <w:color w:val="000000"/>
          <w:sz w:val="28"/>
          <w:szCs w:val="28"/>
        </w:rPr>
        <w:t>anti-arbitragem</w:t>
      </w:r>
      <w:proofErr w:type="spellEnd"/>
      <w:r>
        <w:rPr>
          <w:color w:val="000000"/>
          <w:sz w:val="28"/>
          <w:szCs w:val="28"/>
        </w:rPr>
        <w:t>.</w:t>
      </w:r>
    </w:p>
    <w:p w14:paraId="618ECB57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E1BA7FD" w14:textId="77777777" w:rsidR="00EF0BAD" w:rsidRDefault="00EF0BAD">
      <w:pPr>
        <w:ind w:left="0" w:hanging="2"/>
      </w:pPr>
    </w:p>
    <w:p w14:paraId="46087784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29: </w:t>
      </w:r>
    </w:p>
    <w:p w14:paraId="4DDDDE4A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Ação anulatória, cumprimento de sentença arbitral.</w:t>
      </w:r>
    </w:p>
    <w:p w14:paraId="53A5A6D5" w14:textId="77777777" w:rsidR="00EF0BAD" w:rsidRDefault="00EF0BAD">
      <w:pPr>
        <w:ind w:left="0" w:hanging="2"/>
      </w:pPr>
    </w:p>
    <w:p w14:paraId="14FE0D14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148679E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NOVEMBRO</w:t>
      </w:r>
    </w:p>
    <w:p w14:paraId="01BC10D0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6DDAB25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05: </w:t>
      </w:r>
    </w:p>
    <w:p w14:paraId="20FB6B09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Homologação de sentença arbitral estrangeira (procedimento, incidentes e estudo comparado de sistemas estrangeiros). </w:t>
      </w:r>
    </w:p>
    <w:p w14:paraId="6845F269" w14:textId="77777777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Homologação de sentença estrangeira anulada na sede.</w:t>
      </w:r>
    </w:p>
    <w:p w14:paraId="5E71A48C" w14:textId="18FBF976" w:rsidR="00EF0BAD" w:rsidRDefault="006265C9" w:rsidP="002142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Conflito de competência no STJ.</w:t>
      </w:r>
    </w:p>
    <w:p w14:paraId="48C2791C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7ACF060" w14:textId="159DD7CC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12: </w:t>
      </w:r>
    </w:p>
    <w:p w14:paraId="708E7E78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2596BB81" w14:textId="77777777" w:rsidR="00EF0BAD" w:rsidRDefault="006265C9" w:rsidP="009449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Técnica da sentença arbitral. Sentença arbitral parcial. Sentença sobre jurisdição.</w:t>
      </w:r>
    </w:p>
    <w:p w14:paraId="22A40BB9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A62731B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19: </w:t>
      </w:r>
    </w:p>
    <w:p w14:paraId="7DE67D70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2F6BA2E" w14:textId="77777777" w:rsidR="006265C9" w:rsidRDefault="006265C9" w:rsidP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Arbitragem expedita. </w:t>
      </w:r>
      <w:r>
        <w:rPr>
          <w:color w:val="000000"/>
          <w:sz w:val="28"/>
          <w:szCs w:val="28"/>
        </w:rPr>
        <w:t xml:space="preserve">Arbitragem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line</w:t>
      </w:r>
      <w:proofErr w:type="spellEnd"/>
      <w:r>
        <w:rPr>
          <w:color w:val="000000"/>
          <w:sz w:val="28"/>
          <w:szCs w:val="28"/>
        </w:rPr>
        <w:t>.</w:t>
      </w:r>
    </w:p>
    <w:p w14:paraId="370C2E0B" w14:textId="77777777" w:rsidR="0094491F" w:rsidRDefault="0094491F" w:rsidP="009449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Arbitragem Coletiva</w:t>
      </w:r>
    </w:p>
    <w:p w14:paraId="7994EB19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610C09C1" w14:textId="77777777" w:rsidR="00EF0BAD" w:rsidRDefault="006265C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26: </w:t>
      </w:r>
    </w:p>
    <w:p w14:paraId="25DF0BB4" w14:textId="77777777" w:rsidR="00EF0BAD" w:rsidRDefault="00EF0B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050FAC8" w14:textId="77777777" w:rsidR="0094491F" w:rsidRDefault="0094491F" w:rsidP="009449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 futuro da arbitragem. Utilização de inteligência artificial no processo arbitral.</w:t>
      </w:r>
    </w:p>
    <w:p w14:paraId="7BD66D5B" w14:textId="77777777" w:rsidR="00EF0BAD" w:rsidRDefault="00EF0BAD">
      <w:pPr>
        <w:ind w:left="0" w:hanging="2"/>
      </w:pPr>
    </w:p>
    <w:sectPr w:rsidR="00EF0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701" w:bottom="1418" w:left="1701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141E6" w14:textId="77777777" w:rsidR="00000000" w:rsidRDefault="006265C9">
      <w:pPr>
        <w:spacing w:line="240" w:lineRule="auto"/>
        <w:ind w:left="0" w:hanging="2"/>
      </w:pPr>
      <w:r>
        <w:separator/>
      </w:r>
    </w:p>
  </w:endnote>
  <w:endnote w:type="continuationSeparator" w:id="0">
    <w:p w14:paraId="6AD6D50A" w14:textId="77777777" w:rsidR="00000000" w:rsidRDefault="006265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A937" w14:textId="77777777" w:rsidR="00EF0BAD" w:rsidRDefault="00EF0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8E00" w14:textId="77777777" w:rsidR="00EF0BAD" w:rsidRDefault="00626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0B8FB60" wp14:editId="139066C6">
              <wp:simplePos x="0" y="0"/>
              <wp:positionH relativeFrom="column">
                <wp:posOffset>2654300</wp:posOffset>
              </wp:positionH>
              <wp:positionV relativeFrom="paragraph">
                <wp:posOffset>0</wp:posOffset>
              </wp:positionV>
              <wp:extent cx="72390" cy="16002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568" y="3704753"/>
                        <a:ext cx="62865" cy="150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C365B1" w14:textId="77777777" w:rsidR="00EF0BAD" w:rsidRDefault="006265C9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1</w:t>
                          </w:r>
                        </w:p>
                        <w:p w14:paraId="5420EDC6" w14:textId="77777777" w:rsidR="00EF0BAD" w:rsidRDefault="00EF0BA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2654300</wp:posOffset>
              </wp:positionH>
              <wp:positionV relativeFrom="paragraph">
                <wp:posOffset>0</wp:posOffset>
              </wp:positionV>
              <wp:extent cx="72390" cy="16002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" cy="1600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CDCA" w14:textId="77777777" w:rsidR="00EF0BAD" w:rsidRDefault="00EF0B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B1CF" w14:textId="77777777" w:rsidR="00000000" w:rsidRDefault="006265C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D16402" w14:textId="77777777" w:rsidR="00000000" w:rsidRDefault="006265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8BB" w14:textId="77777777" w:rsidR="00EF0BAD" w:rsidRDefault="00EF0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FF6D" w14:textId="77777777" w:rsidR="00EF0BAD" w:rsidRDefault="00EF0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6A39" w14:textId="77777777" w:rsidR="00EF0BAD" w:rsidRDefault="00EF0B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6F55"/>
    <w:multiLevelType w:val="multilevel"/>
    <w:tmpl w:val="CF9C3254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AD"/>
    <w:rsid w:val="00214273"/>
    <w:rsid w:val="006265C9"/>
    <w:rsid w:val="0094491F"/>
    <w:rsid w:val="00EF0BAD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B2EB"/>
  <w15:docId w15:val="{32BC36D8-2ADF-44A5-B05A-1A903371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framePr w:w="1525" w:hSpace="141" w:wrap="auto" w:vAnchor="text" w:hAnchor="text" w:x="8959" w:y="-125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uppressAutoHyphens/>
      <w:jc w:val="center"/>
    </w:pPr>
    <w:rPr>
      <w:b/>
      <w:szCs w:val="24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tabs>
        <w:tab w:val="left" w:pos="993"/>
      </w:tabs>
      <w:ind w:left="0" w:firstLine="284"/>
    </w:pPr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rPr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suppressAutoHyphens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-info-source-publication-info">
    <w:name w:val="doc-info-source-publication-info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0LleyXDpIur4RaYtG4GZm+CFcQ==">AMUW2mUodtXG4h243I+dtCxGup9YU3jJeMrIizKzQzsJkclxXfpEoC3iAZLT5kHotl7fR9QvpfeYM4ROgUMYjL4Ie+iT7P4LWD3lVFjGQNjGDyGGLwYJC98=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Corrêa</dc:creator>
  <cp:lastModifiedBy>Ricardo Aprigliano</cp:lastModifiedBy>
  <cp:revision>5</cp:revision>
  <dcterms:created xsi:type="dcterms:W3CDTF">2020-08-11T15:46:00Z</dcterms:created>
  <dcterms:modified xsi:type="dcterms:W3CDTF">2020-08-11T15:48:00Z</dcterms:modified>
</cp:coreProperties>
</file>