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B64E8" w14:textId="6E9C6E83" w:rsidR="0017012C" w:rsidRPr="002026A9" w:rsidRDefault="0017012C" w:rsidP="00AD08F6">
      <w:pPr>
        <w:spacing w:line="240" w:lineRule="auto"/>
        <w:jc w:val="center"/>
        <w:rPr>
          <w:b/>
          <w:bCs/>
          <w:u w:val="single"/>
        </w:rPr>
      </w:pPr>
      <w:r w:rsidRPr="002026A9">
        <w:rPr>
          <w:b/>
          <w:bCs/>
          <w:u w:val="single"/>
        </w:rPr>
        <w:t xml:space="preserve">Aula do dia </w:t>
      </w:r>
      <w:r w:rsidR="001614E0" w:rsidRPr="002026A9">
        <w:rPr>
          <w:b/>
          <w:bCs/>
          <w:u w:val="single"/>
        </w:rPr>
        <w:t>2</w:t>
      </w:r>
      <w:r w:rsidR="003727CF" w:rsidRPr="002026A9">
        <w:rPr>
          <w:b/>
          <w:bCs/>
          <w:u w:val="single"/>
        </w:rPr>
        <w:t>9</w:t>
      </w:r>
      <w:r w:rsidRPr="002026A9">
        <w:rPr>
          <w:b/>
          <w:bCs/>
          <w:u w:val="single"/>
        </w:rPr>
        <w:t>.0</w:t>
      </w:r>
      <w:r w:rsidR="001614E0" w:rsidRPr="002026A9">
        <w:rPr>
          <w:b/>
          <w:bCs/>
          <w:u w:val="single"/>
        </w:rPr>
        <w:t>7</w:t>
      </w:r>
      <w:r w:rsidRPr="002026A9">
        <w:rPr>
          <w:b/>
          <w:bCs/>
          <w:u w:val="single"/>
        </w:rPr>
        <w:t xml:space="preserve">.2020 – Direito administrativo e </w:t>
      </w:r>
      <w:r w:rsidR="001614E0" w:rsidRPr="002026A9">
        <w:rPr>
          <w:b/>
          <w:bCs/>
          <w:u w:val="single"/>
        </w:rPr>
        <w:t xml:space="preserve">pandemia: </w:t>
      </w:r>
      <w:r w:rsidR="003727CF" w:rsidRPr="002026A9">
        <w:rPr>
          <w:rFonts w:ascii="Helvetica" w:hAnsi="Helvetica" w:cs="Helvetica"/>
          <w:sz w:val="20"/>
          <w:szCs w:val="20"/>
          <w:shd w:val="clear" w:color="auto" w:fill="FFFFFF"/>
        </w:rPr>
        <w:t> </w:t>
      </w:r>
      <w:r w:rsidR="003727CF" w:rsidRPr="002026A9">
        <w:rPr>
          <w:b/>
          <w:bCs/>
          <w:u w:val="single"/>
        </w:rPr>
        <w:t>Direito administrativo e pandemia: responsabilidade</w:t>
      </w:r>
    </w:p>
    <w:p w14:paraId="5AE77596" w14:textId="4EE613F9" w:rsidR="002D12BA" w:rsidRPr="002026A9" w:rsidRDefault="002D12BA" w:rsidP="00AD08F6">
      <w:pPr>
        <w:spacing w:line="240" w:lineRule="auto"/>
        <w:jc w:val="center"/>
        <w:rPr>
          <w:b/>
          <w:bCs/>
          <w:u w:val="single"/>
        </w:rPr>
      </w:pPr>
    </w:p>
    <w:p w14:paraId="06BF07DC" w14:textId="77777777" w:rsidR="00ED179D" w:rsidRPr="002026A9" w:rsidRDefault="00ED179D" w:rsidP="000A4612">
      <w:pPr>
        <w:spacing w:line="240" w:lineRule="auto"/>
        <w:jc w:val="both"/>
      </w:pPr>
    </w:p>
    <w:p w14:paraId="5CAE1DCC" w14:textId="069587B2" w:rsidR="00B927E6" w:rsidRPr="002026A9" w:rsidRDefault="002D12BA" w:rsidP="00C51F23">
      <w:pPr>
        <w:spacing w:line="240" w:lineRule="auto"/>
        <w:jc w:val="both"/>
        <w:rPr>
          <w:b/>
          <w:bCs/>
          <w:u w:val="single"/>
        </w:rPr>
      </w:pPr>
      <w:r w:rsidRPr="002026A9">
        <w:rPr>
          <w:b/>
          <w:bCs/>
          <w:u w:val="single"/>
        </w:rPr>
        <w:t>Atividade</w:t>
      </w:r>
      <w:r w:rsidR="00B927E6" w:rsidRPr="002026A9">
        <w:rPr>
          <w:b/>
          <w:bCs/>
          <w:u w:val="single"/>
        </w:rPr>
        <w:t>:</w:t>
      </w:r>
    </w:p>
    <w:p w14:paraId="21E62D5B" w14:textId="77777777" w:rsidR="000A4612" w:rsidRPr="002026A9" w:rsidRDefault="000A4612" w:rsidP="000A4612">
      <w:pPr>
        <w:spacing w:line="240" w:lineRule="auto"/>
        <w:jc w:val="both"/>
      </w:pPr>
    </w:p>
    <w:p w14:paraId="3A067F41" w14:textId="4C85AD15" w:rsidR="007724D0" w:rsidRPr="00663309" w:rsidRDefault="001A5049" w:rsidP="001A5049">
      <w:pPr>
        <w:spacing w:line="240" w:lineRule="auto"/>
        <w:jc w:val="both"/>
      </w:pPr>
      <w:r w:rsidRPr="00663309">
        <w:t xml:space="preserve">O Prefeito </w:t>
      </w:r>
      <w:r w:rsidR="007724D0" w:rsidRPr="00663309">
        <w:t>do Município X</w:t>
      </w:r>
      <w:r w:rsidRPr="00663309">
        <w:t>,</w:t>
      </w:r>
      <w:r w:rsidR="007724D0" w:rsidRPr="00663309">
        <w:t xml:space="preserve"> preocupado com os efeitos econômicos as medidas de quarentena </w:t>
      </w:r>
      <w:r w:rsidR="00167E0A" w:rsidRPr="00663309">
        <w:t>geraram</w:t>
      </w:r>
      <w:r w:rsidR="007724D0" w:rsidRPr="00663309">
        <w:t xml:space="preserve"> na atividade econômica, </w:t>
      </w:r>
      <w:r w:rsidR="003C5106" w:rsidRPr="00663309">
        <w:t>deu início a</w:t>
      </w:r>
      <w:r w:rsidR="007724D0" w:rsidRPr="00663309">
        <w:t xml:space="preserve"> </w:t>
      </w:r>
      <w:r w:rsidR="003C5106" w:rsidRPr="00663309">
        <w:t>processo administrativo</w:t>
      </w:r>
      <w:r w:rsidR="007724D0" w:rsidRPr="00663309">
        <w:t xml:space="preserve"> buscando avaliar a possibilidade de abertura parcial das atividades</w:t>
      </w:r>
      <w:r w:rsidR="00167E0A" w:rsidRPr="00663309">
        <w:t>.</w:t>
      </w:r>
    </w:p>
    <w:p w14:paraId="354048F4" w14:textId="788BDC78" w:rsidR="00167E0A" w:rsidRPr="00663309" w:rsidRDefault="00167E0A" w:rsidP="001A5049">
      <w:pPr>
        <w:spacing w:line="240" w:lineRule="auto"/>
        <w:jc w:val="both"/>
      </w:pPr>
    </w:p>
    <w:p w14:paraId="2895D674" w14:textId="6E9BFC67" w:rsidR="00C87E3F" w:rsidRPr="00663309" w:rsidRDefault="00C87E3F" w:rsidP="001A5049">
      <w:pPr>
        <w:spacing w:line="240" w:lineRule="auto"/>
        <w:jc w:val="both"/>
      </w:pPr>
      <w:r w:rsidRPr="00663309">
        <w:t>Sabendo dessa movimentação do chefe do Poder Executivo local, alguns especialistas ligados à Faculdade de Medicina estadual, instalada no Município X, expõem formalmente, em documentos escritos enviados ao Gabinete do Prefeito, que a ampla abertura do comércio poderá elevar desnecessariamente o número de infectados e mortos em razão da contaminação.</w:t>
      </w:r>
      <w:r w:rsidR="00EA2A7B" w:rsidRPr="00663309">
        <w:t xml:space="preserve"> Tal documento integrou a instrução do processo administrativo.</w:t>
      </w:r>
    </w:p>
    <w:p w14:paraId="1431D64C" w14:textId="77777777" w:rsidR="00C87E3F" w:rsidRPr="00663309" w:rsidRDefault="00C87E3F" w:rsidP="001A5049">
      <w:pPr>
        <w:spacing w:line="240" w:lineRule="auto"/>
        <w:jc w:val="both"/>
      </w:pPr>
    </w:p>
    <w:p w14:paraId="44BEBBAF" w14:textId="3ED00A6E" w:rsidR="003C5106" w:rsidRPr="00663309" w:rsidRDefault="00C87E3F" w:rsidP="001A5049">
      <w:pPr>
        <w:spacing w:line="240" w:lineRule="auto"/>
        <w:jc w:val="both"/>
      </w:pPr>
      <w:r w:rsidRPr="00663309">
        <w:t>O Prefeito, então</w:t>
      </w:r>
      <w:r w:rsidR="00167E0A" w:rsidRPr="00663309">
        <w:t>, consultou</w:t>
      </w:r>
      <w:r w:rsidR="003C5106" w:rsidRPr="00663309">
        <w:t>:</w:t>
      </w:r>
    </w:p>
    <w:p w14:paraId="71109572" w14:textId="4651C8CC" w:rsidR="00C87E3F" w:rsidRPr="00663309" w:rsidRDefault="003C5106" w:rsidP="00C87E3F">
      <w:pPr>
        <w:spacing w:line="240" w:lineRule="auto"/>
        <w:jc w:val="both"/>
      </w:pPr>
      <w:r w:rsidRPr="00663309">
        <w:t>a)</w:t>
      </w:r>
      <w:r w:rsidR="00167E0A" w:rsidRPr="00663309">
        <w:t xml:space="preserve"> </w:t>
      </w:r>
      <w:r w:rsidR="00544228" w:rsidRPr="00663309">
        <w:t>o Comitê Municipal de Combate à Pandemia</w:t>
      </w:r>
      <w:r w:rsidR="00EA2A7B" w:rsidRPr="00663309">
        <w:t xml:space="preserve"> (órgão que conta com representantes de diversas Secretarias Municipais</w:t>
      </w:r>
      <w:r w:rsidR="00B5252F" w:rsidRPr="00663309">
        <w:t xml:space="preserve"> nomeados pelo Prefeito</w:t>
      </w:r>
      <w:r w:rsidR="00EA2A7B" w:rsidRPr="00663309">
        <w:t>)</w:t>
      </w:r>
      <w:r w:rsidR="00544228" w:rsidRPr="00663309">
        <w:t xml:space="preserve">, </w:t>
      </w:r>
      <w:r w:rsidR="00C87E3F" w:rsidRPr="00663309">
        <w:t xml:space="preserve">que, por meio </w:t>
      </w:r>
      <w:r w:rsidR="008569D9" w:rsidRPr="00663309">
        <w:t xml:space="preserve">de parecer sanitário </w:t>
      </w:r>
      <w:r w:rsidR="00B5252F" w:rsidRPr="00663309">
        <w:t>assinado por sua equipe</w:t>
      </w:r>
      <w:r w:rsidR="00C87E3F" w:rsidRPr="00663309">
        <w:t xml:space="preserve"> técnica multidisciplinar</w:t>
      </w:r>
      <w:r w:rsidR="008569D9" w:rsidRPr="00663309">
        <w:t>,</w:t>
      </w:r>
      <w:r w:rsidR="00C87E3F" w:rsidRPr="00663309">
        <w:t xml:space="preserve"> </w:t>
      </w:r>
      <w:r w:rsidR="008569D9" w:rsidRPr="00663309">
        <w:t xml:space="preserve">afirmou </w:t>
      </w:r>
      <w:r w:rsidR="00C87E3F" w:rsidRPr="00663309">
        <w:t>não h</w:t>
      </w:r>
      <w:r w:rsidR="00B5252F" w:rsidRPr="00663309">
        <w:t>aver</w:t>
      </w:r>
      <w:r w:rsidR="00C87E3F" w:rsidRPr="00663309">
        <w:t xml:space="preserve"> evidências de que haverá a elevação desproporcional do número de mortos e infectados</w:t>
      </w:r>
      <w:r w:rsidR="00B5252F" w:rsidRPr="00663309">
        <w:t xml:space="preserve"> com as medidas de reabertura do comércio</w:t>
      </w:r>
      <w:r w:rsidR="00EA2A7B" w:rsidRPr="00663309">
        <w:t>; e</w:t>
      </w:r>
    </w:p>
    <w:p w14:paraId="53A84266" w14:textId="44F380DA" w:rsidR="00C87E3F" w:rsidRPr="00663309" w:rsidRDefault="00C87E3F" w:rsidP="00C87E3F">
      <w:pPr>
        <w:spacing w:line="240" w:lineRule="auto"/>
        <w:jc w:val="both"/>
      </w:pPr>
      <w:r w:rsidRPr="00663309">
        <w:t>b) o Secretário de Municipal de Assuntos Jurídicos (cargo comissionado puro, que ocupa a cúpula da Procuradoria do Município X, conforme as normas de organização interna</w:t>
      </w:r>
      <w:r w:rsidR="00EA2A7B" w:rsidRPr="00663309">
        <w:t xml:space="preserve"> municipais</w:t>
      </w:r>
      <w:r w:rsidRPr="00663309">
        <w:t xml:space="preserve">), que </w:t>
      </w:r>
      <w:r w:rsidR="00EA2A7B" w:rsidRPr="00663309">
        <w:t>exarou parecer no sentido de que a decisão ou não pela abertura do comércio, diante dos documentos que instruíam o processo, era discricionária do Prefeito.</w:t>
      </w:r>
    </w:p>
    <w:p w14:paraId="4EAF0949" w14:textId="24422F20" w:rsidR="00544228" w:rsidRPr="00663309" w:rsidRDefault="00544228" w:rsidP="001A5049">
      <w:pPr>
        <w:spacing w:line="240" w:lineRule="auto"/>
        <w:jc w:val="both"/>
      </w:pPr>
    </w:p>
    <w:p w14:paraId="052F599D" w14:textId="33883618" w:rsidR="003C5106" w:rsidRPr="00663309" w:rsidRDefault="00EA2A7B" w:rsidP="001A5049">
      <w:pPr>
        <w:spacing w:line="240" w:lineRule="auto"/>
        <w:jc w:val="both"/>
      </w:pPr>
      <w:r w:rsidRPr="00663309">
        <w:t>O Prefeito decidiu, ao final, pela abertura ampla do comércio no Município. Um mês após tal decisão, o número de casos de contaminação no Município aumentou consideravelmente, o que resultou na sobrelotação do sistema de saúde do Município. Constatou-se que a medida de abertura do comércio contribuiu significativamente com o aumento de casos.</w:t>
      </w:r>
    </w:p>
    <w:p w14:paraId="47E0EE14" w14:textId="498F6A14" w:rsidR="003C5106" w:rsidRPr="00663309" w:rsidRDefault="003C5106" w:rsidP="001A5049">
      <w:pPr>
        <w:spacing w:line="240" w:lineRule="auto"/>
        <w:jc w:val="both"/>
      </w:pPr>
    </w:p>
    <w:p w14:paraId="1DE56C7E" w14:textId="7EED7709" w:rsidR="003C5106" w:rsidRPr="00663309" w:rsidRDefault="00EA2A7B" w:rsidP="001A5049">
      <w:pPr>
        <w:spacing w:line="240" w:lineRule="auto"/>
        <w:jc w:val="both"/>
      </w:pPr>
      <w:r w:rsidRPr="00663309">
        <w:t>Diante desse cenário, o Ministério Público ajuizou ação de improbidade administrativa contra o Prefeito, o Secretário Municipal de Assuntos Jurídicos e as</w:t>
      </w:r>
      <w:r w:rsidR="008569D9" w:rsidRPr="00663309">
        <w:t xml:space="preserve"> demais autoridades </w:t>
      </w:r>
      <w:r w:rsidR="008569D9" w:rsidRPr="00663309">
        <w:lastRenderedPageBreak/>
        <w:t>integrantes do Comitê Municipal de Combate à Pandemia responsáveis pela elaboração do parecer sanitário.</w:t>
      </w:r>
    </w:p>
    <w:p w14:paraId="5AC6F713" w14:textId="1E017FA7" w:rsidR="003C5106" w:rsidRPr="00663309" w:rsidRDefault="003C5106" w:rsidP="001A5049">
      <w:pPr>
        <w:spacing w:line="240" w:lineRule="auto"/>
        <w:jc w:val="both"/>
      </w:pPr>
    </w:p>
    <w:p w14:paraId="19AFB1CF" w14:textId="7CD81E7A" w:rsidR="00D51ACD" w:rsidRPr="00663309" w:rsidRDefault="008569D9" w:rsidP="001A5049">
      <w:pPr>
        <w:spacing w:line="240" w:lineRule="auto"/>
        <w:jc w:val="both"/>
      </w:pPr>
      <w:r w:rsidRPr="00663309">
        <w:t xml:space="preserve">Na condição de autoridade judicial responsável </w:t>
      </w:r>
      <w:r w:rsidR="007A7711" w:rsidRPr="00663309">
        <w:t xml:space="preserve">pelo julgamento da ação de improbidade, aponte, por meio da construção de resposta fundamentada, qual seria a sua decisão no caso concreto em relação às autoridades mencionadas. </w:t>
      </w:r>
    </w:p>
    <w:p w14:paraId="6736CCAC" w14:textId="77777777" w:rsidR="00D51ACD" w:rsidRPr="00663309" w:rsidRDefault="00D51ACD" w:rsidP="001A5049">
      <w:pPr>
        <w:spacing w:line="240" w:lineRule="auto"/>
        <w:jc w:val="both"/>
      </w:pPr>
    </w:p>
    <w:p w14:paraId="6C05AE7C" w14:textId="4C4D139B" w:rsidR="002026A9" w:rsidRPr="00663309" w:rsidRDefault="001A5049" w:rsidP="001A5049">
      <w:pPr>
        <w:spacing w:line="240" w:lineRule="auto"/>
        <w:jc w:val="both"/>
        <w:rPr>
          <w:b/>
          <w:bCs/>
        </w:rPr>
      </w:pPr>
      <w:r w:rsidRPr="00663309">
        <w:rPr>
          <w:b/>
          <w:bCs/>
        </w:rPr>
        <w:t xml:space="preserve">Em qualquer caso, </w:t>
      </w:r>
      <w:r w:rsidR="007A7711" w:rsidRPr="00663309">
        <w:rPr>
          <w:b/>
          <w:bCs/>
        </w:rPr>
        <w:t>construa a fundamentação de</w:t>
      </w:r>
      <w:r w:rsidRPr="00663309">
        <w:rPr>
          <w:b/>
          <w:bCs/>
        </w:rPr>
        <w:t xml:space="preserve"> sua resposta </w:t>
      </w:r>
      <w:r w:rsidR="007A7711" w:rsidRPr="00663309">
        <w:rPr>
          <w:b/>
          <w:bCs/>
        </w:rPr>
        <w:t>obrigatoriamente por meio</w:t>
      </w:r>
      <w:r w:rsidRPr="00663309">
        <w:rPr>
          <w:b/>
          <w:bCs/>
        </w:rPr>
        <w:t xml:space="preserve"> da interpretação </w:t>
      </w:r>
      <w:r w:rsidR="00D51ACD" w:rsidRPr="00663309">
        <w:rPr>
          <w:b/>
          <w:bCs/>
        </w:rPr>
        <w:t>dos dispositivos</w:t>
      </w:r>
      <w:r w:rsidR="008569D9" w:rsidRPr="00663309">
        <w:rPr>
          <w:b/>
          <w:bCs/>
        </w:rPr>
        <w:t xml:space="preserve"> pertinentes</w:t>
      </w:r>
      <w:r w:rsidR="00D51ACD" w:rsidRPr="00663309">
        <w:rPr>
          <w:b/>
          <w:bCs/>
        </w:rPr>
        <w:t xml:space="preserve"> </w:t>
      </w:r>
      <w:r w:rsidRPr="00663309">
        <w:rPr>
          <w:b/>
          <w:bCs/>
        </w:rPr>
        <w:t>da Medida Provisória n</w:t>
      </w:r>
      <w:r w:rsidR="00D51ACD" w:rsidRPr="00663309">
        <w:rPr>
          <w:b/>
          <w:bCs/>
        </w:rPr>
        <w:t>º</w:t>
      </w:r>
      <w:r w:rsidRPr="00663309">
        <w:rPr>
          <w:b/>
          <w:bCs/>
        </w:rPr>
        <w:t xml:space="preserve"> 966</w:t>
      </w:r>
      <w:r w:rsidR="00D51ACD" w:rsidRPr="00663309">
        <w:rPr>
          <w:b/>
          <w:bCs/>
        </w:rPr>
        <w:t xml:space="preserve">, de </w:t>
      </w:r>
      <w:r w:rsidR="001F7569" w:rsidRPr="00663309">
        <w:rPr>
          <w:b/>
          <w:bCs/>
        </w:rPr>
        <w:t xml:space="preserve">13 de maio de </w:t>
      </w:r>
      <w:r w:rsidRPr="00663309">
        <w:rPr>
          <w:b/>
          <w:bCs/>
        </w:rPr>
        <w:t>2020</w:t>
      </w:r>
      <w:r w:rsidR="002026A9" w:rsidRPr="00663309">
        <w:rPr>
          <w:b/>
          <w:bCs/>
        </w:rPr>
        <w:t xml:space="preserve">. </w:t>
      </w:r>
    </w:p>
    <w:p w14:paraId="3A80E858" w14:textId="77777777" w:rsidR="007A7711" w:rsidRPr="00663309" w:rsidRDefault="007A7711" w:rsidP="007A7711">
      <w:pPr>
        <w:spacing w:line="240" w:lineRule="auto"/>
        <w:jc w:val="both"/>
      </w:pPr>
    </w:p>
    <w:p w14:paraId="794A5D23" w14:textId="710D8790" w:rsidR="0031103A" w:rsidRPr="00663309" w:rsidRDefault="007A7711" w:rsidP="007A7711">
      <w:pPr>
        <w:spacing w:line="240" w:lineRule="auto"/>
        <w:jc w:val="both"/>
      </w:pPr>
      <w:r w:rsidRPr="00663309">
        <w:t>PS: Não serão avaliados aspectos formais de elaboração de sentença</w:t>
      </w:r>
      <w:r w:rsidR="00A673ED" w:rsidRPr="00663309">
        <w:t xml:space="preserve">, mas </w:t>
      </w:r>
      <w:r w:rsidR="00A673ED" w:rsidRPr="00F129A6">
        <w:rPr>
          <w:b/>
          <w:bCs/>
        </w:rPr>
        <w:t>apenas o conteúdo da resposta</w:t>
      </w:r>
      <w:r w:rsidR="00ED486D" w:rsidRPr="00F129A6">
        <w:rPr>
          <w:b/>
          <w:bCs/>
        </w:rPr>
        <w:t xml:space="preserve"> (fundamentação da decisão)</w:t>
      </w:r>
      <w:r w:rsidRPr="00F129A6">
        <w:rPr>
          <w:b/>
          <w:bCs/>
        </w:rPr>
        <w:t>.</w:t>
      </w:r>
    </w:p>
    <w:sectPr w:rsidR="0031103A" w:rsidRPr="00663309" w:rsidSect="0017012C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6B942" w14:textId="77777777" w:rsidR="005608BD" w:rsidRDefault="005608BD" w:rsidP="0017012C">
      <w:pPr>
        <w:spacing w:before="0" w:after="0" w:line="240" w:lineRule="auto"/>
      </w:pPr>
      <w:r>
        <w:separator/>
      </w:r>
    </w:p>
  </w:endnote>
  <w:endnote w:type="continuationSeparator" w:id="0">
    <w:p w14:paraId="2D42C0ED" w14:textId="77777777" w:rsidR="005608BD" w:rsidRDefault="005608BD" w:rsidP="001701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59638" w14:textId="77777777" w:rsidR="005608BD" w:rsidRDefault="005608BD" w:rsidP="0017012C">
      <w:pPr>
        <w:spacing w:before="0" w:after="0" w:line="240" w:lineRule="auto"/>
      </w:pPr>
      <w:r>
        <w:separator/>
      </w:r>
    </w:p>
  </w:footnote>
  <w:footnote w:type="continuationSeparator" w:id="0">
    <w:p w14:paraId="526492B5" w14:textId="77777777" w:rsidR="005608BD" w:rsidRDefault="005608BD" w:rsidP="001701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372"/>
    </w:tblGrid>
    <w:tr w:rsidR="0017012C" w14:paraId="58DEFFBE" w14:textId="77777777" w:rsidTr="0017012C">
      <w:tc>
        <w:tcPr>
          <w:tcW w:w="2122" w:type="dxa"/>
        </w:tcPr>
        <w:p w14:paraId="7E048A48" w14:textId="77777777" w:rsidR="0017012C" w:rsidRDefault="0017012C" w:rsidP="0017012C">
          <w:pPr>
            <w:pStyle w:val="Cabealho"/>
            <w:jc w:val="center"/>
          </w:pPr>
          <w:r>
            <w:rPr>
              <w:rFonts w:cs="Times New Roman"/>
              <w:noProof/>
            </w:rPr>
            <w:drawing>
              <wp:anchor distT="0" distB="0" distL="114300" distR="114300" simplePos="0" relativeHeight="251659264" behindDoc="0" locked="0" layoutInCell="1" allowOverlap="0" wp14:anchorId="5840AE7A" wp14:editId="44725C21">
                <wp:simplePos x="0" y="0"/>
                <wp:positionH relativeFrom="column">
                  <wp:posOffset>-6350</wp:posOffset>
                </wp:positionH>
                <wp:positionV relativeFrom="paragraph">
                  <wp:posOffset>599</wp:posOffset>
                </wp:positionV>
                <wp:extent cx="1005840" cy="1016635"/>
                <wp:effectExtent l="0" t="0" r="0" b="0"/>
                <wp:wrapSquare wrapText="bothSides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16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2" w:type="dxa"/>
        </w:tcPr>
        <w:p w14:paraId="0F39D762" w14:textId="77777777" w:rsidR="0017012C" w:rsidRDefault="0017012C" w:rsidP="0017012C">
          <w:pPr>
            <w:pStyle w:val="Cabealho"/>
            <w:jc w:val="center"/>
          </w:pPr>
        </w:p>
        <w:p w14:paraId="39087B61" w14:textId="77777777" w:rsidR="0017012C" w:rsidRDefault="0017012C" w:rsidP="0017012C">
          <w:pPr>
            <w:pStyle w:val="Cabealho"/>
            <w:jc w:val="center"/>
          </w:pPr>
          <w:r>
            <w:t>Faculdade de Direito da USP</w:t>
          </w:r>
        </w:p>
        <w:p w14:paraId="15721B99" w14:textId="77777777" w:rsidR="0017012C" w:rsidRDefault="0017012C" w:rsidP="0017012C">
          <w:pPr>
            <w:pStyle w:val="Cabealho"/>
            <w:jc w:val="center"/>
          </w:pPr>
          <w:r>
            <w:t>Departamento de Direito do Estado</w:t>
          </w:r>
        </w:p>
        <w:p w14:paraId="55996A83" w14:textId="4D31C27C" w:rsidR="0017012C" w:rsidRDefault="0017012C" w:rsidP="0017012C">
          <w:pPr>
            <w:pStyle w:val="Cabealho"/>
            <w:jc w:val="center"/>
          </w:pPr>
          <w:r>
            <w:t>Direito Administrativo Interdisciplinar I</w:t>
          </w:r>
          <w:r w:rsidR="009A59CF">
            <w:t>I</w:t>
          </w:r>
        </w:p>
        <w:p w14:paraId="79980AB0" w14:textId="77777777" w:rsidR="0017012C" w:rsidRDefault="0017012C" w:rsidP="0017012C">
          <w:pPr>
            <w:pStyle w:val="Cabealho"/>
            <w:jc w:val="center"/>
          </w:pPr>
          <w:r>
            <w:t>Prof. Fernando Dias Menezes de Almeida</w:t>
          </w:r>
        </w:p>
      </w:tc>
    </w:tr>
  </w:tbl>
  <w:p w14:paraId="7E05F4F6" w14:textId="77777777" w:rsidR="0017012C" w:rsidRDefault="0017012C" w:rsidP="0017012C">
    <w:pPr>
      <w:pStyle w:val="Cabealho"/>
      <w:pBdr>
        <w:bottom w:val="single" w:sz="12" w:space="1" w:color="auto"/>
      </w:pBdr>
      <w:jc w:val="center"/>
    </w:pPr>
  </w:p>
  <w:p w14:paraId="45937282" w14:textId="77777777" w:rsidR="0017012C" w:rsidRDefault="001701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5DA0"/>
    <w:multiLevelType w:val="hybridMultilevel"/>
    <w:tmpl w:val="68FAAEE6"/>
    <w:lvl w:ilvl="0" w:tplc="8DACA7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303"/>
    <w:multiLevelType w:val="hybridMultilevel"/>
    <w:tmpl w:val="4E7AF698"/>
    <w:lvl w:ilvl="0" w:tplc="4A60CA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F3E64"/>
    <w:multiLevelType w:val="hybridMultilevel"/>
    <w:tmpl w:val="C62043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2C"/>
    <w:rsid w:val="00014995"/>
    <w:rsid w:val="00030EE9"/>
    <w:rsid w:val="000321C7"/>
    <w:rsid w:val="000837B9"/>
    <w:rsid w:val="00096D99"/>
    <w:rsid w:val="000A0333"/>
    <w:rsid w:val="000A380B"/>
    <w:rsid w:val="000A4612"/>
    <w:rsid w:val="000E3B05"/>
    <w:rsid w:val="000E68DE"/>
    <w:rsid w:val="00114C08"/>
    <w:rsid w:val="001373D5"/>
    <w:rsid w:val="001614E0"/>
    <w:rsid w:val="00167E0A"/>
    <w:rsid w:val="0017012C"/>
    <w:rsid w:val="001A107C"/>
    <w:rsid w:val="001A2C5E"/>
    <w:rsid w:val="001A5049"/>
    <w:rsid w:val="001B5F7E"/>
    <w:rsid w:val="001C3F65"/>
    <w:rsid w:val="001E7877"/>
    <w:rsid w:val="001F6303"/>
    <w:rsid w:val="001F7569"/>
    <w:rsid w:val="002026A9"/>
    <w:rsid w:val="002176F2"/>
    <w:rsid w:val="002328CD"/>
    <w:rsid w:val="002434C5"/>
    <w:rsid w:val="002434D1"/>
    <w:rsid w:val="00246B5D"/>
    <w:rsid w:val="00256DA2"/>
    <w:rsid w:val="0026223B"/>
    <w:rsid w:val="002C2EDC"/>
    <w:rsid w:val="002D12BA"/>
    <w:rsid w:val="002D312A"/>
    <w:rsid w:val="002E398B"/>
    <w:rsid w:val="002E7B88"/>
    <w:rsid w:val="002F1384"/>
    <w:rsid w:val="003074F5"/>
    <w:rsid w:val="0031039F"/>
    <w:rsid w:val="0031103A"/>
    <w:rsid w:val="0032547C"/>
    <w:rsid w:val="003277E7"/>
    <w:rsid w:val="003476B8"/>
    <w:rsid w:val="003727CF"/>
    <w:rsid w:val="00387DFE"/>
    <w:rsid w:val="00396FE7"/>
    <w:rsid w:val="003B219E"/>
    <w:rsid w:val="003C5106"/>
    <w:rsid w:val="003E09A3"/>
    <w:rsid w:val="00405682"/>
    <w:rsid w:val="00467B30"/>
    <w:rsid w:val="004810A1"/>
    <w:rsid w:val="00493C5D"/>
    <w:rsid w:val="004C094A"/>
    <w:rsid w:val="004C53E1"/>
    <w:rsid w:val="004D484E"/>
    <w:rsid w:val="00500351"/>
    <w:rsid w:val="00500BC6"/>
    <w:rsid w:val="00544228"/>
    <w:rsid w:val="005608BD"/>
    <w:rsid w:val="0058616E"/>
    <w:rsid w:val="00587448"/>
    <w:rsid w:val="005A35D5"/>
    <w:rsid w:val="005A537A"/>
    <w:rsid w:val="00603CF2"/>
    <w:rsid w:val="00644838"/>
    <w:rsid w:val="00663309"/>
    <w:rsid w:val="00691353"/>
    <w:rsid w:val="00695305"/>
    <w:rsid w:val="007101A1"/>
    <w:rsid w:val="00715307"/>
    <w:rsid w:val="0074124E"/>
    <w:rsid w:val="007425C3"/>
    <w:rsid w:val="00745E2A"/>
    <w:rsid w:val="0076404C"/>
    <w:rsid w:val="007724D0"/>
    <w:rsid w:val="007752F0"/>
    <w:rsid w:val="0078304A"/>
    <w:rsid w:val="00797496"/>
    <w:rsid w:val="007A0ADA"/>
    <w:rsid w:val="007A7711"/>
    <w:rsid w:val="007B725F"/>
    <w:rsid w:val="007E2E8B"/>
    <w:rsid w:val="00805A34"/>
    <w:rsid w:val="0081001F"/>
    <w:rsid w:val="0082380A"/>
    <w:rsid w:val="0082538B"/>
    <w:rsid w:val="00852D9F"/>
    <w:rsid w:val="008569D9"/>
    <w:rsid w:val="008624F5"/>
    <w:rsid w:val="00876BB3"/>
    <w:rsid w:val="00881E77"/>
    <w:rsid w:val="00887B5E"/>
    <w:rsid w:val="008A31ED"/>
    <w:rsid w:val="008B3439"/>
    <w:rsid w:val="008C56B0"/>
    <w:rsid w:val="008D1777"/>
    <w:rsid w:val="008D1A7D"/>
    <w:rsid w:val="008D401E"/>
    <w:rsid w:val="008D76B2"/>
    <w:rsid w:val="008E0C5B"/>
    <w:rsid w:val="008F2CA9"/>
    <w:rsid w:val="008F3A5E"/>
    <w:rsid w:val="008F46C4"/>
    <w:rsid w:val="00911CAB"/>
    <w:rsid w:val="00931768"/>
    <w:rsid w:val="009319AA"/>
    <w:rsid w:val="00935C49"/>
    <w:rsid w:val="00941EC0"/>
    <w:rsid w:val="00942420"/>
    <w:rsid w:val="009468BA"/>
    <w:rsid w:val="00947AD3"/>
    <w:rsid w:val="00997D14"/>
    <w:rsid w:val="009A007E"/>
    <w:rsid w:val="009A59CF"/>
    <w:rsid w:val="009E144F"/>
    <w:rsid w:val="009F0FFA"/>
    <w:rsid w:val="009F718C"/>
    <w:rsid w:val="00A02603"/>
    <w:rsid w:val="00A04D01"/>
    <w:rsid w:val="00A33395"/>
    <w:rsid w:val="00A63082"/>
    <w:rsid w:val="00A638CA"/>
    <w:rsid w:val="00A65F06"/>
    <w:rsid w:val="00A66674"/>
    <w:rsid w:val="00A673ED"/>
    <w:rsid w:val="00A724DD"/>
    <w:rsid w:val="00A81D5B"/>
    <w:rsid w:val="00A82D72"/>
    <w:rsid w:val="00AA1276"/>
    <w:rsid w:val="00AA531E"/>
    <w:rsid w:val="00AB31D0"/>
    <w:rsid w:val="00AB5DEC"/>
    <w:rsid w:val="00AD08F6"/>
    <w:rsid w:val="00AD20F0"/>
    <w:rsid w:val="00B375EE"/>
    <w:rsid w:val="00B5252F"/>
    <w:rsid w:val="00B6497B"/>
    <w:rsid w:val="00B66021"/>
    <w:rsid w:val="00B671AD"/>
    <w:rsid w:val="00B927E6"/>
    <w:rsid w:val="00B979C4"/>
    <w:rsid w:val="00BA163B"/>
    <w:rsid w:val="00BB04B0"/>
    <w:rsid w:val="00BC3D3A"/>
    <w:rsid w:val="00BE6341"/>
    <w:rsid w:val="00BF10CB"/>
    <w:rsid w:val="00BF15FB"/>
    <w:rsid w:val="00C070B5"/>
    <w:rsid w:val="00C51F23"/>
    <w:rsid w:val="00C56459"/>
    <w:rsid w:val="00C869C5"/>
    <w:rsid w:val="00C873B7"/>
    <w:rsid w:val="00C87E3F"/>
    <w:rsid w:val="00CA45B9"/>
    <w:rsid w:val="00CA501E"/>
    <w:rsid w:val="00CB175D"/>
    <w:rsid w:val="00CB5DD5"/>
    <w:rsid w:val="00CD1A74"/>
    <w:rsid w:val="00CD4EFA"/>
    <w:rsid w:val="00D330B9"/>
    <w:rsid w:val="00D51ACD"/>
    <w:rsid w:val="00D63415"/>
    <w:rsid w:val="00DB403E"/>
    <w:rsid w:val="00DE398D"/>
    <w:rsid w:val="00DF3044"/>
    <w:rsid w:val="00E0635B"/>
    <w:rsid w:val="00E2304F"/>
    <w:rsid w:val="00E3166F"/>
    <w:rsid w:val="00E933E2"/>
    <w:rsid w:val="00EA2A7B"/>
    <w:rsid w:val="00EA4D65"/>
    <w:rsid w:val="00EA5A5A"/>
    <w:rsid w:val="00EC0C61"/>
    <w:rsid w:val="00EC6C58"/>
    <w:rsid w:val="00ED03C9"/>
    <w:rsid w:val="00ED179D"/>
    <w:rsid w:val="00ED38F1"/>
    <w:rsid w:val="00ED486D"/>
    <w:rsid w:val="00F04943"/>
    <w:rsid w:val="00F129A6"/>
    <w:rsid w:val="00F30006"/>
    <w:rsid w:val="00F37568"/>
    <w:rsid w:val="00F74249"/>
    <w:rsid w:val="00F779D0"/>
    <w:rsid w:val="00FA1D99"/>
    <w:rsid w:val="00FC518E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F645"/>
  <w15:chartTrackingRefBased/>
  <w15:docId w15:val="{8BE3B2F1-4505-4A2E-8F38-C6006B08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7A0ADA"/>
    <w:pPr>
      <w:spacing w:before="0" w:after="240" w:line="240" w:lineRule="auto"/>
      <w:ind w:left="2835"/>
      <w:jc w:val="both"/>
    </w:pPr>
    <w:rPr>
      <w:iCs/>
      <w:color w:val="404040" w:themeColor="text1" w:themeTint="BF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7A0ADA"/>
    <w:rPr>
      <w:iCs/>
      <w:color w:val="404040" w:themeColor="text1" w:themeTint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17012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12C"/>
  </w:style>
  <w:style w:type="paragraph" w:styleId="Rodap">
    <w:name w:val="footer"/>
    <w:basedOn w:val="Normal"/>
    <w:link w:val="RodapChar"/>
    <w:uiPriority w:val="99"/>
    <w:unhideWhenUsed/>
    <w:rsid w:val="0017012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12C"/>
  </w:style>
  <w:style w:type="table" w:styleId="Tabelacomgrade">
    <w:name w:val="Table Grid"/>
    <w:basedOn w:val="Tabelanormal"/>
    <w:uiPriority w:val="39"/>
    <w:rsid w:val="0017012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7012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375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75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75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75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75E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75E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5E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F138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138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96FE7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96F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96FE7"/>
    <w:rPr>
      <w:vertAlign w:val="superscript"/>
    </w:rPr>
  </w:style>
  <w:style w:type="paragraph" w:styleId="SemEspaamento">
    <w:name w:val="No Spacing"/>
    <w:uiPriority w:val="1"/>
    <w:qFormat/>
    <w:rsid w:val="00396FE7"/>
    <w:pPr>
      <w:spacing w:before="0" w:after="0" w:line="240" w:lineRule="auto"/>
    </w:pPr>
  </w:style>
  <w:style w:type="character" w:customStyle="1" w:styleId="normaltextrun">
    <w:name w:val="normaltextrun"/>
    <w:basedOn w:val="Fontepargpadro"/>
    <w:rsid w:val="00ED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4840-3A1D-421A-85C6-102307E7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Romano Soares</dc:creator>
  <cp:keywords/>
  <dc:description/>
  <cp:lastModifiedBy>Vítor Monteiro</cp:lastModifiedBy>
  <cp:revision>4</cp:revision>
  <dcterms:created xsi:type="dcterms:W3CDTF">2020-07-29T10:45:00Z</dcterms:created>
  <dcterms:modified xsi:type="dcterms:W3CDTF">2020-07-29T10:46:00Z</dcterms:modified>
</cp:coreProperties>
</file>