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6BF1" w14:textId="77777777"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14:paraId="324FE29B" w14:textId="77777777"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14:paraId="3DB516EC" w14:textId="77777777" w:rsidR="00E614B3" w:rsidRPr="00FC3A79" w:rsidRDefault="00E614B3">
      <w:pPr>
        <w:jc w:val="center"/>
      </w:pPr>
      <w:r>
        <w:rPr>
          <w:sz w:val="32"/>
        </w:rPr>
        <w:t xml:space="preserve">Curso: </w:t>
      </w:r>
      <w:r w:rsidR="00E00A3E">
        <w:rPr>
          <w:sz w:val="32"/>
        </w:rPr>
        <w:t>Nutrição e Metabolismo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14:paraId="69ADB37C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673D2191" w14:textId="77777777"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2F3D9C9B" w14:textId="77777777"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14:paraId="1EA0BA14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47CB7955" w14:textId="77777777" w:rsidR="000706C8" w:rsidRPr="00FC3A79" w:rsidRDefault="00E00A3E">
            <w:pPr>
              <w:spacing w:after="0"/>
            </w:pPr>
            <w:r>
              <w:t>RNM 4308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63FA9130" w14:textId="77777777" w:rsidR="000706C8" w:rsidRPr="00FC3A79" w:rsidRDefault="00E00A3E">
            <w:pPr>
              <w:spacing w:after="0"/>
            </w:pPr>
            <w:r>
              <w:t>Avaliação do Estado Nutricional</w:t>
            </w:r>
          </w:p>
        </w:tc>
      </w:tr>
    </w:tbl>
    <w:p w14:paraId="170F4A5D" w14:textId="77777777" w:rsidR="000706C8" w:rsidRPr="00FC3A79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14:paraId="3F238285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40A494FF" w14:textId="77777777"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04F4D1DB" w14:textId="77777777" w:rsidR="000706C8" w:rsidRPr="00FC3A79" w:rsidRDefault="00827CD0">
            <w:pPr>
              <w:spacing w:after="0"/>
            </w:pPr>
            <w:r>
              <w:t>0</w:t>
            </w:r>
            <w:r w:rsidR="00AE7B78">
              <w:t>2/08 a 09/10</w:t>
            </w:r>
          </w:p>
        </w:tc>
      </w:tr>
      <w:tr w:rsidR="00FC3A79" w:rsidRPr="00FC3A79" w14:paraId="1A13BAE4" w14:textId="77777777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5052F87D" w14:textId="77777777"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14:paraId="5BEAA2C1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01F56A63" w14:textId="77777777"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3EFF1C3A" w14:textId="77777777" w:rsidR="000706C8" w:rsidRPr="00FC3A79" w:rsidRDefault="00FE5383">
            <w:pPr>
              <w:spacing w:after="0"/>
            </w:pPr>
            <w:r>
              <w:t>60h</w:t>
            </w:r>
          </w:p>
        </w:tc>
      </w:tr>
      <w:tr w:rsidR="00FC3A79" w:rsidRPr="00FC3A79" w14:paraId="75F48C0A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5372B41B" w14:textId="77777777" w:rsidR="000706C8" w:rsidRPr="00FC3A79" w:rsidRDefault="009F6CD1">
            <w:pPr>
              <w:spacing w:after="0"/>
            </w:pPr>
            <w:r w:rsidRPr="00FC3A79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72746285" w14:textId="77777777" w:rsidR="000706C8" w:rsidRPr="00FC3A79" w:rsidRDefault="004B2578">
            <w:pPr>
              <w:spacing w:after="0"/>
            </w:pPr>
            <w:r>
              <w:t>0h</w:t>
            </w:r>
          </w:p>
        </w:tc>
      </w:tr>
      <w:tr w:rsidR="00FC3A79" w:rsidRPr="00FC3A79" w14:paraId="67CD3B61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41AD420F" w14:textId="77777777"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2ECC1EFA" w14:textId="77777777" w:rsidR="000706C8" w:rsidRPr="00FC3A79" w:rsidRDefault="004B2578">
            <w:pPr>
              <w:spacing w:after="0"/>
            </w:pPr>
            <w:r>
              <w:t>60h</w:t>
            </w:r>
          </w:p>
        </w:tc>
      </w:tr>
    </w:tbl>
    <w:p w14:paraId="476BDAEB" w14:textId="77777777" w:rsidR="000706C8" w:rsidRDefault="000706C8">
      <w:pPr>
        <w:rPr>
          <w:b/>
        </w:rPr>
      </w:pPr>
    </w:p>
    <w:p w14:paraId="0FBA4BAE" w14:textId="77777777" w:rsidR="000706C8" w:rsidRDefault="009F6CD1">
      <w:pPr>
        <w:rPr>
          <w:b/>
        </w:rPr>
      </w:pPr>
      <w:r>
        <w:rPr>
          <w:b/>
        </w:rPr>
        <w:t>CONTEXTO:</w:t>
      </w:r>
    </w:p>
    <w:p w14:paraId="78F611AC" w14:textId="77777777" w:rsidR="000706C8" w:rsidRDefault="00E00A3E" w:rsidP="00E00A3E">
      <w:pPr>
        <w:jc w:val="both"/>
      </w:pPr>
      <w:r>
        <w:tab/>
      </w:r>
      <w:r w:rsidRPr="00E00A3E">
        <w:t xml:space="preserve">A disciplina de Avaliação do estado nutricional envolve o conhecimento sobre estado nutricional e os métodos relacionados à sua avaliação e diagnóstico (antropometria e composição corporal, consumo alimentar, clínica e bioquímica). </w:t>
      </w:r>
      <w:r>
        <w:t xml:space="preserve">Também discute aspectos relacionados à triagem de risco nutricional e classificação do nível de atenção nutricional. Os conhecimentos, habilidades e atitudes relacionados à esta disciplina são base para a atuação profissional nas diferentes áreas de atuação em Alimentação e Nutrição, a nível individual e coletivo. </w:t>
      </w:r>
    </w:p>
    <w:p w14:paraId="1310EDEC" w14:textId="77777777" w:rsidR="00FE5383" w:rsidRDefault="00FE5383" w:rsidP="00195523">
      <w:pPr>
        <w:rPr>
          <w:b/>
        </w:rPr>
      </w:pPr>
    </w:p>
    <w:p w14:paraId="0B8422B9" w14:textId="77777777"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p w14:paraId="6734B838" w14:textId="77777777" w:rsidR="00195523" w:rsidRPr="00195523" w:rsidRDefault="00195523" w:rsidP="00195523">
      <w:pPr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6C8" w:rsidRPr="00195523" w14:paraId="34788E5B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6C8C3234" w14:textId="77777777"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596EEA61" w14:textId="77777777"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F225DE3" w14:textId="77777777"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 w14:paraId="43AD2181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0FF9F814" w14:textId="77777777" w:rsidR="000706C8" w:rsidRDefault="009F6CD1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3AEC187" w14:textId="77777777" w:rsidR="000706C8" w:rsidRDefault="009F6CD1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2431C9A" w14:textId="77777777" w:rsidR="000706C8" w:rsidRDefault="009F6CD1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773776" w14:paraId="265CE1CE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630B28C9" w14:textId="77777777" w:rsidR="00773776" w:rsidRPr="00F76B75" w:rsidRDefault="00773776" w:rsidP="00773776">
            <w:pPr>
              <w:spacing w:after="0"/>
            </w:pPr>
            <w:r w:rsidRPr="00F76B75">
              <w:rPr>
                <w:b/>
                <w:bCs/>
              </w:rPr>
              <w:t>Cognitivos: conceitos relacionados aos métodos de triagem, avaliação e diagnóstico do estado nutricional</w:t>
            </w:r>
          </w:p>
          <w:p w14:paraId="63EB185E" w14:textId="48DD0B66" w:rsidR="00773776" w:rsidRDefault="00773776" w:rsidP="00773776">
            <w:pPr>
              <w:spacing w:after="0"/>
              <w:rPr>
                <w:b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D12CB6E" w14:textId="5B5DCDB7" w:rsidR="00773776" w:rsidRDefault="00773776" w:rsidP="00773776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vídeo-aulas</w:t>
            </w:r>
            <w:proofErr w:type="spellEnd"/>
            <w:proofErr w:type="gramEnd"/>
            <w:r>
              <w:rPr>
                <w:b/>
              </w:rPr>
              <w:t>, estudo dirigido, aula teórica expositiva dialogada, discussão em pequenos grupos e discussão de casos clínicos.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5130969" w14:textId="77777777" w:rsidR="00773776" w:rsidRDefault="00773776" w:rsidP="00773776">
            <w:pPr>
              <w:spacing w:after="0"/>
              <w:rPr>
                <w:b/>
              </w:rPr>
            </w:pPr>
            <w:r>
              <w:t xml:space="preserve">- </w:t>
            </w:r>
            <w:proofErr w:type="gramStart"/>
            <w:r>
              <w:t>cognitivos</w:t>
            </w:r>
            <w:proofErr w:type="gramEnd"/>
            <w:r>
              <w:t>: avaliação escrita.</w:t>
            </w:r>
          </w:p>
        </w:tc>
      </w:tr>
      <w:tr w:rsidR="00773776" w14:paraId="26EB0903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35C1489E" w14:textId="77777777" w:rsidR="00773776" w:rsidRPr="00F76B75" w:rsidRDefault="00773776" w:rsidP="00773776">
            <w:pPr>
              <w:spacing w:after="0"/>
            </w:pPr>
            <w:r w:rsidRPr="00F76B75">
              <w:rPr>
                <w:b/>
                <w:bCs/>
              </w:rPr>
              <w:t>Habilidades: aplicação dos métodos de triagem e avaliação do estado nutricional</w:t>
            </w:r>
          </w:p>
          <w:p w14:paraId="544F5B73" w14:textId="3E2893F7" w:rsidR="00773776" w:rsidRDefault="00773776" w:rsidP="00773776">
            <w:pPr>
              <w:spacing w:after="0"/>
              <w:rPr>
                <w:b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3742CCA" w14:textId="77777777" w:rsidR="00773776" w:rsidRDefault="00773776" w:rsidP="00773776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aula</w:t>
            </w:r>
            <w:proofErr w:type="gramEnd"/>
            <w:r>
              <w:rPr>
                <w:b/>
              </w:rPr>
              <w:t xml:space="preserve"> prática: demonstração e aplicação.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1AE6E4FA" w14:textId="77777777" w:rsidR="00773776" w:rsidRDefault="00773776" w:rsidP="00773776">
            <w:pPr>
              <w:spacing w:after="0"/>
              <w:rPr>
                <w:b/>
              </w:rPr>
            </w:pPr>
            <w:r>
              <w:t xml:space="preserve">- </w:t>
            </w:r>
            <w:proofErr w:type="gramStart"/>
            <w:r>
              <w:t>habilidades</w:t>
            </w:r>
            <w:proofErr w:type="gramEnd"/>
            <w:r>
              <w:t>: casos clínicos.</w:t>
            </w:r>
          </w:p>
        </w:tc>
      </w:tr>
      <w:tr w:rsidR="00773776" w14:paraId="35D6CC83" w14:textId="77777777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21C588CA" w14:textId="4FA17836" w:rsidR="00773776" w:rsidRDefault="00773776" w:rsidP="00773776">
            <w:pPr>
              <w:spacing w:after="0"/>
              <w:rPr>
                <w:b/>
              </w:rPr>
            </w:pPr>
            <w:r w:rsidRPr="00F76B75">
              <w:rPr>
                <w:b/>
                <w:bCs/>
              </w:rPr>
              <w:t xml:space="preserve">Atitudinais: postura profissional, </w:t>
            </w:r>
            <w:r>
              <w:rPr>
                <w:b/>
                <w:bCs/>
              </w:rPr>
              <w:t xml:space="preserve">responsabilidade, </w:t>
            </w:r>
            <w:r w:rsidRPr="00F76B75">
              <w:rPr>
                <w:b/>
                <w:bCs/>
              </w:rPr>
              <w:t>cuidados com privacidade do paciente, respeito e empatia.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321D78E9" w14:textId="7555BD04" w:rsidR="00773776" w:rsidRDefault="00773776" w:rsidP="00773776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discussão</w:t>
            </w:r>
            <w:proofErr w:type="gramEnd"/>
            <w:r>
              <w:rPr>
                <w:b/>
              </w:rPr>
              <w:t xml:space="preserve"> de situações problema dentro dos casos clínicos, discussão de filme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FB46015" w14:textId="77777777" w:rsidR="00773776" w:rsidRDefault="00773776" w:rsidP="00773776">
            <w:pPr>
              <w:spacing w:after="0"/>
              <w:rPr>
                <w:b/>
              </w:rPr>
            </w:pPr>
            <w:r>
              <w:t xml:space="preserve">- </w:t>
            </w:r>
            <w:proofErr w:type="gramStart"/>
            <w:r>
              <w:t>atitudinais</w:t>
            </w:r>
            <w:proofErr w:type="gramEnd"/>
            <w:r>
              <w:t>: observação nas aulas práticas (e feedback)</w:t>
            </w:r>
          </w:p>
        </w:tc>
      </w:tr>
    </w:tbl>
    <w:p w14:paraId="0C7090FD" w14:textId="77777777"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14:paraId="5576F3C1" w14:textId="77777777" w:rsidR="000706C8" w:rsidRDefault="00195523" w:rsidP="008548FA">
      <w:pPr>
        <w:tabs>
          <w:tab w:val="left" w:pos="8100"/>
        </w:tabs>
        <w:rPr>
          <w:b/>
        </w:rPr>
      </w:pPr>
      <w:proofErr w:type="spellStart"/>
      <w:r>
        <w:rPr>
          <w:b/>
        </w:rPr>
        <w:lastRenderedPageBreak/>
        <w:t>Template</w:t>
      </w:r>
      <w:proofErr w:type="spellEnd"/>
      <w:r>
        <w:rPr>
          <w:b/>
        </w:rPr>
        <w:t xml:space="preserve"> 2: </w:t>
      </w:r>
      <w:r w:rsidR="009F6CD1">
        <w:rPr>
          <w:b/>
        </w:rPr>
        <w:t>ROTEIRO DA DISCIPLINA</w:t>
      </w:r>
      <w:r w:rsidR="008548FA">
        <w:rPr>
          <w:b/>
        </w:rPr>
        <w:tab/>
      </w:r>
    </w:p>
    <w:tbl>
      <w:tblPr>
        <w:tblW w:w="1614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899"/>
        <w:gridCol w:w="914"/>
        <w:gridCol w:w="1951"/>
        <w:gridCol w:w="1951"/>
        <w:gridCol w:w="5720"/>
        <w:gridCol w:w="2280"/>
        <w:gridCol w:w="1337"/>
      </w:tblGrid>
      <w:tr w:rsidR="00894BD9" w:rsidRPr="00894BD9" w14:paraId="66B52F4F" w14:textId="77777777" w:rsidTr="0087225F">
        <w:trPr>
          <w:trHeight w:val="450"/>
        </w:trPr>
        <w:tc>
          <w:tcPr>
            <w:tcW w:w="16145" w:type="dxa"/>
            <w:gridSpan w:val="8"/>
            <w:shd w:val="clear" w:color="000000" w:fill="FFFF00"/>
            <w:vAlign w:val="center"/>
            <w:hideMark/>
          </w:tcPr>
          <w:p w14:paraId="4F7215A5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Roteiro de Atividades</w:t>
            </w:r>
          </w:p>
        </w:tc>
      </w:tr>
      <w:tr w:rsidR="00894BD9" w:rsidRPr="00894BD9" w14:paraId="08A79DFF" w14:textId="77777777" w:rsidTr="0087225F">
        <w:trPr>
          <w:trHeight w:val="330"/>
        </w:trPr>
        <w:tc>
          <w:tcPr>
            <w:tcW w:w="4857" w:type="dxa"/>
            <w:gridSpan w:val="4"/>
            <w:shd w:val="clear" w:color="000000" w:fill="C0C0C0"/>
            <w:vAlign w:val="center"/>
            <w:hideMark/>
          </w:tcPr>
          <w:p w14:paraId="4FE4D7C5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 Nutrição e Metabolismo</w:t>
            </w:r>
          </w:p>
        </w:tc>
        <w:tc>
          <w:tcPr>
            <w:tcW w:w="7671" w:type="dxa"/>
            <w:gridSpan w:val="2"/>
            <w:shd w:val="clear" w:color="000000" w:fill="C0C0C0"/>
            <w:vAlign w:val="center"/>
            <w:hideMark/>
          </w:tcPr>
          <w:p w14:paraId="193673E4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COORDENADOR DA DISCIPLINA: Camila Cremonezi Japur</w:t>
            </w:r>
          </w:p>
        </w:tc>
        <w:tc>
          <w:tcPr>
            <w:tcW w:w="2280" w:type="dxa"/>
            <w:shd w:val="clear" w:color="000000" w:fill="C0C0C0"/>
            <w:vAlign w:val="center"/>
            <w:hideMark/>
          </w:tcPr>
          <w:p w14:paraId="5908A4B4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37" w:type="dxa"/>
            <w:shd w:val="clear" w:color="000000" w:fill="C0C0C0"/>
            <w:vAlign w:val="center"/>
            <w:hideMark/>
          </w:tcPr>
          <w:p w14:paraId="3BA3740B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94BD9" w:rsidRPr="00894BD9" w14:paraId="5F2B5C18" w14:textId="77777777" w:rsidTr="0087225F">
        <w:trPr>
          <w:trHeight w:val="330"/>
        </w:trPr>
        <w:tc>
          <w:tcPr>
            <w:tcW w:w="2906" w:type="dxa"/>
            <w:gridSpan w:val="3"/>
            <w:shd w:val="clear" w:color="000000" w:fill="C0C0C0"/>
            <w:vAlign w:val="center"/>
            <w:hideMark/>
          </w:tcPr>
          <w:p w14:paraId="2164E481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CÓDIGO: RNM4308</w:t>
            </w:r>
          </w:p>
        </w:tc>
        <w:tc>
          <w:tcPr>
            <w:tcW w:w="1951" w:type="dxa"/>
            <w:shd w:val="clear" w:color="000000" w:fill="C0C0C0"/>
            <w:vAlign w:val="center"/>
            <w:hideMark/>
          </w:tcPr>
          <w:p w14:paraId="369EEA6D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ANO:   2019</w:t>
            </w:r>
          </w:p>
        </w:tc>
        <w:tc>
          <w:tcPr>
            <w:tcW w:w="7671" w:type="dxa"/>
            <w:gridSpan w:val="2"/>
            <w:shd w:val="clear" w:color="000000" w:fill="C0C0C0"/>
            <w:vAlign w:val="center"/>
            <w:hideMark/>
          </w:tcPr>
          <w:p w14:paraId="09942EF8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DISCIPLINA: Avaliação do Estado Nutricional</w:t>
            </w:r>
          </w:p>
        </w:tc>
        <w:tc>
          <w:tcPr>
            <w:tcW w:w="2280" w:type="dxa"/>
            <w:shd w:val="clear" w:color="000000" w:fill="C0C0C0"/>
            <w:vAlign w:val="center"/>
            <w:hideMark/>
          </w:tcPr>
          <w:p w14:paraId="14DA8BA1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37" w:type="dxa"/>
            <w:shd w:val="clear" w:color="000000" w:fill="C0C0C0"/>
            <w:vAlign w:val="center"/>
            <w:hideMark/>
          </w:tcPr>
          <w:p w14:paraId="1F2B676C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94BD9" w:rsidRPr="00894BD9" w14:paraId="6692B1D2" w14:textId="77777777" w:rsidTr="0087225F">
        <w:trPr>
          <w:trHeight w:val="960"/>
        </w:trPr>
        <w:tc>
          <w:tcPr>
            <w:tcW w:w="1093" w:type="dxa"/>
            <w:shd w:val="clear" w:color="auto" w:fill="auto"/>
            <w:vAlign w:val="center"/>
            <w:hideMark/>
          </w:tcPr>
          <w:p w14:paraId="1D78F7F6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4CD59C8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4FA1717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9548121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9EABC89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D4F9CAC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23A6892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5CA8D12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894BD9" w:rsidRPr="00894BD9" w14:paraId="54864C90" w14:textId="77777777" w:rsidTr="0087225F">
        <w:trPr>
          <w:trHeight w:val="2925"/>
        </w:trPr>
        <w:tc>
          <w:tcPr>
            <w:tcW w:w="1093" w:type="dxa"/>
            <w:shd w:val="clear" w:color="auto" w:fill="auto"/>
            <w:vAlign w:val="center"/>
            <w:hideMark/>
          </w:tcPr>
          <w:p w14:paraId="24BCADAB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</w:t>
            </w:r>
            <w:proofErr w:type="spellStart"/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55F2D91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8h-12h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5F641992" w14:textId="40D886DE" w:rsidR="00894BD9" w:rsidRPr="00894BD9" w:rsidRDefault="005B1B88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E35E6A9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Introdução à Avaliação do Estado Nutricional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DE9519" w14:textId="46BE3D4A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Apresentar a disciplina: objetivos, cronograma de atividades e métodos de avaliação; 2. Definir estado nutricional, desnutrição, obesidade, caquexia e sarcopenia; 3. Identificar possíveis causas de desequilíbrios nutricionais; 4. Descrever objetivos e componentes da avaliação nutricional; 5. Contextualizar a avaliação do estado nutricional na prática profissional do nutricionista</w:t>
            </w:r>
            <w:r w:rsidR="00270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; 6.</w:t>
            </w:r>
            <w:r w:rsidR="0027089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Diferenciar triagem nutricional de avaliação nutricional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A0AA04C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Aula teórica expositiva dialogada.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4B450A3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894BD9" w:rsidRPr="00894BD9" w14:paraId="130BA889" w14:textId="77777777" w:rsidTr="0087225F">
        <w:trPr>
          <w:trHeight w:val="1676"/>
        </w:trPr>
        <w:tc>
          <w:tcPr>
            <w:tcW w:w="1093" w:type="dxa"/>
            <w:vMerge w:val="restart"/>
            <w:shd w:val="clear" w:color="auto" w:fill="auto"/>
            <w:vAlign w:val="center"/>
            <w:hideMark/>
          </w:tcPr>
          <w:p w14:paraId="3F3417DD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</w:t>
            </w:r>
            <w:proofErr w:type="spellStart"/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4C84542C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8h-12h</w:t>
            </w: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  <w:hideMark/>
          </w:tcPr>
          <w:p w14:paraId="0B9E027D" w14:textId="618C9778" w:rsidR="00894BD9" w:rsidRPr="00894BD9" w:rsidRDefault="005B1B88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2B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47D23B78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Triagem nutricional e Classificação dos níveis de atenção nutricional</w:t>
            </w:r>
          </w:p>
        </w:tc>
        <w:tc>
          <w:tcPr>
            <w:tcW w:w="5720" w:type="dxa"/>
            <w:vMerge w:val="restart"/>
            <w:shd w:val="clear" w:color="auto" w:fill="auto"/>
            <w:vAlign w:val="center"/>
            <w:hideMark/>
          </w:tcPr>
          <w:p w14:paraId="71D5A2F6" w14:textId="5D6F1C5A" w:rsidR="00894BD9" w:rsidRDefault="0027089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. Descrever objetivos, características e aplicação da triagem nutricional;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. Definir risco nutricional;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. Conhecer instrumentos de triagem nutricional e compreender suas aplicações;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. Conhecer a 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classificação dos níveis de atenção nutricional e compreender sua utilização</w:t>
            </w:r>
            <w:r w:rsidR="00D14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14:paraId="59251C11" w14:textId="77777777" w:rsidR="00D149A4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67403E10" w14:textId="55278DEE" w:rsidR="00D149A4" w:rsidRPr="00894BD9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Aplicar instrumentos de triagem nutricional em indivíduos adultos e idosos hospitalizados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14:paraId="0937E982" w14:textId="2474A873" w:rsidR="00D149A4" w:rsidRDefault="0050173F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Vídeo-aulas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14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(tarefa para casa)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 d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iscussão em pequenos grupos</w:t>
            </w:r>
            <w:r w:rsidR="006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D14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estudo dirigido (sala). </w:t>
            </w:r>
          </w:p>
          <w:p w14:paraId="16EDD9B2" w14:textId="77777777" w:rsidR="00D149A4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43245349" w14:textId="77777777" w:rsidR="00D149A4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112F79F2" w14:textId="77777777" w:rsidR="00D149A4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43F26BEB" w14:textId="19313E4B" w:rsidR="00894BD9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Aula Prática - </w:t>
            </w:r>
            <w:r w:rsidR="006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aplicações instrumentos de triagem e classificação níveis de atenção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(HC)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14:paraId="2699D2FE" w14:textId="0F517B43" w:rsidR="00D149A4" w:rsidRPr="00894BD9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14:paraId="76401251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Camila C. Japur</w:t>
            </w:r>
          </w:p>
        </w:tc>
      </w:tr>
      <w:tr w:rsidR="00894BD9" w:rsidRPr="00894BD9" w14:paraId="713E7159" w14:textId="77777777" w:rsidTr="0087225F">
        <w:trPr>
          <w:trHeight w:val="2340"/>
        </w:trPr>
        <w:tc>
          <w:tcPr>
            <w:tcW w:w="1093" w:type="dxa"/>
            <w:vMerge/>
            <w:vAlign w:val="center"/>
            <w:hideMark/>
          </w:tcPr>
          <w:p w14:paraId="414D5408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4E9D7C97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5" w:type="dxa"/>
            <w:gridSpan w:val="2"/>
            <w:vMerge/>
            <w:vAlign w:val="center"/>
            <w:hideMark/>
          </w:tcPr>
          <w:p w14:paraId="0AC183DA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14:paraId="3CEBF140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0" w:type="dxa"/>
            <w:vMerge/>
            <w:vAlign w:val="center"/>
            <w:hideMark/>
          </w:tcPr>
          <w:p w14:paraId="429300C9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14:paraId="1C920560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28E4EBFF" w14:textId="77777777" w:rsidR="00894BD9" w:rsidRPr="00894BD9" w:rsidRDefault="00894BD9" w:rsidP="00894B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BD9" w:rsidRPr="00894BD9" w14:paraId="37EF0140" w14:textId="77777777" w:rsidTr="0087225F">
        <w:trPr>
          <w:trHeight w:val="1275"/>
        </w:trPr>
        <w:tc>
          <w:tcPr>
            <w:tcW w:w="1093" w:type="dxa"/>
            <w:shd w:val="clear" w:color="auto" w:fill="auto"/>
            <w:vAlign w:val="center"/>
            <w:hideMark/>
          </w:tcPr>
          <w:p w14:paraId="038F49C3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</w:t>
            </w:r>
            <w:proofErr w:type="spellStart"/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B0D7D02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 – 18h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3F816DEC" w14:textId="3325C570" w:rsidR="00894BD9" w:rsidRPr="00894BD9" w:rsidRDefault="005B1B88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2B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362D96A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Triagem nutricional e Classificação dos níveis de atenção nutricional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23B99D0" w14:textId="25A32526" w:rsidR="00D149A4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D14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</w:t>
            </w: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lassificar</w:t>
            </w:r>
            <w:r w:rsidR="00D14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risco nutricional e</w:t>
            </w: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níveis de atenção nutricional</w:t>
            </w:r>
            <w:r w:rsidR="00D14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; 2. Discutir os resultados dos instrumentos.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388A664" w14:textId="04589225" w:rsidR="00894BD9" w:rsidRPr="00894BD9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</w:t>
            </w:r>
            <w:r w:rsidR="00894BD9"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iscussão dos casos em sala de aula.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C641E66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894BD9" w:rsidRPr="00894BD9" w14:paraId="58081C1E" w14:textId="77777777" w:rsidTr="0087225F">
        <w:trPr>
          <w:trHeight w:val="2685"/>
        </w:trPr>
        <w:tc>
          <w:tcPr>
            <w:tcW w:w="1093" w:type="dxa"/>
            <w:shd w:val="clear" w:color="000000" w:fill="FFFFFF"/>
            <w:vAlign w:val="center"/>
            <w:hideMark/>
          </w:tcPr>
          <w:p w14:paraId="670FD80D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</w:t>
            </w:r>
            <w:proofErr w:type="spellStart"/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5E068D3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8h-12h</w:t>
            </w:r>
          </w:p>
        </w:tc>
        <w:tc>
          <w:tcPr>
            <w:tcW w:w="2865" w:type="dxa"/>
            <w:gridSpan w:val="2"/>
            <w:shd w:val="clear" w:color="000000" w:fill="FFFFFF"/>
            <w:vAlign w:val="center"/>
            <w:hideMark/>
          </w:tcPr>
          <w:p w14:paraId="3173F389" w14:textId="7ADFABD4" w:rsidR="00894BD9" w:rsidRDefault="005041FC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2A</w:t>
            </w:r>
          </w:p>
          <w:p w14:paraId="6D225B63" w14:textId="53F1D7B7" w:rsidR="005041FC" w:rsidRPr="00894BD9" w:rsidRDefault="005041FC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</w:t>
            </w:r>
            <w:r w:rsidRPr="007737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pt-BR"/>
              </w:rPr>
              <w:t xml:space="preserve">atividade </w:t>
            </w:r>
            <w:r w:rsidR="00270899" w:rsidRPr="007737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pt-BR"/>
              </w:rPr>
              <w:t xml:space="preserve">avaliativa </w:t>
            </w:r>
            <w:r w:rsidRPr="007737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pt-BR"/>
              </w:rPr>
              <w:t>no Moodle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A18E504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Clínica (Anamnese Nutricional)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816B4A1" w14:textId="07D9301C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2708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Refletir sobre </w:t>
            </w: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atitudes e relação profissional-paciente;</w:t>
            </w: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2. Compreender as bases técnicas para uma entrevista com o paciente;</w:t>
            </w: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3. Entender o conceito, objetivos e utilidade da história clínica nutricional;</w:t>
            </w: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4. Conhecer os componentes da história clínica nutricional.                   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A1C46B9" w14:textId="77777777" w:rsidR="00D41970" w:rsidRPr="00773776" w:rsidRDefault="00D41970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Atividade não presencial:</w:t>
            </w:r>
          </w:p>
          <w:p w14:paraId="59D216ED" w14:textId="7F116193" w:rsidR="00894BD9" w:rsidRPr="00773776" w:rsidRDefault="00D41970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</w:t>
            </w:r>
            <w:r w:rsidR="00872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tir às</w:t>
            </w:r>
            <w:r w:rsidR="000B42B7"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 </w:t>
            </w:r>
            <w:proofErr w:type="spellStart"/>
            <w:r w:rsidR="000B42B7"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Vídeo-aula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</w:t>
            </w:r>
            <w:proofErr w:type="spellEnd"/>
            <w:r w:rsidR="000B42B7"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 </w:t>
            </w:r>
            <w:r w:rsidR="00894BD9"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filme Nise – o coração da loucura e relacionar com a prática do nutricionista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14:paraId="6BC65544" w14:textId="77777777" w:rsidR="00D41970" w:rsidRPr="00773776" w:rsidRDefault="00D41970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Atividade Moodle: questionário.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2C2035F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894BD9" w:rsidRPr="00894BD9" w14:paraId="1D5D4E7E" w14:textId="77777777" w:rsidTr="0087225F">
        <w:trPr>
          <w:trHeight w:val="1290"/>
        </w:trPr>
        <w:tc>
          <w:tcPr>
            <w:tcW w:w="1093" w:type="dxa"/>
            <w:shd w:val="clear" w:color="auto" w:fill="BFBFBF" w:themeFill="background1" w:themeFillShade="BF"/>
            <w:vAlign w:val="center"/>
            <w:hideMark/>
          </w:tcPr>
          <w:p w14:paraId="4A2B851D" w14:textId="77777777" w:rsid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</w:t>
            </w:r>
            <w:proofErr w:type="spellStart"/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  <w:p w14:paraId="029E77B0" w14:textId="0F68AA87" w:rsidR="00D41970" w:rsidRPr="00894BD9" w:rsidRDefault="00D41970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  <w:vAlign w:val="center"/>
            <w:hideMark/>
          </w:tcPr>
          <w:p w14:paraId="14625FBA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 – 12h</w:t>
            </w:r>
          </w:p>
        </w:tc>
        <w:tc>
          <w:tcPr>
            <w:tcW w:w="286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CFF0C4F" w14:textId="63D517D4" w:rsidR="00894BD9" w:rsidRPr="00894BD9" w:rsidRDefault="00D149A4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2B</w:t>
            </w:r>
          </w:p>
        </w:tc>
        <w:tc>
          <w:tcPr>
            <w:tcW w:w="1951" w:type="dxa"/>
            <w:shd w:val="clear" w:color="auto" w:fill="BFBFBF" w:themeFill="background1" w:themeFillShade="BF"/>
            <w:vAlign w:val="center"/>
            <w:hideMark/>
          </w:tcPr>
          <w:p w14:paraId="7F8803D8" w14:textId="21A2BB34" w:rsidR="00894BD9" w:rsidRPr="00773776" w:rsidRDefault="00773776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Avaliação Parcial + Devolutiva</w:t>
            </w:r>
            <w:r w:rsidRPr="007737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720" w:type="dxa"/>
            <w:shd w:val="clear" w:color="auto" w:fill="BFBFBF" w:themeFill="background1" w:themeFillShade="BF"/>
            <w:vAlign w:val="center"/>
            <w:hideMark/>
          </w:tcPr>
          <w:p w14:paraId="20086ACF" w14:textId="7AF46C1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  <w:vAlign w:val="center"/>
            <w:hideMark/>
          </w:tcPr>
          <w:p w14:paraId="7DF64C0E" w14:textId="39EBAEEE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  <w:hideMark/>
          </w:tcPr>
          <w:p w14:paraId="6CD0B283" w14:textId="77777777" w:rsidR="00894BD9" w:rsidRPr="00894BD9" w:rsidRDefault="00894BD9" w:rsidP="00894B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32A41EA1" w14:textId="77777777" w:rsidTr="0087225F">
        <w:trPr>
          <w:trHeight w:val="645"/>
        </w:trPr>
        <w:tc>
          <w:tcPr>
            <w:tcW w:w="1093" w:type="dxa"/>
            <w:shd w:val="clear" w:color="auto" w:fill="auto"/>
            <w:vAlign w:val="center"/>
            <w:hideMark/>
          </w:tcPr>
          <w:p w14:paraId="1F98F7D7" w14:textId="77777777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14/</w:t>
            </w:r>
            <w:proofErr w:type="spellStart"/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68B232" w14:textId="77777777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 – 18h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3CB93BD0" w14:textId="77777777" w:rsid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 – 16h -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2C /</w:t>
            </w:r>
          </w:p>
          <w:p w14:paraId="2D88FFC2" w14:textId="29387D9F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16h – 18h –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oratório de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ulação (1º andar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Multi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BC875E9" w14:textId="7FECC919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Clínica (Exame Físico Nutricional)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46073F0" w14:textId="1DBB0D30" w:rsidR="00773776" w:rsidRPr="00773776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Conhecer as técnicas do exame físico nutricional; 2. Treinar o exame físico nutricional em indivíduo saudável.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A3F81DB" w14:textId="77777777" w:rsid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Vídeo-aulas</w:t>
            </w:r>
            <w:proofErr w:type="spellEnd"/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Quiz interativo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14:paraId="134CA79D" w14:textId="4165694D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EC6FB50" w14:textId="3BCEC194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654C48FB" w14:textId="77777777" w:rsidTr="0087225F">
        <w:trPr>
          <w:trHeight w:val="1905"/>
        </w:trPr>
        <w:tc>
          <w:tcPr>
            <w:tcW w:w="1093" w:type="dxa"/>
            <w:shd w:val="clear" w:color="auto" w:fill="auto"/>
            <w:vAlign w:val="center"/>
            <w:hideMark/>
          </w:tcPr>
          <w:p w14:paraId="5D37D5FC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</w:t>
            </w:r>
            <w:proofErr w:type="spellStart"/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2191A09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8h-12h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7C536833" w14:textId="77777777" w:rsid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8h – 10h - Sala 2C / </w:t>
            </w:r>
          </w:p>
          <w:p w14:paraId="58089DEA" w14:textId="3FF02F4D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10h – 12h -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oratório de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ulação (1º andar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Multi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D9F0142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antropométrica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800265B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Conceituar antropometria; 2. Conhecer medidas e índices antropométricos e instrumentos para avaliação antropométrica; 3. Conhecer técnicas de avaliação antropométrica.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7A1BD95" w14:textId="77777777" w:rsid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Vídeo-aulas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14:paraId="78CC41AE" w14:textId="7994BC45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F009B22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78C77736" w14:textId="77777777" w:rsidTr="0087225F">
        <w:trPr>
          <w:trHeight w:val="315"/>
        </w:trPr>
        <w:tc>
          <w:tcPr>
            <w:tcW w:w="1093" w:type="dxa"/>
            <w:vMerge w:val="restart"/>
            <w:shd w:val="clear" w:color="auto" w:fill="auto"/>
            <w:vAlign w:val="center"/>
            <w:hideMark/>
          </w:tcPr>
          <w:p w14:paraId="3A98B906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</w:t>
            </w:r>
            <w:proofErr w:type="spellStart"/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0FFEEDFB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 – 18h</w:t>
            </w: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  <w:hideMark/>
          </w:tcPr>
          <w:p w14:paraId="41FC5EA5" w14:textId="7AEAB680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oratório de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ulação (1º andar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Multi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09C7BD15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antropométrica</w:t>
            </w:r>
          </w:p>
        </w:tc>
        <w:tc>
          <w:tcPr>
            <w:tcW w:w="5720" w:type="dxa"/>
            <w:vMerge w:val="restart"/>
            <w:shd w:val="clear" w:color="auto" w:fill="auto"/>
            <w:vAlign w:val="center"/>
            <w:hideMark/>
          </w:tcPr>
          <w:p w14:paraId="4EAD79A3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Estudar os locais de medição (pontos anatômicos) e aplicar as técnicas de avaliação antropométrica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de composição corporal.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14:paraId="70204617" w14:textId="70FB6C3A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Aula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</w:t>
            </w: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rática.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14:paraId="212DE56E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0205D03C" w14:textId="77777777" w:rsidTr="0087225F">
        <w:trPr>
          <w:trHeight w:val="930"/>
        </w:trPr>
        <w:tc>
          <w:tcPr>
            <w:tcW w:w="1093" w:type="dxa"/>
            <w:vMerge/>
            <w:vAlign w:val="center"/>
            <w:hideMark/>
          </w:tcPr>
          <w:p w14:paraId="1735530C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73BFB3B8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5" w:type="dxa"/>
            <w:gridSpan w:val="2"/>
            <w:vMerge/>
            <w:vAlign w:val="center"/>
            <w:hideMark/>
          </w:tcPr>
          <w:p w14:paraId="1C5E9B2C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14:paraId="7473AE3D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0" w:type="dxa"/>
            <w:vMerge/>
            <w:vAlign w:val="center"/>
            <w:hideMark/>
          </w:tcPr>
          <w:p w14:paraId="14F05066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14:paraId="624924CE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2B15E52E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73776" w:rsidRPr="00894BD9" w14:paraId="1BDD68F6" w14:textId="77777777" w:rsidTr="0087225F">
        <w:trPr>
          <w:trHeight w:val="930"/>
        </w:trPr>
        <w:tc>
          <w:tcPr>
            <w:tcW w:w="1093" w:type="dxa"/>
            <w:vMerge w:val="restart"/>
            <w:shd w:val="clear" w:color="auto" w:fill="auto"/>
            <w:vAlign w:val="center"/>
            <w:hideMark/>
          </w:tcPr>
          <w:p w14:paraId="34123BF4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11/set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3A92D549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 – 12h</w:t>
            </w: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  <w:hideMark/>
          </w:tcPr>
          <w:p w14:paraId="2E0D339A" w14:textId="14AF3FED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2B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4B816BDE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antropométrica</w:t>
            </w:r>
          </w:p>
        </w:tc>
        <w:tc>
          <w:tcPr>
            <w:tcW w:w="5720" w:type="dxa"/>
            <w:vMerge w:val="restart"/>
            <w:shd w:val="clear" w:color="auto" w:fill="auto"/>
            <w:vAlign w:val="center"/>
            <w:hideMark/>
          </w:tcPr>
          <w:p w14:paraId="3F140415" w14:textId="77777777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 Conhecer aplicações da antropometria na avaliação nutricional; 2. Interpretar resultados de avaliação antropométrica. 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14:paraId="7DED6AB3" w14:textId="340EE5D4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iscussão em pequenos grupos.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14:paraId="18234366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6CC7C748" w14:textId="77777777" w:rsidTr="0087225F">
        <w:trPr>
          <w:trHeight w:val="930"/>
        </w:trPr>
        <w:tc>
          <w:tcPr>
            <w:tcW w:w="1093" w:type="dxa"/>
            <w:vMerge/>
            <w:vAlign w:val="center"/>
            <w:hideMark/>
          </w:tcPr>
          <w:p w14:paraId="18107518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4A68D762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5" w:type="dxa"/>
            <w:gridSpan w:val="2"/>
            <w:vMerge/>
            <w:vAlign w:val="center"/>
            <w:hideMark/>
          </w:tcPr>
          <w:p w14:paraId="331BB740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14:paraId="4951D443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0" w:type="dxa"/>
            <w:vMerge/>
            <w:shd w:val="clear" w:color="auto" w:fill="auto"/>
            <w:vAlign w:val="center"/>
            <w:hideMark/>
          </w:tcPr>
          <w:p w14:paraId="6348E927" w14:textId="77777777" w:rsidR="00773776" w:rsidRPr="00773776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  <w:hideMark/>
          </w:tcPr>
          <w:p w14:paraId="7F255CB3" w14:textId="77777777" w:rsidR="00773776" w:rsidRPr="00773776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57622F92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73776" w:rsidRPr="00894BD9" w14:paraId="55DCA487" w14:textId="77777777" w:rsidTr="0087225F">
        <w:trPr>
          <w:trHeight w:val="1290"/>
        </w:trPr>
        <w:tc>
          <w:tcPr>
            <w:tcW w:w="1093" w:type="dxa"/>
            <w:shd w:val="clear" w:color="auto" w:fill="auto"/>
            <w:vAlign w:val="center"/>
            <w:hideMark/>
          </w:tcPr>
          <w:p w14:paraId="47350DCA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11/set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95EE94E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 – 18h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292936E5" w14:textId="55A3FDAA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D2BB5B3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da composição corporal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0E66AF3" w14:textId="77777777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Conhecer e interpretar resultados de avaliação da composição corporal por bioimpedância elétrica; 2. Conhecer métodos sofisticados de avaliação da composição corporal.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1C26B70" w14:textId="77777777" w:rsid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Vídeo-aulas</w:t>
            </w:r>
            <w:proofErr w:type="spellEnd"/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discussão em pequenos grupos.</w:t>
            </w:r>
          </w:p>
          <w:p w14:paraId="22A1945E" w14:textId="1094390D" w:rsidR="00773776" w:rsidRP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Aula teórica expositiva (Mariana)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BC59472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6B74F519" w14:textId="77777777" w:rsidTr="0087225F">
        <w:trPr>
          <w:trHeight w:val="930"/>
        </w:trPr>
        <w:tc>
          <w:tcPr>
            <w:tcW w:w="1093" w:type="dxa"/>
            <w:shd w:val="clear" w:color="000000" w:fill="D9D9D9"/>
            <w:vAlign w:val="center"/>
            <w:hideMark/>
          </w:tcPr>
          <w:p w14:paraId="0CA0BFB3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18/set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14:paraId="0DE7005C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 – 12h</w:t>
            </w:r>
          </w:p>
        </w:tc>
        <w:tc>
          <w:tcPr>
            <w:tcW w:w="2865" w:type="dxa"/>
            <w:gridSpan w:val="2"/>
            <w:shd w:val="clear" w:color="000000" w:fill="D9D9D9"/>
            <w:vAlign w:val="center"/>
            <w:hideMark/>
          </w:tcPr>
          <w:p w14:paraId="72058417" w14:textId="4B149172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oratório de </w:t>
            </w:r>
            <w:r w:rsidRPr="007737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ulação (1º andar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Multi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51" w:type="dxa"/>
            <w:shd w:val="clear" w:color="000000" w:fill="D9D9D9"/>
            <w:vAlign w:val="center"/>
            <w:hideMark/>
          </w:tcPr>
          <w:p w14:paraId="58A948CF" w14:textId="77777777" w:rsidR="00773776" w:rsidRPr="0087225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Avaliação Parcial + Devolutiva</w:t>
            </w:r>
          </w:p>
        </w:tc>
        <w:tc>
          <w:tcPr>
            <w:tcW w:w="5720" w:type="dxa"/>
            <w:shd w:val="clear" w:color="000000" w:fill="D9D9D9"/>
            <w:noWrap/>
            <w:vAlign w:val="bottom"/>
            <w:hideMark/>
          </w:tcPr>
          <w:p w14:paraId="715B211C" w14:textId="77777777" w:rsidR="00773776" w:rsidRPr="00894BD9" w:rsidRDefault="00773776" w:rsidP="0077377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shd w:val="clear" w:color="000000" w:fill="D9D9D9"/>
            <w:vAlign w:val="center"/>
            <w:hideMark/>
          </w:tcPr>
          <w:p w14:paraId="50122F4C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7" w:type="dxa"/>
            <w:shd w:val="clear" w:color="000000" w:fill="D9D9D9"/>
            <w:vAlign w:val="center"/>
            <w:hideMark/>
          </w:tcPr>
          <w:p w14:paraId="64AD67D3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2750658C" w14:textId="77777777" w:rsidTr="0087225F">
        <w:trPr>
          <w:trHeight w:val="1155"/>
        </w:trPr>
        <w:tc>
          <w:tcPr>
            <w:tcW w:w="1093" w:type="dxa"/>
            <w:shd w:val="clear" w:color="000000" w:fill="FFFFFF"/>
            <w:vAlign w:val="center"/>
            <w:hideMark/>
          </w:tcPr>
          <w:p w14:paraId="00EBAC0F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18/set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C34652F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 – 18h</w:t>
            </w:r>
          </w:p>
        </w:tc>
        <w:tc>
          <w:tcPr>
            <w:tcW w:w="2865" w:type="dxa"/>
            <w:gridSpan w:val="2"/>
            <w:shd w:val="clear" w:color="000000" w:fill="FFFFFF"/>
            <w:vAlign w:val="center"/>
            <w:hideMark/>
          </w:tcPr>
          <w:p w14:paraId="311A9C96" w14:textId="265D0F56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4F5E3B5" w14:textId="77777777" w:rsid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e Diagnóstico do Consumo Alimentar</w:t>
            </w:r>
          </w:p>
          <w:p w14:paraId="482D7FF4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928E62" w14:textId="77777777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1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Discutir métodos de avaliação do consumo alimentar; 2. Discutir diagnóstico do consumo alimentar.</w:t>
            </w:r>
          </w:p>
          <w:p w14:paraId="556CF7CD" w14:textId="77777777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06B6823" w14:textId="77777777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1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dos registros alimentares e discussão do diagnóstico alimentar.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14:paraId="4386D970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4EA49163" w14:textId="77777777" w:rsidTr="0087225F">
        <w:trPr>
          <w:trHeight w:val="930"/>
        </w:trPr>
        <w:tc>
          <w:tcPr>
            <w:tcW w:w="1093" w:type="dxa"/>
            <w:shd w:val="clear" w:color="auto" w:fill="auto"/>
            <w:vAlign w:val="center"/>
            <w:hideMark/>
          </w:tcPr>
          <w:p w14:paraId="525466C1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02/out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AF6CB1D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 – 12h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38DAD893" w14:textId="16EC98F0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2D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EB34C5B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bioquímica</w:t>
            </w:r>
          </w:p>
        </w:tc>
        <w:tc>
          <w:tcPr>
            <w:tcW w:w="5720" w:type="dxa"/>
            <w:shd w:val="clear" w:color="000000" w:fill="FFFFFF"/>
            <w:vAlign w:val="center"/>
            <w:hideMark/>
          </w:tcPr>
          <w:p w14:paraId="7F850770" w14:textId="77777777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2D7B3F5C" w14:textId="77777777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1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Conhecer os indicadores bioquímicos aplicados à avaliação do estado nutricional: vantagens, limitações e aplicações.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C3A8702" w14:textId="3652A31E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Leitura prévia – apostila exames bioquímicos. </w:t>
            </w:r>
            <w:r w:rsidRPr="00501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Discussão de casos clínicos.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C5A48B9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72DF6F60" w14:textId="77777777" w:rsidTr="0087225F">
        <w:trPr>
          <w:trHeight w:val="1725"/>
        </w:trPr>
        <w:tc>
          <w:tcPr>
            <w:tcW w:w="1093" w:type="dxa"/>
            <w:shd w:val="clear" w:color="auto" w:fill="auto"/>
            <w:vAlign w:val="center"/>
            <w:hideMark/>
          </w:tcPr>
          <w:p w14:paraId="1A6A54F0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02/out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C494A15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14:00 - 18:00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22AC1219" w14:textId="4EFAD4DB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E3F1655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Diagnóstico Nutricional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5489F23" w14:textId="77777777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1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Conceituar diagnóstico nutricional; 2. Descrever os componentes do diagnóstico nutricional; 3. Conhecer diagnósticos de nutrição padronizados; 4. Definir o processo de cuidado em nutrição (avaliação, diagnóstico, intervenção e monitoramento).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0D463B2" w14:textId="77777777" w:rsidR="00773776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Vídeo- aula. </w:t>
            </w:r>
          </w:p>
          <w:p w14:paraId="1E0DB68B" w14:textId="52BB2702" w:rsidR="00773776" w:rsidRPr="0050173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1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Discussão de casos clínicos.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0F20A826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  <w:tr w:rsidR="00773776" w:rsidRPr="00894BD9" w14:paraId="75722A6B" w14:textId="77777777" w:rsidTr="0087225F">
        <w:trPr>
          <w:trHeight w:val="930"/>
        </w:trPr>
        <w:tc>
          <w:tcPr>
            <w:tcW w:w="1093" w:type="dxa"/>
            <w:shd w:val="clear" w:color="000000" w:fill="C0C0C0"/>
            <w:vAlign w:val="center"/>
            <w:hideMark/>
          </w:tcPr>
          <w:p w14:paraId="00C0B136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09/out</w:t>
            </w:r>
          </w:p>
        </w:tc>
        <w:tc>
          <w:tcPr>
            <w:tcW w:w="899" w:type="dxa"/>
            <w:shd w:val="clear" w:color="000000" w:fill="C0C0C0"/>
            <w:vAlign w:val="center"/>
            <w:hideMark/>
          </w:tcPr>
          <w:p w14:paraId="7B5B177D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14:00 - 18:00</w:t>
            </w:r>
          </w:p>
        </w:tc>
        <w:tc>
          <w:tcPr>
            <w:tcW w:w="2865" w:type="dxa"/>
            <w:gridSpan w:val="2"/>
            <w:shd w:val="clear" w:color="000000" w:fill="C0C0C0"/>
            <w:vAlign w:val="center"/>
            <w:hideMark/>
          </w:tcPr>
          <w:p w14:paraId="70A1236C" w14:textId="770EE93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Sala 2B</w:t>
            </w:r>
          </w:p>
        </w:tc>
        <w:tc>
          <w:tcPr>
            <w:tcW w:w="1951" w:type="dxa"/>
            <w:shd w:val="clear" w:color="000000" w:fill="C0C0C0"/>
            <w:vAlign w:val="center"/>
            <w:hideMark/>
          </w:tcPr>
          <w:p w14:paraId="70D8EC21" w14:textId="77777777" w:rsidR="00773776" w:rsidRPr="0087225F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Avaliação Final + Devolutiva</w:t>
            </w:r>
          </w:p>
        </w:tc>
        <w:tc>
          <w:tcPr>
            <w:tcW w:w="5720" w:type="dxa"/>
            <w:shd w:val="clear" w:color="000000" w:fill="C0C0C0"/>
            <w:vAlign w:val="center"/>
            <w:hideMark/>
          </w:tcPr>
          <w:p w14:paraId="4CE79E9B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80" w:type="dxa"/>
            <w:shd w:val="clear" w:color="000000" w:fill="C0C0C0"/>
            <w:vAlign w:val="center"/>
            <w:hideMark/>
          </w:tcPr>
          <w:p w14:paraId="6CBC7A72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7" w:type="dxa"/>
            <w:shd w:val="clear" w:color="000000" w:fill="C0C0C0"/>
            <w:vAlign w:val="center"/>
            <w:hideMark/>
          </w:tcPr>
          <w:p w14:paraId="15B254F6" w14:textId="77777777" w:rsidR="00773776" w:rsidRPr="00894BD9" w:rsidRDefault="00773776" w:rsidP="0077377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94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C. Japur</w:t>
            </w:r>
          </w:p>
        </w:tc>
      </w:tr>
    </w:tbl>
    <w:p w14:paraId="37D24EE5" w14:textId="77777777" w:rsidR="00AE7B78" w:rsidRDefault="00AE7B78" w:rsidP="008548FA">
      <w:pPr>
        <w:tabs>
          <w:tab w:val="left" w:pos="8100"/>
        </w:tabs>
        <w:rPr>
          <w:b/>
        </w:rPr>
      </w:pPr>
    </w:p>
    <w:p w14:paraId="1A298322" w14:textId="77777777" w:rsidR="008548FA" w:rsidRDefault="008548FA" w:rsidP="008548FA">
      <w:pPr>
        <w:tabs>
          <w:tab w:val="left" w:pos="8100"/>
        </w:tabs>
        <w:rPr>
          <w:b/>
        </w:rPr>
      </w:pPr>
    </w:p>
    <w:p w14:paraId="45985DF5" w14:textId="77777777" w:rsidR="000706C8" w:rsidRDefault="0003153A">
      <w:pPr>
        <w:rPr>
          <w:b/>
        </w:rPr>
      </w:pPr>
      <w:r>
        <w:rPr>
          <w:b/>
        </w:rPr>
        <w:t>REFERÊNCIAS para leitura:</w:t>
      </w:r>
    </w:p>
    <w:p w14:paraId="01595919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t xml:space="preserve">ADA. </w:t>
      </w:r>
      <w:r w:rsidRPr="004B2578">
        <w:rPr>
          <w:lang w:val="en-US"/>
        </w:rPr>
        <w:t>Identifying patients at risk: ADA's definitions for nutrition screening and nutrition assessment. J Am Diet Assoc 1994; 94(8):838-839.</w:t>
      </w:r>
    </w:p>
    <w:p w14:paraId="5BBBC66F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t xml:space="preserve">ASBRAN. Manual Orientativo: Sistematização do Cuidado de Nutrição / [organizado pela] AssociaçãoBrasileira de Nutrição; organizadora: Marcia </w:t>
      </w:r>
      <w:proofErr w:type="spellStart"/>
      <w:r w:rsidRPr="004B2578">
        <w:t>Samia</w:t>
      </w:r>
      <w:proofErr w:type="spellEnd"/>
      <w:r w:rsidRPr="004B2578">
        <w:t xml:space="preserve"> Pinheiro </w:t>
      </w:r>
      <w:proofErr w:type="spellStart"/>
      <w:r w:rsidRPr="004B2578">
        <w:t>Fidelix</w:t>
      </w:r>
      <w:proofErr w:type="spellEnd"/>
      <w:r w:rsidRPr="004B2578">
        <w:t>. – São Paulo: Associação Brasileira de Nutrição, 2014.</w:t>
      </w:r>
    </w:p>
    <w:p w14:paraId="4DB86C90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proofErr w:type="spellStart"/>
      <w:r w:rsidRPr="004B2578">
        <w:t>Arends</w:t>
      </w:r>
      <w:proofErr w:type="spellEnd"/>
      <w:r w:rsidRPr="004B2578">
        <w:t xml:space="preserve"> et al. </w:t>
      </w:r>
      <w:r w:rsidRPr="004B2578">
        <w:rPr>
          <w:lang w:val="en-US"/>
        </w:rPr>
        <w:t xml:space="preserve">ESPEN expert group recommendations for action against cancer-related malnutrition. </w:t>
      </w:r>
      <w:r w:rsidRPr="004B2578">
        <w:t>Clinical Nutrition 2017; 36(5):1187-1196.</w:t>
      </w:r>
    </w:p>
    <w:p w14:paraId="3729A642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rPr>
          <w:lang w:val="en-US"/>
        </w:rPr>
        <w:t xml:space="preserve">Cederholm et al. ESPEN guidelines on definitions and terminology of clinical nutrition. Clinical Nutrition 2017:36:49-64. </w:t>
      </w:r>
      <w:bookmarkStart w:id="0" w:name="_GoBack"/>
      <w:bookmarkEnd w:id="0"/>
    </w:p>
    <w:p w14:paraId="53DBF290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proofErr w:type="spellStart"/>
      <w:r w:rsidRPr="004B2578">
        <w:lastRenderedPageBreak/>
        <w:t>Kodrup</w:t>
      </w:r>
      <w:proofErr w:type="spellEnd"/>
      <w:r w:rsidRPr="004B2578">
        <w:t xml:space="preserve"> et al. ESPEN </w:t>
      </w:r>
      <w:proofErr w:type="spellStart"/>
      <w:r w:rsidRPr="004B2578">
        <w:t>Guidelines</w:t>
      </w:r>
      <w:proofErr w:type="spellEnd"/>
      <w:r w:rsidRPr="004B2578">
        <w:t xml:space="preserve"> for Nutrition </w:t>
      </w:r>
      <w:proofErr w:type="spellStart"/>
      <w:r w:rsidRPr="004B2578">
        <w:t>Screening</w:t>
      </w:r>
      <w:proofErr w:type="spellEnd"/>
      <w:r w:rsidRPr="004B2578">
        <w:t xml:space="preserve"> 2002. Clinical Nutrition 2003;22(4):415–421.</w:t>
      </w:r>
    </w:p>
    <w:p w14:paraId="37F56E2E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rPr>
          <w:lang w:val="en-US"/>
        </w:rPr>
        <w:t xml:space="preserve">Report of the European Working Group on Sarcopenia in Older People. </w:t>
      </w:r>
      <w:r w:rsidRPr="004B2578">
        <w:t xml:space="preserve">Sarcopenia: </w:t>
      </w:r>
      <w:proofErr w:type="spellStart"/>
      <w:r w:rsidRPr="004B2578">
        <w:t>European</w:t>
      </w:r>
      <w:proofErr w:type="spellEnd"/>
      <w:r w:rsidRPr="004B2578">
        <w:t xml:space="preserve"> consensus on </w:t>
      </w:r>
      <w:proofErr w:type="spellStart"/>
      <w:r w:rsidRPr="004B2578">
        <w:t>definition</w:t>
      </w:r>
      <w:proofErr w:type="spellEnd"/>
      <w:r w:rsidRPr="004B2578">
        <w:t xml:space="preserve"> </w:t>
      </w:r>
      <w:proofErr w:type="spellStart"/>
      <w:r w:rsidRPr="004B2578">
        <w:t>and</w:t>
      </w:r>
      <w:proofErr w:type="spellEnd"/>
      <w:r w:rsidRPr="004B2578">
        <w:t xml:space="preserve"> </w:t>
      </w:r>
      <w:proofErr w:type="spellStart"/>
      <w:r w:rsidRPr="004B2578">
        <w:t>diagnosis</w:t>
      </w:r>
      <w:proofErr w:type="spellEnd"/>
      <w:r w:rsidRPr="004B2578">
        <w:t xml:space="preserve">. </w:t>
      </w:r>
      <w:r w:rsidRPr="004B2578">
        <w:rPr>
          <w:lang w:val="en-US"/>
        </w:rPr>
        <w:t>Age and Ageing 2010; 39: 412–423</w:t>
      </w:r>
    </w:p>
    <w:p w14:paraId="5D90BBD1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t>Resolução CFN nº 600, de 25 de fevereiro de 2018. Dispõe sobre a definição das áreas de atuação do nutricionista e suas atribuições, indica parâmetros numéricos mínimos de referência, por área de atuação, para a efetividade dos serviços prestados à sociedade e dá outras providências.</w:t>
      </w:r>
    </w:p>
    <w:p w14:paraId="14822A5A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proofErr w:type="spellStart"/>
      <w:r w:rsidRPr="004B2578">
        <w:t>Lohmann</w:t>
      </w:r>
      <w:proofErr w:type="spellEnd"/>
      <w:r w:rsidRPr="004B2578">
        <w:t xml:space="preserve"> TG, Roche AF, </w:t>
      </w:r>
      <w:proofErr w:type="spellStart"/>
      <w:r w:rsidRPr="004B2578">
        <w:t>Martorell</w:t>
      </w:r>
      <w:proofErr w:type="spellEnd"/>
      <w:r w:rsidRPr="004B2578">
        <w:t xml:space="preserve"> R. </w:t>
      </w:r>
      <w:proofErr w:type="spellStart"/>
      <w:r w:rsidRPr="004B2578">
        <w:t>Anthropometric</w:t>
      </w:r>
      <w:proofErr w:type="spellEnd"/>
      <w:r w:rsidRPr="004B2578">
        <w:t xml:space="preserve"> </w:t>
      </w:r>
      <w:proofErr w:type="spellStart"/>
      <w:r w:rsidRPr="004B2578">
        <w:t>standardization</w:t>
      </w:r>
      <w:proofErr w:type="spellEnd"/>
      <w:r w:rsidRPr="004B2578">
        <w:t xml:space="preserve"> </w:t>
      </w:r>
      <w:proofErr w:type="spellStart"/>
      <w:r w:rsidRPr="004B2578">
        <w:t>reference</w:t>
      </w:r>
      <w:proofErr w:type="spellEnd"/>
      <w:r w:rsidRPr="004B2578">
        <w:t xml:space="preserve"> manual. 1988.</w:t>
      </w:r>
    </w:p>
    <w:p w14:paraId="609F87F9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rPr>
          <w:lang w:val="en-US"/>
        </w:rPr>
        <w:t xml:space="preserve">Jackson, AS &amp; Pollock, ML. Generalized equations for predicting body density of </w:t>
      </w:r>
      <w:proofErr w:type="spellStart"/>
      <w:r w:rsidRPr="004B2578">
        <w:t>men</w:t>
      </w:r>
      <w:proofErr w:type="spellEnd"/>
      <w:r w:rsidRPr="004B2578">
        <w:t xml:space="preserve">. </w:t>
      </w:r>
      <w:r w:rsidRPr="004B2578">
        <w:rPr>
          <w:bCs/>
        </w:rPr>
        <w:t>Br. Jr. Nutr</w:t>
      </w:r>
      <w:r w:rsidRPr="004B2578">
        <w:t>., v.40, p.497-504, 1978.</w:t>
      </w:r>
    </w:p>
    <w:p w14:paraId="63304E05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rPr>
          <w:lang w:val="en-US"/>
        </w:rPr>
        <w:t xml:space="preserve">Jackson, AS; Pollock, ML &amp; WARD, </w:t>
      </w:r>
      <w:proofErr w:type="gramStart"/>
      <w:r w:rsidRPr="004B2578">
        <w:rPr>
          <w:lang w:val="en-US"/>
        </w:rPr>
        <w:t>A..</w:t>
      </w:r>
      <w:proofErr w:type="gramEnd"/>
      <w:r w:rsidRPr="004B2578">
        <w:rPr>
          <w:lang w:val="en-US"/>
        </w:rPr>
        <w:t xml:space="preserve"> Generalized equations for predicting body density of women. </w:t>
      </w:r>
      <w:r w:rsidRPr="004B2578">
        <w:rPr>
          <w:bCs/>
          <w:lang w:val="en-US"/>
        </w:rPr>
        <w:t xml:space="preserve">Med. Sci. Sports </w:t>
      </w:r>
      <w:proofErr w:type="spellStart"/>
      <w:r w:rsidRPr="004B2578">
        <w:rPr>
          <w:bCs/>
          <w:lang w:val="en-US"/>
        </w:rPr>
        <w:t>Exerc</w:t>
      </w:r>
      <w:proofErr w:type="spellEnd"/>
      <w:r w:rsidRPr="004B2578">
        <w:rPr>
          <w:lang w:val="en-US"/>
        </w:rPr>
        <w:t>., v.12 (3), p.175-182, 1980.</w:t>
      </w:r>
    </w:p>
    <w:p w14:paraId="4F2E0B9A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rPr>
          <w:lang w:val="en-US"/>
        </w:rPr>
        <w:t xml:space="preserve">Siri, WE. Body composition from fluid spaces and density: analysis of methods. In: </w:t>
      </w:r>
      <w:r w:rsidRPr="004B2578">
        <w:rPr>
          <w:bCs/>
          <w:lang w:val="en-US"/>
        </w:rPr>
        <w:t>Techniques for measuring body composition</w:t>
      </w:r>
      <w:r w:rsidRPr="004B2578">
        <w:rPr>
          <w:lang w:val="en-US"/>
        </w:rPr>
        <w:t xml:space="preserve">. J. </w:t>
      </w:r>
      <w:proofErr w:type="spellStart"/>
      <w:r w:rsidRPr="004B2578">
        <w:rPr>
          <w:lang w:val="en-US"/>
        </w:rPr>
        <w:t>Brozek</w:t>
      </w:r>
      <w:proofErr w:type="spellEnd"/>
      <w:r w:rsidRPr="004B2578">
        <w:rPr>
          <w:lang w:val="en-US"/>
        </w:rPr>
        <w:t xml:space="preserve"> and A. Henschel (Eds). Washington, DC: National Academy of Sciences, 1961, p. 223-244.</w:t>
      </w:r>
    </w:p>
    <w:p w14:paraId="34800177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t xml:space="preserve">Lee RC et al. </w:t>
      </w:r>
      <w:r w:rsidRPr="004B2578">
        <w:rPr>
          <w:bCs/>
        </w:rPr>
        <w:t>Total-</w:t>
      </w:r>
      <w:proofErr w:type="spellStart"/>
      <w:r w:rsidRPr="004B2578">
        <w:rPr>
          <w:bCs/>
        </w:rPr>
        <w:t>body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skeletal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muscle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mass</w:t>
      </w:r>
      <w:proofErr w:type="spellEnd"/>
      <w:r w:rsidRPr="004B2578">
        <w:rPr>
          <w:bCs/>
        </w:rPr>
        <w:t xml:space="preserve">: </w:t>
      </w:r>
      <w:proofErr w:type="spellStart"/>
      <w:r w:rsidRPr="004B2578">
        <w:rPr>
          <w:bCs/>
        </w:rPr>
        <w:t>development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and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cross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validation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of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anthropometric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prediction</w:t>
      </w:r>
      <w:proofErr w:type="spellEnd"/>
      <w:r w:rsidRPr="004B2578">
        <w:rPr>
          <w:bCs/>
        </w:rPr>
        <w:t xml:space="preserve"> </w:t>
      </w:r>
      <w:proofErr w:type="spellStart"/>
      <w:r w:rsidRPr="004B2578">
        <w:rPr>
          <w:bCs/>
        </w:rPr>
        <w:t>models</w:t>
      </w:r>
      <w:proofErr w:type="spellEnd"/>
      <w:r w:rsidRPr="004B2578">
        <w:rPr>
          <w:bCs/>
        </w:rPr>
        <w:t xml:space="preserve">. </w:t>
      </w:r>
      <w:proofErr w:type="spellStart"/>
      <w:r w:rsidRPr="004B2578">
        <w:t>Am</w:t>
      </w:r>
      <w:proofErr w:type="spellEnd"/>
      <w:r w:rsidRPr="004B2578">
        <w:t xml:space="preserve"> J </w:t>
      </w:r>
      <w:proofErr w:type="spellStart"/>
      <w:r w:rsidRPr="004B2578">
        <w:t>Clin</w:t>
      </w:r>
      <w:proofErr w:type="spellEnd"/>
      <w:r w:rsidRPr="004B2578">
        <w:t xml:space="preserve"> </w:t>
      </w:r>
      <w:proofErr w:type="spellStart"/>
      <w:r w:rsidRPr="004B2578">
        <w:t>Nutr</w:t>
      </w:r>
      <w:proofErr w:type="spellEnd"/>
      <w:r w:rsidRPr="004B2578">
        <w:t xml:space="preserve"> </w:t>
      </w:r>
      <w:proofErr w:type="gramStart"/>
      <w:r w:rsidRPr="004B2578">
        <w:t>2000;72:796</w:t>
      </w:r>
      <w:proofErr w:type="gramEnd"/>
      <w:r w:rsidRPr="004B2578">
        <w:t>-803.</w:t>
      </w:r>
    </w:p>
    <w:p w14:paraId="2DC50900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rPr>
          <w:lang w:val="en-US"/>
        </w:rPr>
        <w:t xml:space="preserve">Segal KR et. al. Lean body mass estimation by </w:t>
      </w:r>
      <w:proofErr w:type="spellStart"/>
      <w:r w:rsidRPr="004B2578">
        <w:rPr>
          <w:lang w:val="en-US"/>
        </w:rPr>
        <w:t>biolectrical</w:t>
      </w:r>
      <w:proofErr w:type="spellEnd"/>
      <w:r w:rsidRPr="004B2578">
        <w:rPr>
          <w:lang w:val="en-US"/>
        </w:rPr>
        <w:t xml:space="preserve"> impedance analysis: a four-site cross-validation study. </w:t>
      </w:r>
      <w:r w:rsidRPr="004B2578">
        <w:rPr>
          <w:bCs/>
          <w:lang w:val="en-US"/>
        </w:rPr>
        <w:t xml:space="preserve">Am J Clin </w:t>
      </w:r>
      <w:proofErr w:type="spellStart"/>
      <w:r w:rsidRPr="004B2578">
        <w:rPr>
          <w:bCs/>
          <w:lang w:val="en-US"/>
        </w:rPr>
        <w:t>Nutr</w:t>
      </w:r>
      <w:proofErr w:type="spellEnd"/>
      <w:r w:rsidRPr="004B2578">
        <w:rPr>
          <w:bCs/>
          <w:lang w:val="en-US"/>
        </w:rPr>
        <w:t xml:space="preserve">. </w:t>
      </w:r>
      <w:r w:rsidRPr="004B2578">
        <w:rPr>
          <w:lang w:val="en-US"/>
        </w:rPr>
        <w:t>47:7-14, 1988.</w:t>
      </w:r>
    </w:p>
    <w:p w14:paraId="7AF70583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proofErr w:type="spellStart"/>
      <w:r w:rsidRPr="004B2578">
        <w:rPr>
          <w:lang w:val="en-US"/>
        </w:rPr>
        <w:t>Janssenn</w:t>
      </w:r>
      <w:proofErr w:type="spellEnd"/>
      <w:r w:rsidRPr="004B2578">
        <w:rPr>
          <w:lang w:val="en-US"/>
        </w:rPr>
        <w:t xml:space="preserve"> et al. Estimation of skeletal muscle mass by bioelectrical impedance </w:t>
      </w:r>
      <w:proofErr w:type="spellStart"/>
      <w:r w:rsidRPr="004B2578">
        <w:t>analysis</w:t>
      </w:r>
      <w:proofErr w:type="spellEnd"/>
      <w:r w:rsidRPr="004B2578">
        <w:t xml:space="preserve">, </w:t>
      </w:r>
      <w:r w:rsidRPr="004B2578">
        <w:rPr>
          <w:bCs/>
        </w:rPr>
        <w:t xml:space="preserve">J. </w:t>
      </w:r>
      <w:proofErr w:type="spellStart"/>
      <w:r w:rsidRPr="004B2578">
        <w:rPr>
          <w:bCs/>
        </w:rPr>
        <w:t>Appl</w:t>
      </w:r>
      <w:proofErr w:type="spellEnd"/>
      <w:r w:rsidRPr="004B2578">
        <w:rPr>
          <w:bCs/>
        </w:rPr>
        <w:t xml:space="preserve">. </w:t>
      </w:r>
      <w:proofErr w:type="spellStart"/>
      <w:r w:rsidRPr="004B2578">
        <w:rPr>
          <w:bCs/>
        </w:rPr>
        <w:t>Physiol</w:t>
      </w:r>
      <w:proofErr w:type="spellEnd"/>
      <w:r w:rsidRPr="004B2578">
        <w:t>., v.89:465-471, 2000.</w:t>
      </w:r>
    </w:p>
    <w:p w14:paraId="719B5B7D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t xml:space="preserve">Norman K, </w:t>
      </w:r>
      <w:proofErr w:type="spellStart"/>
      <w:r w:rsidRPr="004B2578">
        <w:t>Stobäus</w:t>
      </w:r>
      <w:proofErr w:type="spellEnd"/>
      <w:r w:rsidRPr="004B2578">
        <w:t xml:space="preserve"> N, </w:t>
      </w:r>
      <w:proofErr w:type="spellStart"/>
      <w:r w:rsidRPr="004B2578">
        <w:t>Pirlich</w:t>
      </w:r>
      <w:proofErr w:type="spellEnd"/>
      <w:r w:rsidRPr="004B2578">
        <w:t xml:space="preserve"> M, </w:t>
      </w:r>
      <w:proofErr w:type="spellStart"/>
      <w:r w:rsidRPr="004B2578">
        <w:t>Bosy-Westphal</w:t>
      </w:r>
      <w:proofErr w:type="spellEnd"/>
      <w:r w:rsidRPr="004B2578">
        <w:t xml:space="preserve"> A. </w:t>
      </w:r>
      <w:proofErr w:type="spellStart"/>
      <w:r w:rsidRPr="004B2578">
        <w:t>Bioelectrical</w:t>
      </w:r>
      <w:proofErr w:type="spellEnd"/>
      <w:r w:rsidRPr="004B2578">
        <w:t xml:space="preserve"> </w:t>
      </w:r>
      <w:proofErr w:type="spellStart"/>
      <w:r w:rsidRPr="004B2578">
        <w:t>phase</w:t>
      </w:r>
      <w:proofErr w:type="spellEnd"/>
      <w:r w:rsidRPr="004B2578">
        <w:t xml:space="preserve"> </w:t>
      </w:r>
      <w:proofErr w:type="spellStart"/>
      <w:r w:rsidRPr="004B2578">
        <w:t>angle</w:t>
      </w:r>
      <w:proofErr w:type="spellEnd"/>
      <w:r w:rsidRPr="004B2578">
        <w:t xml:space="preserve"> </w:t>
      </w:r>
      <w:proofErr w:type="spellStart"/>
      <w:r w:rsidRPr="004B2578">
        <w:t>and</w:t>
      </w:r>
      <w:proofErr w:type="spellEnd"/>
      <w:r w:rsidRPr="004B2578">
        <w:t xml:space="preserve"> </w:t>
      </w:r>
      <w:proofErr w:type="spellStart"/>
      <w:r w:rsidRPr="004B2578">
        <w:t>impedance</w:t>
      </w:r>
      <w:proofErr w:type="spellEnd"/>
      <w:r w:rsidRPr="004B2578">
        <w:t xml:space="preserve"> vector </w:t>
      </w:r>
      <w:proofErr w:type="spellStart"/>
      <w:r w:rsidRPr="004B2578">
        <w:t>analysis</w:t>
      </w:r>
      <w:proofErr w:type="spellEnd"/>
      <w:r w:rsidRPr="004B2578">
        <w:t>:</w:t>
      </w:r>
      <w:r w:rsidRPr="004B2578">
        <w:rPr>
          <w:lang w:val="en-US"/>
        </w:rPr>
        <w:t xml:space="preserve"> Clinical relevance and applicability of impedance parameters. Clinical Nutrition, 31: 854e861, 2012.</w:t>
      </w:r>
    </w:p>
    <w:p w14:paraId="7011AFA3" w14:textId="77777777" w:rsidR="004B2578" w:rsidRPr="004B2578" w:rsidRDefault="004B2578" w:rsidP="004B2578">
      <w:pPr>
        <w:numPr>
          <w:ilvl w:val="0"/>
          <w:numId w:val="3"/>
        </w:numPr>
        <w:spacing w:line="240" w:lineRule="auto"/>
        <w:jc w:val="both"/>
      </w:pPr>
      <w:r w:rsidRPr="004B2578">
        <w:t xml:space="preserve">Martins C. Avaliação do estado nutricional e diagnóstico. 1 ed. Curitiba: </w:t>
      </w:r>
      <w:proofErr w:type="spellStart"/>
      <w:r w:rsidRPr="004B2578">
        <w:t>Nutroclínica</w:t>
      </w:r>
      <w:proofErr w:type="spellEnd"/>
      <w:r w:rsidRPr="004B2578">
        <w:t>, 2008.</w:t>
      </w:r>
    </w:p>
    <w:sectPr w:rsidR="004B2578" w:rsidRPr="004B2578" w:rsidSect="0003153A">
      <w:headerReference w:type="default" r:id="rId7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55DE" w14:textId="77777777" w:rsidR="00455157" w:rsidRDefault="00455157">
      <w:pPr>
        <w:spacing w:after="0" w:line="240" w:lineRule="auto"/>
      </w:pPr>
      <w:r>
        <w:separator/>
      </w:r>
    </w:p>
  </w:endnote>
  <w:endnote w:type="continuationSeparator" w:id="0">
    <w:p w14:paraId="2B4E78F0" w14:textId="77777777" w:rsidR="00455157" w:rsidRDefault="0045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8C9B" w14:textId="77777777" w:rsidR="00455157" w:rsidRDefault="00455157">
      <w:pPr>
        <w:spacing w:after="0" w:line="240" w:lineRule="auto"/>
      </w:pPr>
      <w:r>
        <w:separator/>
      </w:r>
    </w:p>
  </w:footnote>
  <w:footnote w:type="continuationSeparator" w:id="0">
    <w:p w14:paraId="154ECD67" w14:textId="77777777" w:rsidR="00455157" w:rsidRDefault="0045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4311" w14:textId="77777777" w:rsidR="000706C8" w:rsidRPr="0003153A" w:rsidRDefault="000706C8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7B6"/>
    <w:multiLevelType w:val="hybridMultilevel"/>
    <w:tmpl w:val="5B8454F0"/>
    <w:lvl w:ilvl="0" w:tplc="00D8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C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CB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27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0B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E1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E4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2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AC2459"/>
    <w:multiLevelType w:val="hybridMultilevel"/>
    <w:tmpl w:val="5E1025C0"/>
    <w:lvl w:ilvl="0" w:tplc="843E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A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9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E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65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86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0A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ED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8F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C706D"/>
    <w:multiLevelType w:val="hybridMultilevel"/>
    <w:tmpl w:val="C2F4B09E"/>
    <w:lvl w:ilvl="0" w:tplc="4E82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C4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88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E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84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83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2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A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25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D7195C"/>
    <w:multiLevelType w:val="hybridMultilevel"/>
    <w:tmpl w:val="27F2BD92"/>
    <w:lvl w:ilvl="0" w:tplc="2C2C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20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C4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A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4F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03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2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EE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40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F5EC2"/>
    <w:multiLevelType w:val="hybridMultilevel"/>
    <w:tmpl w:val="EDF80304"/>
    <w:lvl w:ilvl="0" w:tplc="18A6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2D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C1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E2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03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88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A7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D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A6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8"/>
    <w:rsid w:val="0003153A"/>
    <w:rsid w:val="00065C10"/>
    <w:rsid w:val="000706C8"/>
    <w:rsid w:val="000B42B7"/>
    <w:rsid w:val="000D5CF8"/>
    <w:rsid w:val="000F2910"/>
    <w:rsid w:val="00151C2A"/>
    <w:rsid w:val="00186B08"/>
    <w:rsid w:val="00195523"/>
    <w:rsid w:val="001B2297"/>
    <w:rsid w:val="002576EC"/>
    <w:rsid w:val="00270899"/>
    <w:rsid w:val="002A6448"/>
    <w:rsid w:val="002F5FC5"/>
    <w:rsid w:val="00303548"/>
    <w:rsid w:val="003D3FAC"/>
    <w:rsid w:val="003E07AC"/>
    <w:rsid w:val="004024C1"/>
    <w:rsid w:val="004230F5"/>
    <w:rsid w:val="00444308"/>
    <w:rsid w:val="0044796A"/>
    <w:rsid w:val="00455157"/>
    <w:rsid w:val="004A526F"/>
    <w:rsid w:val="004B2578"/>
    <w:rsid w:val="004F02C6"/>
    <w:rsid w:val="0050173F"/>
    <w:rsid w:val="005041FC"/>
    <w:rsid w:val="00530811"/>
    <w:rsid w:val="00587BFA"/>
    <w:rsid w:val="00597D35"/>
    <w:rsid w:val="005A067C"/>
    <w:rsid w:val="005B1B88"/>
    <w:rsid w:val="00630183"/>
    <w:rsid w:val="0063366B"/>
    <w:rsid w:val="00650609"/>
    <w:rsid w:val="00651A21"/>
    <w:rsid w:val="006B07F6"/>
    <w:rsid w:val="006E0E54"/>
    <w:rsid w:val="006E6008"/>
    <w:rsid w:val="00707500"/>
    <w:rsid w:val="007121AF"/>
    <w:rsid w:val="00712A38"/>
    <w:rsid w:val="00740A7A"/>
    <w:rsid w:val="00773776"/>
    <w:rsid w:val="00793ECD"/>
    <w:rsid w:val="0082300E"/>
    <w:rsid w:val="00827CD0"/>
    <w:rsid w:val="00845EC3"/>
    <w:rsid w:val="008548FA"/>
    <w:rsid w:val="0087225F"/>
    <w:rsid w:val="00894BD9"/>
    <w:rsid w:val="008D32DE"/>
    <w:rsid w:val="008F49FA"/>
    <w:rsid w:val="00931CA9"/>
    <w:rsid w:val="009716A1"/>
    <w:rsid w:val="009B073C"/>
    <w:rsid w:val="009E0ED1"/>
    <w:rsid w:val="009E63C8"/>
    <w:rsid w:val="009F6CD1"/>
    <w:rsid w:val="00A0750E"/>
    <w:rsid w:val="00A35BF2"/>
    <w:rsid w:val="00A753DF"/>
    <w:rsid w:val="00AA31C7"/>
    <w:rsid w:val="00AE7B78"/>
    <w:rsid w:val="00AE7D44"/>
    <w:rsid w:val="00BA3C54"/>
    <w:rsid w:val="00BF32EA"/>
    <w:rsid w:val="00D149A4"/>
    <w:rsid w:val="00D41970"/>
    <w:rsid w:val="00D86D9E"/>
    <w:rsid w:val="00D96C74"/>
    <w:rsid w:val="00DA0DA1"/>
    <w:rsid w:val="00DD5A5F"/>
    <w:rsid w:val="00DF5E5D"/>
    <w:rsid w:val="00E00A3E"/>
    <w:rsid w:val="00E31744"/>
    <w:rsid w:val="00E614B3"/>
    <w:rsid w:val="00FC3A79"/>
    <w:rsid w:val="00FE5383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175"/>
  <w15:docId w15:val="{1C2DB634-5A55-491F-90B9-BC67312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0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1444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Camila Japur</cp:lastModifiedBy>
  <cp:revision>11</cp:revision>
  <cp:lastPrinted>2019-03-18T18:46:00Z</cp:lastPrinted>
  <dcterms:created xsi:type="dcterms:W3CDTF">2019-07-24T16:19:00Z</dcterms:created>
  <dcterms:modified xsi:type="dcterms:W3CDTF">2019-08-02T13:46:00Z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