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D86" w:rsidRDefault="00EF0D86" w:rsidP="00EF0D86">
      <w:pPr>
        <w:pStyle w:val="Standarduser"/>
        <w:jc w:val="center"/>
        <w:outlineLvl w:val="0"/>
        <w:rPr>
          <w:b/>
          <w:bCs/>
        </w:rPr>
      </w:pPr>
      <w:r>
        <w:rPr>
          <w:b/>
          <w:bCs/>
        </w:rPr>
        <w:t>PROVA FINAL</w:t>
      </w:r>
    </w:p>
    <w:p w:rsidR="00EF0D86" w:rsidRDefault="00EF0D86" w:rsidP="00EF0D86">
      <w:pPr>
        <w:pStyle w:val="Standarduser"/>
      </w:pPr>
    </w:p>
    <w:p w:rsidR="00EF0D86" w:rsidRDefault="00EF0D86" w:rsidP="00EF0D86">
      <w:pPr>
        <w:pStyle w:val="Standarduser"/>
      </w:pPr>
    </w:p>
    <w:p w:rsidR="00EF0D86" w:rsidRDefault="00EF0D86" w:rsidP="00EF0D86">
      <w:pPr>
        <w:pStyle w:val="Standarduser"/>
      </w:pPr>
    </w:p>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D86"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D86" w:rsidRPr="00EF0D86" w:rsidRDefault="00EF0D86"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t>Carolina Pacheco S. Siqueira</w:t>
            </w:r>
          </w:p>
        </w:tc>
      </w:tr>
      <w:tr w:rsidR="00EF0D86"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1</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pStyle w:val="TableContents"/>
              <w:rPr>
                <w:rFonts w:cs="Times New Roman"/>
                <w:sz w:val="20"/>
                <w:szCs w:val="20"/>
              </w:rPr>
            </w:pPr>
            <w:r w:rsidRPr="00EF0D86">
              <w:rPr>
                <w:rFonts w:cs="Times New Roman"/>
                <w:sz w:val="20"/>
                <w:szCs w:val="20"/>
              </w:rPr>
              <w:t>Correta resposta</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pStyle w:val="TableContents"/>
              <w:snapToGrid w:val="0"/>
              <w:jc w:val="both"/>
              <w:rPr>
                <w:rFonts w:cs="Times New Roman"/>
                <w:sz w:val="20"/>
                <w:szCs w:val="20"/>
              </w:rPr>
            </w:pPr>
            <w:r w:rsidRPr="00EF0D86">
              <w:rPr>
                <w:rFonts w:cs="Times New Roman"/>
                <w:sz w:val="20"/>
                <w:szCs w:val="20"/>
              </w:rPr>
              <w:t>Correta resposta</w:t>
            </w:r>
          </w:p>
        </w:tc>
      </w:tr>
      <w:tr w:rsidR="00EF0D86"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pStyle w:val="TableContents"/>
              <w:snapToGrid w:val="0"/>
              <w:rPr>
                <w:rFonts w:cs="Times New Roman"/>
                <w:sz w:val="20"/>
                <w:szCs w:val="20"/>
              </w:rPr>
            </w:pPr>
            <w:r w:rsidRPr="00EF0D86">
              <w:rPr>
                <w:rFonts w:cs="Times New Roman"/>
                <w:sz w:val="20"/>
                <w:szCs w:val="20"/>
              </w:rPr>
              <w:t xml:space="preserve">Errou o juiz. Mas o problema a ser abordado não era o do nexo causal e sim da desclassificação. Como tanto o réu, em seu interrogatório, quanto o defensor, em plenário, alegaram tese de que o crime foi culposo, e por tal situação caracterizar hipótese de desclassificação própria, deveria ser formulado um quesito específico sobre a desclassificação, após o segundo quesito, nos termos do art. 483, § 4º, do CPP. </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2</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rPr>
                <w:rFonts w:ascii="Times New Roman" w:hAnsi="Times New Roman" w:cs="Times New Roman"/>
                <w:sz w:val="20"/>
                <w:szCs w:val="20"/>
              </w:rPr>
            </w:pPr>
            <w:r w:rsidRPr="00EF0D86">
              <w:rPr>
                <w:rFonts w:ascii="Times New Roman" w:hAnsi="Times New Roman" w:cs="Times New Roman"/>
                <w:sz w:val="20"/>
                <w:szCs w:val="20"/>
              </w:rPr>
              <w:t xml:space="preserve">O juiz errou em permitir a oitiva de 6 testemunhas de acusação. O crime de abandono de incapaz, na modalidade simples, tem pena máxima cominada de 3 anos, sendo-lhe aplicável o procedimento comum sumario (CPP, art. 394, § 1º, II), no qual podem ser ouvidas, no máximo 5 testemunhas, segundo o art. 532 do CPP. Logo, o juiz deveria ter determinado que o Ministério Público readequasse o rol de testemunhas, excluindo uma delas. </w:t>
            </w:r>
          </w:p>
        </w:tc>
      </w:tr>
      <w:tr w:rsidR="00EF0D86"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rPr>
                <w:rFonts w:ascii="Times New Roman" w:hAnsi="Times New Roman" w:cs="Times New Roman"/>
                <w:sz w:val="20"/>
                <w:szCs w:val="20"/>
              </w:rPr>
            </w:pPr>
            <w:r w:rsidRPr="00EF0D86">
              <w:rPr>
                <w:rFonts w:ascii="Times New Roman" w:hAnsi="Times New Roman" w:cs="Times New Roman"/>
                <w:sz w:val="20"/>
                <w:szCs w:val="20"/>
              </w:rPr>
              <w:t xml:space="preserve">A primeira parte da resposta está correta. O juiz errou ao possibilitar as partes requerimento de diligências complementares. Isso porque, a hipótese do art. 402 do CPP é aplicável somente ao procedimento comum ordinário, não tendo incidência no procedimento sumário. </w:t>
            </w:r>
            <w:r w:rsidRPr="00EF0D86">
              <w:rPr>
                <w:rFonts w:ascii="Times New Roman" w:hAnsi="Times New Roman" w:cs="Times New Roman"/>
                <w:b/>
                <w:sz w:val="20"/>
                <w:szCs w:val="20"/>
              </w:rPr>
              <w:t xml:space="preserve"> </w:t>
            </w:r>
            <w:r w:rsidRPr="00EF0D86">
              <w:rPr>
                <w:rFonts w:ascii="Times New Roman" w:hAnsi="Times New Roman" w:cs="Times New Roman"/>
                <w:bCs/>
                <w:sz w:val="20"/>
                <w:szCs w:val="20"/>
              </w:rPr>
              <w:t>Mas faltou complementar:</w:t>
            </w:r>
            <w:r w:rsidRPr="00EF0D86">
              <w:rPr>
                <w:rFonts w:ascii="Times New Roman" w:hAnsi="Times New Roman" w:cs="Times New Roman"/>
                <w:b/>
                <w:sz w:val="20"/>
                <w:szCs w:val="20"/>
              </w:rPr>
              <w:t xml:space="preserve"> </w:t>
            </w:r>
            <w:r w:rsidRPr="00EF0D86">
              <w:rPr>
                <w:rFonts w:ascii="Times New Roman" w:hAnsi="Times New Roman" w:cs="Times New Roman"/>
                <w:bCs/>
                <w:sz w:val="20"/>
                <w:szCs w:val="20"/>
              </w:rPr>
              <w:t>Além disso, mesmo que 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EF0D86" w:rsidRPr="00EF0D86" w:rsidRDefault="00EF0D86" w:rsidP="004B46C3">
            <w:pPr>
              <w:pStyle w:val="TableContents"/>
              <w:jc w:val="center"/>
              <w:rPr>
                <w:rFonts w:cs="Times New Roman"/>
                <w:sz w:val="20"/>
                <w:szCs w:val="20"/>
              </w:rPr>
            </w:pPr>
          </w:p>
        </w:tc>
      </w:tr>
      <w:tr w:rsidR="00EF0D86"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b/>
                <w:bCs/>
                <w:sz w:val="20"/>
                <w:szCs w:val="20"/>
              </w:rPr>
            </w:pPr>
            <w:r w:rsidRPr="00EF0D86">
              <w:rPr>
                <w:rFonts w:ascii="Times New Roman" w:hAnsi="Times New Roman" w:cs="Times New Roman"/>
                <w:b/>
                <w:bCs/>
                <w:sz w:val="20"/>
                <w:szCs w:val="20"/>
              </w:rPr>
              <w:t>5,</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p>
        </w:tc>
      </w:tr>
    </w:tbl>
    <w:p w:rsidR="00EF0D86" w:rsidRPr="00EF0D86" w:rsidRDefault="00EF0D86" w:rsidP="00EF0D86">
      <w:pPr>
        <w:pStyle w:val="Standarduser"/>
        <w:rPr>
          <w:sz w:val="20"/>
          <w:szCs w:val="20"/>
        </w:rPr>
      </w:pPr>
    </w:p>
    <w:p w:rsidR="00EF0D86" w:rsidRPr="00EF0D86" w:rsidRDefault="00EF0D86" w:rsidP="00EF0D86">
      <w:pPr>
        <w:pStyle w:val="Standarduser"/>
        <w:rPr>
          <w:sz w:val="20"/>
          <w:szCs w:val="20"/>
        </w:rPr>
      </w:pPr>
    </w:p>
    <w:p w:rsidR="00EF0D86" w:rsidRDefault="00EF0D86" w:rsidP="00EF0D86"/>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D86"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D86" w:rsidRPr="00EF0D86" w:rsidRDefault="00EF0D86"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Renan Marques Menezes – USP 9766896</w:t>
            </w:r>
          </w:p>
        </w:tc>
      </w:tr>
      <w:tr w:rsidR="00EF0D86"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lastRenderedPageBreak/>
              <w:t>QUESTÃO</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1</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rPr>
                <w:rFonts w:cs="Times New Roman"/>
                <w:sz w:val="20"/>
                <w:szCs w:val="20"/>
              </w:rPr>
            </w:pPr>
            <w:r w:rsidRPr="00EF0D86">
              <w:rPr>
                <w:rFonts w:cs="Times New Roman"/>
                <w:sz w:val="20"/>
                <w:szCs w:val="20"/>
              </w:rPr>
              <w:t>Correta resposta</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snapToGrid w:val="0"/>
              <w:jc w:val="both"/>
              <w:rPr>
                <w:rFonts w:cs="Times New Roman"/>
                <w:sz w:val="20"/>
                <w:szCs w:val="20"/>
              </w:rPr>
            </w:pPr>
            <w:r w:rsidRPr="00EF0D86">
              <w:rPr>
                <w:rFonts w:cs="Times New Roman"/>
                <w:sz w:val="20"/>
                <w:szCs w:val="20"/>
              </w:rPr>
              <w:t>Correta resposta</w:t>
            </w:r>
          </w:p>
        </w:tc>
      </w:tr>
      <w:tr w:rsidR="00EF0D86"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Pr>
                <w:rFonts w:ascii="Times New Roman" w:hAnsi="Times New Roman" w:cs="Times New Roman"/>
                <w:sz w:val="20"/>
                <w:szCs w:val="20"/>
              </w:rPr>
              <w:t>1</w:t>
            </w:r>
            <w:r w:rsidRPr="00EF0D86">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snapToGrid w:val="0"/>
              <w:rPr>
                <w:rFonts w:cs="Times New Roman"/>
                <w:sz w:val="20"/>
                <w:szCs w:val="20"/>
              </w:rPr>
            </w:pPr>
            <w:r w:rsidRPr="00EF0D86">
              <w:rPr>
                <w:rFonts w:cs="Times New Roman"/>
                <w:sz w:val="20"/>
                <w:szCs w:val="20"/>
              </w:rPr>
              <w:t>Correta resposta</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2</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rPr>
                <w:rFonts w:ascii="Times New Roman" w:hAnsi="Times New Roman" w:cs="Times New Roman"/>
                <w:sz w:val="20"/>
                <w:szCs w:val="20"/>
              </w:rPr>
            </w:pPr>
            <w:r>
              <w:rPr>
                <w:rFonts w:ascii="Times New Roman" w:hAnsi="Times New Roman" w:cs="Times New Roman"/>
                <w:sz w:val="20"/>
                <w:szCs w:val="20"/>
              </w:rPr>
              <w:t>A resposta está errada. A premissa que deveria ser identificada é que o</w:t>
            </w:r>
            <w:r w:rsidRPr="00EF0D86">
              <w:rPr>
                <w:rFonts w:ascii="Times New Roman" w:hAnsi="Times New Roman" w:cs="Times New Roman"/>
                <w:sz w:val="20"/>
                <w:szCs w:val="20"/>
              </w:rPr>
              <w:t xml:space="preserve"> crime de abandono de incapaz, na modalidade simples, tem pena máxima cominada de 3 anos, sendo-lhe aplicável o procedimento comum sumario (CPP, art. 394, § 1º, II)</w:t>
            </w:r>
            <w:r>
              <w:rPr>
                <w:rFonts w:ascii="Times New Roman" w:hAnsi="Times New Roman" w:cs="Times New Roman"/>
                <w:sz w:val="20"/>
                <w:szCs w:val="20"/>
              </w:rPr>
              <w:t>. Assim sendo, o</w:t>
            </w:r>
            <w:r w:rsidRPr="00EF0D86">
              <w:rPr>
                <w:rFonts w:ascii="Times New Roman" w:hAnsi="Times New Roman" w:cs="Times New Roman"/>
                <w:sz w:val="20"/>
                <w:szCs w:val="20"/>
              </w:rPr>
              <w:t xml:space="preserve"> juiz errou em permitir a oitiva de 6 testemunhas de acusação</w:t>
            </w:r>
            <w:r>
              <w:rPr>
                <w:rFonts w:ascii="Times New Roman" w:hAnsi="Times New Roman" w:cs="Times New Roman"/>
                <w:sz w:val="20"/>
                <w:szCs w:val="20"/>
              </w:rPr>
              <w:t xml:space="preserve">, porque em tal rito, </w:t>
            </w:r>
            <w:r w:rsidRPr="00EF0D86">
              <w:rPr>
                <w:rFonts w:ascii="Times New Roman" w:hAnsi="Times New Roman" w:cs="Times New Roman"/>
                <w:sz w:val="20"/>
                <w:szCs w:val="20"/>
              </w:rPr>
              <w:t>podem ser ouvidas, no máximo</w:t>
            </w:r>
            <w:r>
              <w:rPr>
                <w:rFonts w:ascii="Times New Roman" w:hAnsi="Times New Roman" w:cs="Times New Roman"/>
                <w:sz w:val="20"/>
                <w:szCs w:val="20"/>
              </w:rPr>
              <w:t>,</w:t>
            </w:r>
            <w:r w:rsidRPr="00EF0D86">
              <w:rPr>
                <w:rFonts w:ascii="Times New Roman" w:hAnsi="Times New Roman" w:cs="Times New Roman"/>
                <w:sz w:val="20"/>
                <w:szCs w:val="20"/>
              </w:rPr>
              <w:t xml:space="preserve"> 5 testemunhas, segundo o art. 532 do CPP. Logo, o juiz deveria ter determinado que o Ministério Público readequasse o rol de testemunhas, excluindo uma delas.</w:t>
            </w:r>
          </w:p>
        </w:tc>
      </w:tr>
      <w:tr w:rsidR="00EF0D86"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rPr>
                <w:rFonts w:ascii="Times New Roman" w:hAnsi="Times New Roman" w:cs="Times New Roman"/>
                <w:sz w:val="20"/>
                <w:szCs w:val="20"/>
              </w:rPr>
            </w:pPr>
            <w:r>
              <w:rPr>
                <w:rFonts w:ascii="Times New Roman" w:hAnsi="Times New Roman" w:cs="Times New Roman"/>
                <w:sz w:val="20"/>
                <w:szCs w:val="20"/>
              </w:rPr>
              <w:t>A primeira parte da resposta está incorreta. O</w:t>
            </w:r>
            <w:r w:rsidRPr="00EF0D86">
              <w:rPr>
                <w:rFonts w:ascii="Times New Roman" w:hAnsi="Times New Roman" w:cs="Times New Roman"/>
                <w:sz w:val="20"/>
                <w:szCs w:val="20"/>
              </w:rPr>
              <w:t xml:space="preserve"> juiz errou ao possibilitar as partes requerimento de diligências complementares. Isso porque, a hipótese do art. 402 do CPP é aplicável somente ao procedimento comum ordinário, não tendo incidência no procedimento sumário. </w:t>
            </w:r>
            <w:r w:rsidRPr="00EF0D86">
              <w:rPr>
                <w:rFonts w:ascii="Times New Roman" w:hAnsi="Times New Roman" w:cs="Times New Roman"/>
                <w:b/>
                <w:sz w:val="20"/>
                <w:szCs w:val="20"/>
              </w:rPr>
              <w:t xml:space="preserve"> </w:t>
            </w:r>
            <w:r w:rsidRPr="00EF0D86">
              <w:rPr>
                <w:rFonts w:ascii="Times New Roman" w:hAnsi="Times New Roman" w:cs="Times New Roman"/>
                <w:bCs/>
                <w:sz w:val="20"/>
                <w:szCs w:val="20"/>
              </w:rPr>
              <w:t>Além disso, mesmo que 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EF0D86" w:rsidRPr="00EF0D86" w:rsidRDefault="00EF0D86" w:rsidP="00EF0D86">
            <w:pPr>
              <w:rPr>
                <w:rFonts w:ascii="Times New Roman" w:hAnsi="Times New Roman" w:cs="Times New Roman"/>
                <w:sz w:val="20"/>
                <w:szCs w:val="20"/>
              </w:rPr>
            </w:pPr>
          </w:p>
        </w:tc>
      </w:tr>
      <w:tr w:rsidR="00EF0D86"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b/>
                <w:bCs/>
                <w:sz w:val="20"/>
                <w:szCs w:val="20"/>
              </w:rPr>
            </w:pPr>
            <w:r w:rsidRPr="00EF0D86">
              <w:rPr>
                <w:rFonts w:ascii="Times New Roman" w:hAnsi="Times New Roman" w:cs="Times New Roman"/>
                <w:b/>
                <w:bCs/>
                <w:sz w:val="20"/>
                <w:szCs w:val="20"/>
              </w:rPr>
              <w:t>5,</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p>
        </w:tc>
      </w:tr>
    </w:tbl>
    <w:p w:rsidR="00EF0D86" w:rsidRPr="00EF0D86" w:rsidRDefault="00EF0D86" w:rsidP="00EF0D86">
      <w:pPr>
        <w:pStyle w:val="Standarduser"/>
        <w:rPr>
          <w:sz w:val="20"/>
          <w:szCs w:val="20"/>
        </w:rPr>
      </w:pPr>
    </w:p>
    <w:p w:rsidR="00EF0D86" w:rsidRPr="00EF0D86" w:rsidRDefault="00EF0D86" w:rsidP="00EF0D86">
      <w:pPr>
        <w:pStyle w:val="Standarduser"/>
        <w:rPr>
          <w:sz w:val="20"/>
          <w:szCs w:val="20"/>
        </w:rPr>
      </w:pPr>
    </w:p>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D86"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D86" w:rsidRPr="00EF0D86" w:rsidRDefault="00EF0D86"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 xml:space="preserve">Douglas </w:t>
            </w:r>
            <w:proofErr w:type="spellStart"/>
            <w:r>
              <w:rPr>
                <w:rFonts w:cs="Times New Roman"/>
                <w:sz w:val="20"/>
                <w:szCs w:val="20"/>
              </w:rPr>
              <w:t>Lotto</w:t>
            </w:r>
            <w:proofErr w:type="spellEnd"/>
            <w:r>
              <w:rPr>
                <w:rFonts w:cs="Times New Roman"/>
                <w:sz w:val="20"/>
                <w:szCs w:val="20"/>
              </w:rPr>
              <w:t xml:space="preserve"> Pereira – USP 5126552</w:t>
            </w:r>
          </w:p>
        </w:tc>
      </w:tr>
      <w:tr w:rsidR="00EF0D86"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1</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rPr>
                <w:rFonts w:cs="Times New Roman"/>
                <w:sz w:val="20"/>
                <w:szCs w:val="20"/>
              </w:rPr>
            </w:pPr>
            <w:r w:rsidRPr="00EF0D86">
              <w:rPr>
                <w:rFonts w:cs="Times New Roman"/>
                <w:sz w:val="20"/>
                <w:szCs w:val="20"/>
              </w:rPr>
              <w:t>Correta resposta</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snapToGrid w:val="0"/>
              <w:jc w:val="both"/>
              <w:rPr>
                <w:rFonts w:cs="Times New Roman"/>
                <w:sz w:val="20"/>
                <w:szCs w:val="20"/>
              </w:rPr>
            </w:pPr>
            <w:r w:rsidRPr="00EF0D86">
              <w:rPr>
                <w:rFonts w:cs="Times New Roman"/>
                <w:sz w:val="20"/>
                <w:szCs w:val="20"/>
              </w:rPr>
              <w:t>Correta resposta</w:t>
            </w:r>
          </w:p>
        </w:tc>
      </w:tr>
      <w:tr w:rsidR="00EF0D86"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Pr>
                <w:rFonts w:ascii="Times New Roman" w:hAnsi="Times New Roman" w:cs="Times New Roman"/>
                <w:sz w:val="20"/>
                <w:szCs w:val="20"/>
              </w:rPr>
              <w:t>1</w:t>
            </w:r>
            <w:r w:rsidRPr="00EF0D86">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snapToGrid w:val="0"/>
              <w:rPr>
                <w:rFonts w:cs="Times New Roman"/>
                <w:sz w:val="20"/>
                <w:szCs w:val="20"/>
              </w:rPr>
            </w:pPr>
            <w:r w:rsidRPr="00EF0D86">
              <w:rPr>
                <w:rFonts w:cs="Times New Roman"/>
                <w:sz w:val="20"/>
                <w:szCs w:val="20"/>
              </w:rPr>
              <w:t>Correta resposta</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2</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Pr>
                <w:rFonts w:ascii="Times New Roman" w:hAnsi="Times New Roman" w:cs="Times New Roman"/>
                <w:sz w:val="20"/>
                <w:szCs w:val="20"/>
              </w:rPr>
              <w:t>2,0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rPr>
                <w:rFonts w:ascii="Times New Roman" w:hAnsi="Times New Roman" w:cs="Times New Roman"/>
                <w:sz w:val="20"/>
                <w:szCs w:val="20"/>
              </w:rPr>
            </w:pPr>
          </w:p>
        </w:tc>
      </w:tr>
      <w:tr w:rsidR="00EF0D86"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Pr>
                <w:rFonts w:ascii="Times New Roman" w:hAnsi="Times New Roman" w:cs="Times New Roman"/>
                <w:sz w:val="20"/>
                <w:szCs w:val="20"/>
              </w:rPr>
              <w:t>2,0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EF0D86">
            <w:pPr>
              <w:rPr>
                <w:rFonts w:ascii="Times New Roman" w:hAnsi="Times New Roman" w:cs="Times New Roman"/>
                <w:sz w:val="20"/>
                <w:szCs w:val="20"/>
              </w:rPr>
            </w:pPr>
          </w:p>
        </w:tc>
      </w:tr>
      <w:tr w:rsidR="00EF0D86"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b/>
                <w:bCs/>
                <w:sz w:val="20"/>
                <w:szCs w:val="20"/>
              </w:rPr>
            </w:pPr>
            <w:r>
              <w:rPr>
                <w:rFonts w:ascii="Times New Roman" w:hAnsi="Times New Roman" w:cs="Times New Roman"/>
                <w:b/>
                <w:bCs/>
                <w:sz w:val="20"/>
                <w:szCs w:val="20"/>
              </w:rPr>
              <w:t>9,0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p>
        </w:tc>
      </w:tr>
    </w:tbl>
    <w:p w:rsidR="00EF0D86" w:rsidRPr="00EF0D86" w:rsidRDefault="00EF0D86" w:rsidP="00EF0D86">
      <w:pPr>
        <w:pStyle w:val="Standarduser"/>
        <w:rPr>
          <w:sz w:val="20"/>
          <w:szCs w:val="20"/>
        </w:rPr>
      </w:pPr>
    </w:p>
    <w:p w:rsidR="00EF0D86" w:rsidRPr="00EF0D86" w:rsidRDefault="00EF0D86" w:rsidP="00EF0D86">
      <w:pPr>
        <w:pStyle w:val="Standarduser"/>
        <w:rPr>
          <w:sz w:val="20"/>
          <w:szCs w:val="20"/>
        </w:rPr>
      </w:pPr>
    </w:p>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D86"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D86" w:rsidRPr="00EF0D86" w:rsidRDefault="00EF0D86"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 xml:space="preserve">Gabriel </w:t>
            </w:r>
            <w:proofErr w:type="spellStart"/>
            <w:r>
              <w:rPr>
                <w:rFonts w:cs="Times New Roman"/>
                <w:sz w:val="20"/>
                <w:szCs w:val="20"/>
              </w:rPr>
              <w:t>Kaique</w:t>
            </w:r>
            <w:proofErr w:type="spellEnd"/>
            <w:r>
              <w:rPr>
                <w:rFonts w:cs="Times New Roman"/>
                <w:sz w:val="20"/>
                <w:szCs w:val="20"/>
              </w:rPr>
              <w:t xml:space="preserve"> Castro de Mello USP 10274850</w:t>
            </w:r>
          </w:p>
        </w:tc>
      </w:tr>
      <w:tr w:rsidR="00EF0D86"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D86"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snapToGrid w:val="0"/>
              <w:jc w:val="center"/>
              <w:rPr>
                <w:rFonts w:cs="Times New Roman"/>
                <w:sz w:val="20"/>
                <w:szCs w:val="20"/>
              </w:rPr>
            </w:pPr>
          </w:p>
          <w:p w:rsidR="00EF0D86" w:rsidRPr="00EF0D86" w:rsidRDefault="00EF0D86" w:rsidP="004B46C3">
            <w:pPr>
              <w:pStyle w:val="TableContents"/>
              <w:jc w:val="center"/>
              <w:rPr>
                <w:rFonts w:cs="Times New Roman"/>
                <w:sz w:val="20"/>
                <w:szCs w:val="20"/>
              </w:rPr>
            </w:pPr>
          </w:p>
          <w:p w:rsidR="00EF0D86" w:rsidRPr="00EF0D86" w:rsidRDefault="00EF0D86" w:rsidP="004B46C3">
            <w:pPr>
              <w:pStyle w:val="TableContents"/>
              <w:jc w:val="center"/>
              <w:rPr>
                <w:rFonts w:cs="Times New Roman"/>
                <w:sz w:val="20"/>
                <w:szCs w:val="20"/>
              </w:rPr>
            </w:pPr>
            <w:r w:rsidRPr="00EF0D86">
              <w:rPr>
                <w:rFonts w:cs="Times New Roman"/>
                <w:sz w:val="20"/>
                <w:szCs w:val="20"/>
              </w:rPr>
              <w:t>QUESTÃO 1</w:t>
            </w:r>
          </w:p>
          <w:p w:rsidR="00EF0D86" w:rsidRPr="00EF0D86" w:rsidRDefault="00EF0D86"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pStyle w:val="TableContents"/>
              <w:rPr>
                <w:rFonts w:cs="Times New Roman"/>
                <w:sz w:val="20"/>
                <w:szCs w:val="20"/>
              </w:rPr>
            </w:pPr>
            <w:r w:rsidRPr="00EF0D86">
              <w:rPr>
                <w:rFonts w:cs="Times New Roman"/>
                <w:sz w:val="20"/>
                <w:szCs w:val="20"/>
              </w:rPr>
              <w:t>Correta resposta</w:t>
            </w:r>
          </w:p>
        </w:tc>
      </w:tr>
      <w:tr w:rsidR="00EF0D86"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16B"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EF016B">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EF016B">
            <w:pPr>
              <w:pStyle w:val="TableContents"/>
              <w:snapToGrid w:val="0"/>
              <w:jc w:val="both"/>
              <w:rPr>
                <w:rFonts w:cs="Times New Roman"/>
                <w:sz w:val="20"/>
                <w:szCs w:val="20"/>
              </w:rPr>
            </w:pPr>
            <w:r w:rsidRPr="00EF0D86">
              <w:rPr>
                <w:rFonts w:cs="Times New Roman"/>
                <w:sz w:val="20"/>
                <w:szCs w:val="20"/>
              </w:rPr>
              <w:t>Correta resposta</w:t>
            </w:r>
          </w:p>
        </w:tc>
      </w:tr>
      <w:tr w:rsidR="00EF016B"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EF016B">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jc w:val="center"/>
              <w:rPr>
                <w:rFonts w:ascii="Times New Roman" w:hAnsi="Times New Roman" w:cs="Times New Roman"/>
                <w:sz w:val="20"/>
                <w:szCs w:val="20"/>
              </w:rPr>
            </w:pPr>
            <w:r>
              <w:rPr>
                <w:rFonts w:ascii="Times New Roman" w:hAnsi="Times New Roman" w:cs="Times New Roman"/>
                <w:sz w:val="20"/>
                <w:szCs w:val="20"/>
              </w:rPr>
              <w:t>1</w:t>
            </w:r>
            <w:r w:rsidRPr="00EF0D86">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EF016B">
            <w:pPr>
              <w:pStyle w:val="TableContents"/>
              <w:snapToGrid w:val="0"/>
              <w:rPr>
                <w:rFonts w:cs="Times New Roman"/>
                <w:sz w:val="20"/>
                <w:szCs w:val="20"/>
              </w:rPr>
            </w:pPr>
            <w:r w:rsidRPr="00EF0D86">
              <w:rPr>
                <w:rFonts w:cs="Times New Roman"/>
                <w:sz w:val="20"/>
                <w:szCs w:val="20"/>
              </w:rPr>
              <w:t>Correta resposta</w:t>
            </w:r>
          </w:p>
        </w:tc>
      </w:tr>
      <w:tr w:rsidR="00EF016B"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16B" w:rsidRPr="00EF0D86" w:rsidRDefault="00EF016B" w:rsidP="00EF016B">
            <w:pPr>
              <w:pStyle w:val="TableContents"/>
              <w:snapToGrid w:val="0"/>
              <w:jc w:val="center"/>
              <w:rPr>
                <w:rFonts w:cs="Times New Roman"/>
                <w:sz w:val="20"/>
                <w:szCs w:val="20"/>
              </w:rPr>
            </w:pPr>
          </w:p>
          <w:p w:rsidR="00EF016B" w:rsidRPr="00EF0D86" w:rsidRDefault="00EF016B" w:rsidP="00EF016B">
            <w:pPr>
              <w:pStyle w:val="TableContents"/>
              <w:jc w:val="center"/>
              <w:rPr>
                <w:rFonts w:cs="Times New Roman"/>
                <w:sz w:val="20"/>
                <w:szCs w:val="20"/>
              </w:rPr>
            </w:pPr>
            <w:r w:rsidRPr="00EF0D86">
              <w:rPr>
                <w:rFonts w:cs="Times New Roman"/>
                <w:sz w:val="20"/>
                <w:szCs w:val="20"/>
              </w:rPr>
              <w:t>QUESTÃO 2</w:t>
            </w:r>
          </w:p>
          <w:p w:rsidR="00EF016B" w:rsidRPr="00EF0D86" w:rsidRDefault="00EF016B" w:rsidP="00EF016B">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jc w:val="center"/>
              <w:rPr>
                <w:rFonts w:ascii="Times New Roman" w:hAnsi="Times New Roman" w:cs="Times New Roman"/>
                <w:sz w:val="20"/>
                <w:szCs w:val="20"/>
              </w:rPr>
            </w:pPr>
            <w:r>
              <w:rPr>
                <w:rFonts w:ascii="Times New Roman" w:hAnsi="Times New Roman" w:cs="Times New Roman"/>
                <w:sz w:val="20"/>
                <w:szCs w:val="20"/>
              </w:rPr>
              <w:t>2,0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EF016B">
            <w:pPr>
              <w:rPr>
                <w:rFonts w:ascii="Times New Roman" w:hAnsi="Times New Roman" w:cs="Times New Roman"/>
                <w:sz w:val="20"/>
                <w:szCs w:val="20"/>
              </w:rPr>
            </w:pPr>
            <w:r w:rsidRPr="00EF0D86">
              <w:rPr>
                <w:rFonts w:ascii="Times New Roman" w:hAnsi="Times New Roman" w:cs="Times New Roman"/>
                <w:sz w:val="20"/>
                <w:szCs w:val="20"/>
              </w:rPr>
              <w:t>Correta resposta</w:t>
            </w:r>
          </w:p>
        </w:tc>
      </w:tr>
      <w:tr w:rsidR="00EF016B"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EF016B">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EF016B">
            <w:pPr>
              <w:jc w:val="center"/>
              <w:rPr>
                <w:rFonts w:ascii="Times New Roman" w:hAnsi="Times New Roman" w:cs="Times New Roman"/>
                <w:sz w:val="20"/>
                <w:szCs w:val="20"/>
              </w:rPr>
            </w:pPr>
            <w:r>
              <w:rPr>
                <w:rFonts w:ascii="Times New Roman" w:hAnsi="Times New Roman" w:cs="Times New Roman"/>
                <w:sz w:val="20"/>
                <w:szCs w:val="20"/>
              </w:rPr>
              <w:t>2,0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EF016B">
            <w:pPr>
              <w:rPr>
                <w:rFonts w:ascii="Times New Roman" w:hAnsi="Times New Roman" w:cs="Times New Roman"/>
                <w:sz w:val="20"/>
                <w:szCs w:val="20"/>
              </w:rPr>
            </w:pPr>
            <w:r w:rsidRPr="00EF0D86">
              <w:rPr>
                <w:rFonts w:ascii="Times New Roman" w:hAnsi="Times New Roman" w:cs="Times New Roman"/>
                <w:sz w:val="20"/>
                <w:szCs w:val="20"/>
              </w:rPr>
              <w:t>Correta resposta</w:t>
            </w:r>
          </w:p>
        </w:tc>
      </w:tr>
      <w:tr w:rsidR="00EF0D86"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D86" w:rsidRPr="00EF0D86" w:rsidRDefault="00EF0D86"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D86" w:rsidRPr="00EF0D86" w:rsidRDefault="00EF016B" w:rsidP="004B46C3">
            <w:pPr>
              <w:jc w:val="center"/>
              <w:rPr>
                <w:rFonts w:ascii="Times New Roman" w:hAnsi="Times New Roman" w:cs="Times New Roman"/>
                <w:b/>
                <w:bCs/>
                <w:sz w:val="20"/>
                <w:szCs w:val="20"/>
              </w:rPr>
            </w:pPr>
            <w:r>
              <w:rPr>
                <w:rFonts w:ascii="Times New Roman" w:hAnsi="Times New Roman" w:cs="Times New Roman"/>
                <w:b/>
                <w:bCs/>
                <w:sz w:val="20"/>
                <w:szCs w:val="20"/>
              </w:rPr>
              <w:t>8</w:t>
            </w:r>
            <w:r w:rsidR="00EF0D86" w:rsidRPr="00EF0D86">
              <w:rPr>
                <w:rFonts w:ascii="Times New Roman" w:hAnsi="Times New Roman" w:cs="Times New Roman"/>
                <w:b/>
                <w:bCs/>
                <w:sz w:val="20"/>
                <w:szCs w:val="20"/>
              </w:rPr>
              <w:t>,</w:t>
            </w:r>
            <w:r w:rsidR="00EF0D86">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D86" w:rsidRPr="00EF0D86" w:rsidRDefault="00EF0D86" w:rsidP="004B46C3">
            <w:pPr>
              <w:jc w:val="center"/>
              <w:rPr>
                <w:rFonts w:ascii="Times New Roman" w:hAnsi="Times New Roman" w:cs="Times New Roman"/>
                <w:sz w:val="20"/>
                <w:szCs w:val="20"/>
              </w:rPr>
            </w:pPr>
          </w:p>
        </w:tc>
      </w:tr>
    </w:tbl>
    <w:p w:rsidR="00EF0D86" w:rsidRPr="00EF0D86" w:rsidRDefault="00EF0D86" w:rsidP="00EF0D86">
      <w:pPr>
        <w:pStyle w:val="Standarduser"/>
        <w:rPr>
          <w:sz w:val="20"/>
          <w:szCs w:val="20"/>
        </w:rPr>
      </w:pPr>
    </w:p>
    <w:p w:rsidR="00EF0D86" w:rsidRPr="00EF0D86" w:rsidRDefault="00EF0D86" w:rsidP="00EF0D86">
      <w:pPr>
        <w:pStyle w:val="Standarduser"/>
        <w:rPr>
          <w:sz w:val="20"/>
          <w:szCs w:val="20"/>
        </w:rPr>
      </w:pPr>
    </w:p>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16B"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16B" w:rsidRPr="00EF0D86" w:rsidRDefault="00EF016B"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proofErr w:type="spellStart"/>
            <w:r>
              <w:rPr>
                <w:rFonts w:cs="Times New Roman"/>
                <w:sz w:val="20"/>
                <w:szCs w:val="20"/>
              </w:rPr>
              <w:t>Mayná</w:t>
            </w:r>
            <w:proofErr w:type="spellEnd"/>
            <w:r>
              <w:rPr>
                <w:rFonts w:cs="Times New Roman"/>
                <w:sz w:val="20"/>
                <w:szCs w:val="20"/>
              </w:rPr>
              <w:t xml:space="preserve"> Isabel Morais dos Santos  USP 9777222</w:t>
            </w:r>
          </w:p>
        </w:tc>
      </w:tr>
      <w:tr w:rsidR="00EF016B"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16B"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snapToGrid w:val="0"/>
              <w:jc w:val="center"/>
              <w:rPr>
                <w:rFonts w:cs="Times New Roman"/>
                <w:sz w:val="20"/>
                <w:szCs w:val="20"/>
              </w:rPr>
            </w:pPr>
          </w:p>
          <w:p w:rsidR="00EF016B" w:rsidRPr="00EF0D86" w:rsidRDefault="00EF016B" w:rsidP="004B46C3">
            <w:pPr>
              <w:pStyle w:val="TableContents"/>
              <w:jc w:val="center"/>
              <w:rPr>
                <w:rFonts w:cs="Times New Roman"/>
                <w:sz w:val="20"/>
                <w:szCs w:val="20"/>
              </w:rPr>
            </w:pPr>
          </w:p>
          <w:p w:rsidR="00EF016B" w:rsidRPr="00EF0D86" w:rsidRDefault="00EF016B" w:rsidP="004B46C3">
            <w:pPr>
              <w:pStyle w:val="TableContents"/>
              <w:jc w:val="center"/>
              <w:rPr>
                <w:rFonts w:cs="Times New Roman"/>
                <w:sz w:val="20"/>
                <w:szCs w:val="20"/>
              </w:rPr>
            </w:pPr>
            <w:r w:rsidRPr="00EF0D86">
              <w:rPr>
                <w:rFonts w:cs="Times New Roman"/>
                <w:sz w:val="20"/>
                <w:szCs w:val="20"/>
              </w:rPr>
              <w:t>QUESTÃO 1</w:t>
            </w:r>
          </w:p>
          <w:p w:rsidR="00EF016B" w:rsidRPr="00EF0D86" w:rsidRDefault="00EF016B"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pStyle w:val="TableContents"/>
              <w:rPr>
                <w:rFonts w:cs="Times New Roman"/>
                <w:sz w:val="20"/>
                <w:szCs w:val="20"/>
              </w:rPr>
            </w:pPr>
            <w:r w:rsidRPr="00EF0D86">
              <w:rPr>
                <w:rFonts w:cs="Times New Roman"/>
                <w:sz w:val="20"/>
                <w:szCs w:val="20"/>
              </w:rPr>
              <w:t xml:space="preserve">Correta </w:t>
            </w:r>
            <w:r>
              <w:rPr>
                <w:rFonts w:cs="Times New Roman"/>
                <w:sz w:val="20"/>
                <w:szCs w:val="20"/>
              </w:rPr>
              <w:t xml:space="preserve">parcialmente </w:t>
            </w:r>
            <w:r w:rsidRPr="00EF0D86">
              <w:rPr>
                <w:rFonts w:cs="Times New Roman"/>
                <w:sz w:val="20"/>
                <w:szCs w:val="20"/>
              </w:rPr>
              <w:t>resposta</w:t>
            </w:r>
            <w:r>
              <w:rPr>
                <w:rFonts w:cs="Times New Roman"/>
                <w:sz w:val="20"/>
                <w:szCs w:val="20"/>
              </w:rPr>
              <w:t>. O juiz entendeu que havia elementos que justificavam um juízo de probabilidade de autoria. Foi correta a pronúncia</w:t>
            </w:r>
          </w:p>
        </w:tc>
      </w:tr>
      <w:tr w:rsidR="00EF016B"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16B"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pStyle w:val="TableContents"/>
              <w:snapToGrid w:val="0"/>
              <w:jc w:val="both"/>
              <w:rPr>
                <w:rFonts w:cs="Times New Roman"/>
                <w:sz w:val="20"/>
                <w:szCs w:val="20"/>
              </w:rPr>
            </w:pPr>
            <w:r w:rsidRPr="00EF0D86">
              <w:rPr>
                <w:rFonts w:cs="Times New Roman"/>
                <w:sz w:val="20"/>
                <w:szCs w:val="20"/>
              </w:rPr>
              <w:t>Correta resposta</w:t>
            </w:r>
          </w:p>
        </w:tc>
      </w:tr>
      <w:tr w:rsidR="00EF016B"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pStyle w:val="TableContents"/>
              <w:snapToGrid w:val="0"/>
              <w:rPr>
                <w:rFonts w:cs="Times New Roman"/>
                <w:sz w:val="20"/>
                <w:szCs w:val="20"/>
              </w:rPr>
            </w:pPr>
            <w:r>
              <w:rPr>
                <w:rFonts w:cs="Times New Roman"/>
                <w:sz w:val="20"/>
                <w:szCs w:val="20"/>
              </w:rPr>
              <w:t>Resposta incorreta. O juiz errou</w:t>
            </w:r>
            <w:r w:rsidRPr="00EF0D86">
              <w:rPr>
                <w:rFonts w:cs="Times New Roman"/>
                <w:sz w:val="20"/>
                <w:szCs w:val="20"/>
              </w:rPr>
              <w:t>. Como tanto o réu, em seu interrogatório, quanto o defensor, em plenário, alegaram tese de que o crime foi culposo, e por tal situação caracterizar hipótese de desclassificação própria, deveria ser formulado um quesito específico sobre a desclassificação, após o segundo quesito, nos termos do art. 483, § 4º, do CPP.</w:t>
            </w:r>
          </w:p>
        </w:tc>
      </w:tr>
      <w:tr w:rsidR="00EF016B"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snapToGrid w:val="0"/>
              <w:jc w:val="center"/>
              <w:rPr>
                <w:rFonts w:cs="Times New Roman"/>
                <w:sz w:val="20"/>
                <w:szCs w:val="20"/>
              </w:rPr>
            </w:pPr>
          </w:p>
          <w:p w:rsidR="00EF016B" w:rsidRPr="00EF0D86" w:rsidRDefault="00EF016B" w:rsidP="004B46C3">
            <w:pPr>
              <w:pStyle w:val="TableContents"/>
              <w:jc w:val="center"/>
              <w:rPr>
                <w:rFonts w:cs="Times New Roman"/>
                <w:sz w:val="20"/>
                <w:szCs w:val="20"/>
              </w:rPr>
            </w:pPr>
            <w:r w:rsidRPr="00EF0D86">
              <w:rPr>
                <w:rFonts w:cs="Times New Roman"/>
                <w:sz w:val="20"/>
                <w:szCs w:val="20"/>
              </w:rPr>
              <w:t>QUESTÃO 2</w:t>
            </w:r>
          </w:p>
          <w:p w:rsidR="00EF016B" w:rsidRPr="00EF0D86" w:rsidRDefault="00EF016B"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Pr>
                <w:rFonts w:ascii="Times New Roman" w:hAnsi="Times New Roman" w:cs="Times New Roman"/>
                <w:sz w:val="20"/>
                <w:szCs w:val="20"/>
              </w:rPr>
              <w:t>2,0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rPr>
                <w:rFonts w:ascii="Times New Roman" w:hAnsi="Times New Roman" w:cs="Times New Roman"/>
                <w:sz w:val="20"/>
                <w:szCs w:val="20"/>
              </w:rPr>
            </w:pPr>
            <w:r w:rsidRPr="00EF0D86">
              <w:rPr>
                <w:rFonts w:ascii="Times New Roman" w:hAnsi="Times New Roman" w:cs="Times New Roman"/>
                <w:sz w:val="20"/>
                <w:szCs w:val="20"/>
              </w:rPr>
              <w:t>Correta resposta</w:t>
            </w:r>
          </w:p>
        </w:tc>
      </w:tr>
      <w:tr w:rsidR="00EF016B"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EF016B">
            <w:pPr>
              <w:rPr>
                <w:rFonts w:ascii="Times New Roman" w:hAnsi="Times New Roman" w:cs="Times New Roman"/>
                <w:sz w:val="20"/>
                <w:szCs w:val="20"/>
              </w:rPr>
            </w:pPr>
            <w:r>
              <w:rPr>
                <w:rFonts w:ascii="Times New Roman" w:hAnsi="Times New Roman" w:cs="Times New Roman"/>
                <w:sz w:val="20"/>
                <w:szCs w:val="20"/>
              </w:rPr>
              <w:t xml:space="preserve">O problema não era de converter ou não os debates em memoriais. A questão dizia respeito às diligências complementares. E nesse ponto, o </w:t>
            </w:r>
            <w:r w:rsidRPr="00EF0D86">
              <w:rPr>
                <w:rFonts w:ascii="Times New Roman" w:hAnsi="Times New Roman" w:cs="Times New Roman"/>
                <w:sz w:val="20"/>
                <w:szCs w:val="20"/>
              </w:rPr>
              <w:t xml:space="preserve">juiz errou ao possibilitar as partes requerimento de diligências complementares. Isso porque, a hipótese do art. 402 do CPP é aplicável somente ao procedimento comum </w:t>
            </w:r>
            <w:r w:rsidRPr="00EF0D86">
              <w:rPr>
                <w:rFonts w:ascii="Times New Roman" w:hAnsi="Times New Roman" w:cs="Times New Roman"/>
                <w:sz w:val="20"/>
                <w:szCs w:val="20"/>
              </w:rPr>
              <w:lastRenderedPageBreak/>
              <w:t xml:space="preserve">ordinário, não tendo incidência no procedimento sumário. </w:t>
            </w:r>
            <w:r w:rsidRPr="00EF0D86">
              <w:rPr>
                <w:rFonts w:ascii="Times New Roman" w:hAnsi="Times New Roman" w:cs="Times New Roman"/>
                <w:b/>
                <w:sz w:val="20"/>
                <w:szCs w:val="20"/>
              </w:rPr>
              <w:t xml:space="preserve"> </w:t>
            </w:r>
            <w:r w:rsidRPr="00EF0D86">
              <w:rPr>
                <w:rFonts w:ascii="Times New Roman" w:hAnsi="Times New Roman" w:cs="Times New Roman"/>
                <w:bCs/>
                <w:sz w:val="20"/>
                <w:szCs w:val="20"/>
              </w:rPr>
              <w:t>Além disso, mesmo que 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EF016B" w:rsidRPr="00EF0D86" w:rsidRDefault="00EF016B" w:rsidP="004B46C3">
            <w:pPr>
              <w:rPr>
                <w:rFonts w:ascii="Times New Roman" w:hAnsi="Times New Roman" w:cs="Times New Roman"/>
                <w:sz w:val="20"/>
                <w:szCs w:val="20"/>
              </w:rPr>
            </w:pPr>
          </w:p>
        </w:tc>
      </w:tr>
      <w:tr w:rsidR="00EF016B"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jc w:val="center"/>
              <w:rPr>
                <w:rFonts w:cs="Times New Roman"/>
                <w:b/>
                <w:sz w:val="20"/>
                <w:szCs w:val="20"/>
              </w:rPr>
            </w:pPr>
            <w:r w:rsidRPr="00EF0D86">
              <w:rPr>
                <w:rFonts w:cs="Times New Roman"/>
                <w:b/>
                <w:sz w:val="20"/>
                <w:szCs w:val="20"/>
              </w:rPr>
              <w:lastRenderedPageBreak/>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b/>
                <w:bCs/>
                <w:sz w:val="20"/>
                <w:szCs w:val="20"/>
              </w:rPr>
            </w:pPr>
            <w:r>
              <w:rPr>
                <w:rFonts w:ascii="Times New Roman" w:hAnsi="Times New Roman" w:cs="Times New Roman"/>
                <w:b/>
                <w:bCs/>
                <w:sz w:val="20"/>
                <w:szCs w:val="20"/>
              </w:rPr>
              <w:t>5</w:t>
            </w:r>
            <w:r w:rsidRPr="00EF0D86">
              <w:rPr>
                <w:rFonts w:ascii="Times New Roman" w:hAnsi="Times New Roman" w:cs="Times New Roman"/>
                <w:b/>
                <w:bCs/>
                <w:sz w:val="20"/>
                <w:szCs w:val="20"/>
              </w:rPr>
              <w:t>,</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p>
        </w:tc>
      </w:tr>
    </w:tbl>
    <w:p w:rsidR="00EF016B" w:rsidRPr="00EF0D86" w:rsidRDefault="00EF016B" w:rsidP="00EF016B">
      <w:pPr>
        <w:pStyle w:val="Standarduser"/>
        <w:rPr>
          <w:sz w:val="20"/>
          <w:szCs w:val="20"/>
        </w:rPr>
      </w:pPr>
    </w:p>
    <w:p w:rsidR="00EF016B" w:rsidRPr="00EF0D86" w:rsidRDefault="00EF016B" w:rsidP="00EF016B">
      <w:pPr>
        <w:pStyle w:val="Standarduser"/>
        <w:rPr>
          <w:sz w:val="20"/>
          <w:szCs w:val="20"/>
        </w:rPr>
      </w:pPr>
    </w:p>
    <w:p w:rsidR="00EF016B" w:rsidRDefault="00EF016B" w:rsidP="00EF016B"/>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EF016B"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016B" w:rsidRPr="00EF0D86" w:rsidRDefault="00EF016B"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 xml:space="preserve">Pedro Mendes da Silva  USP </w:t>
            </w:r>
            <w:r w:rsidR="001E0C34">
              <w:rPr>
                <w:rFonts w:cs="Times New Roman"/>
                <w:sz w:val="20"/>
                <w:szCs w:val="20"/>
              </w:rPr>
              <w:t>9913384</w:t>
            </w:r>
          </w:p>
        </w:tc>
      </w:tr>
      <w:tr w:rsidR="00EF016B"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EF016B"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snapToGrid w:val="0"/>
              <w:jc w:val="center"/>
              <w:rPr>
                <w:rFonts w:cs="Times New Roman"/>
                <w:sz w:val="20"/>
                <w:szCs w:val="20"/>
              </w:rPr>
            </w:pPr>
          </w:p>
          <w:p w:rsidR="00EF016B" w:rsidRPr="00EF0D86" w:rsidRDefault="00EF016B" w:rsidP="004B46C3">
            <w:pPr>
              <w:pStyle w:val="TableContents"/>
              <w:jc w:val="center"/>
              <w:rPr>
                <w:rFonts w:cs="Times New Roman"/>
                <w:sz w:val="20"/>
                <w:szCs w:val="20"/>
              </w:rPr>
            </w:pPr>
          </w:p>
          <w:p w:rsidR="00EF016B" w:rsidRPr="00EF0D86" w:rsidRDefault="00EF016B" w:rsidP="004B46C3">
            <w:pPr>
              <w:pStyle w:val="TableContents"/>
              <w:jc w:val="center"/>
              <w:rPr>
                <w:rFonts w:cs="Times New Roman"/>
                <w:sz w:val="20"/>
                <w:szCs w:val="20"/>
              </w:rPr>
            </w:pPr>
            <w:r w:rsidRPr="00EF0D86">
              <w:rPr>
                <w:rFonts w:cs="Times New Roman"/>
                <w:sz w:val="20"/>
                <w:szCs w:val="20"/>
              </w:rPr>
              <w:t>QUESTÃO 1</w:t>
            </w:r>
          </w:p>
          <w:p w:rsidR="00EF016B" w:rsidRPr="00EF0D86" w:rsidRDefault="00EF016B"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1E0C34" w:rsidP="004B46C3">
            <w:pPr>
              <w:pStyle w:val="TableContents"/>
              <w:rPr>
                <w:rFonts w:cs="Times New Roman"/>
                <w:sz w:val="20"/>
                <w:szCs w:val="20"/>
              </w:rPr>
            </w:pPr>
            <w:r>
              <w:rPr>
                <w:rFonts w:cs="Times New Roman"/>
                <w:sz w:val="20"/>
                <w:szCs w:val="20"/>
              </w:rPr>
              <w:t xml:space="preserve">Errada resposta. Era caso de pronúncia. </w:t>
            </w:r>
          </w:p>
        </w:tc>
      </w:tr>
      <w:tr w:rsidR="00EF016B"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EF016B"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pStyle w:val="TableContents"/>
              <w:snapToGrid w:val="0"/>
              <w:jc w:val="both"/>
              <w:rPr>
                <w:rFonts w:cs="Times New Roman"/>
                <w:sz w:val="20"/>
                <w:szCs w:val="20"/>
              </w:rPr>
            </w:pPr>
            <w:r w:rsidRPr="00EF0D86">
              <w:rPr>
                <w:rFonts w:cs="Times New Roman"/>
                <w:sz w:val="20"/>
                <w:szCs w:val="20"/>
              </w:rPr>
              <w:t>Correta resposta</w:t>
            </w:r>
          </w:p>
        </w:tc>
      </w:tr>
      <w:tr w:rsidR="00EF016B"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pStyle w:val="TableContents"/>
              <w:snapToGrid w:val="0"/>
              <w:rPr>
                <w:rFonts w:cs="Times New Roman"/>
                <w:sz w:val="20"/>
                <w:szCs w:val="20"/>
              </w:rPr>
            </w:pPr>
            <w:r>
              <w:rPr>
                <w:rFonts w:cs="Times New Roman"/>
                <w:sz w:val="20"/>
                <w:szCs w:val="20"/>
              </w:rPr>
              <w:t>Resposta incorreta. O juiz errou</w:t>
            </w:r>
            <w:r w:rsidRPr="00EF0D86">
              <w:rPr>
                <w:rFonts w:cs="Times New Roman"/>
                <w:sz w:val="20"/>
                <w:szCs w:val="20"/>
              </w:rPr>
              <w:t>. Como tanto o réu, em seu interrogatório, quanto o defensor, em plenário, alegaram tese de que o crime foi culposo, e por tal situação caracterizar hipótese de desclassificação própria, deveria ser formulado um quesito específico sobre a desclassificação, após o segundo quesito, nos termos do art. 483, § 4º, do CPP.</w:t>
            </w:r>
          </w:p>
        </w:tc>
      </w:tr>
      <w:tr w:rsidR="00EF016B"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snapToGrid w:val="0"/>
              <w:jc w:val="center"/>
              <w:rPr>
                <w:rFonts w:cs="Times New Roman"/>
                <w:sz w:val="20"/>
                <w:szCs w:val="20"/>
              </w:rPr>
            </w:pPr>
          </w:p>
          <w:p w:rsidR="00EF016B" w:rsidRPr="00EF0D86" w:rsidRDefault="00EF016B" w:rsidP="004B46C3">
            <w:pPr>
              <w:pStyle w:val="TableContents"/>
              <w:jc w:val="center"/>
              <w:rPr>
                <w:rFonts w:cs="Times New Roman"/>
                <w:sz w:val="20"/>
                <w:szCs w:val="20"/>
              </w:rPr>
            </w:pPr>
            <w:r w:rsidRPr="00EF0D86">
              <w:rPr>
                <w:rFonts w:cs="Times New Roman"/>
                <w:sz w:val="20"/>
                <w:szCs w:val="20"/>
              </w:rPr>
              <w:t>QUESTÃO 2</w:t>
            </w:r>
          </w:p>
          <w:p w:rsidR="00EF016B" w:rsidRPr="00EF0D86" w:rsidRDefault="00EF016B"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0,0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1E0C34" w:rsidP="004B46C3">
            <w:pPr>
              <w:rPr>
                <w:rFonts w:ascii="Times New Roman" w:hAnsi="Times New Roman" w:cs="Times New Roman"/>
                <w:sz w:val="20"/>
                <w:szCs w:val="20"/>
              </w:rPr>
            </w:pPr>
            <w:r>
              <w:rPr>
                <w:rFonts w:ascii="Times New Roman" w:hAnsi="Times New Roman" w:cs="Times New Roman"/>
                <w:sz w:val="20"/>
                <w:szCs w:val="20"/>
              </w:rPr>
              <w:t>A resposta está errada. A premissa que deveria ser identificada é que o</w:t>
            </w:r>
            <w:r w:rsidRPr="00EF0D86">
              <w:rPr>
                <w:rFonts w:ascii="Times New Roman" w:hAnsi="Times New Roman" w:cs="Times New Roman"/>
                <w:sz w:val="20"/>
                <w:szCs w:val="20"/>
              </w:rPr>
              <w:t xml:space="preserve"> crime de abandono de incapaz, na modalidade simples, tem pena máxima cominada de 3 anos, sendo-lhe aplicável o procedimento comum sumario (CPP, art. 394, § 1º, II)</w:t>
            </w:r>
            <w:r>
              <w:rPr>
                <w:rFonts w:ascii="Times New Roman" w:hAnsi="Times New Roman" w:cs="Times New Roman"/>
                <w:sz w:val="20"/>
                <w:szCs w:val="20"/>
              </w:rPr>
              <w:t>. Assim sendo, o</w:t>
            </w:r>
            <w:r w:rsidRPr="00EF0D86">
              <w:rPr>
                <w:rFonts w:ascii="Times New Roman" w:hAnsi="Times New Roman" w:cs="Times New Roman"/>
                <w:sz w:val="20"/>
                <w:szCs w:val="20"/>
              </w:rPr>
              <w:t xml:space="preserve"> juiz errou em permitir a oitiva de 6 testemunhas de acusação</w:t>
            </w:r>
            <w:r>
              <w:rPr>
                <w:rFonts w:ascii="Times New Roman" w:hAnsi="Times New Roman" w:cs="Times New Roman"/>
                <w:sz w:val="20"/>
                <w:szCs w:val="20"/>
              </w:rPr>
              <w:t xml:space="preserve">, porque em tal rito, </w:t>
            </w:r>
            <w:r w:rsidRPr="00EF0D86">
              <w:rPr>
                <w:rFonts w:ascii="Times New Roman" w:hAnsi="Times New Roman" w:cs="Times New Roman"/>
                <w:sz w:val="20"/>
                <w:szCs w:val="20"/>
              </w:rPr>
              <w:t>podem ser ouvidas, no máximo</w:t>
            </w:r>
            <w:r>
              <w:rPr>
                <w:rFonts w:ascii="Times New Roman" w:hAnsi="Times New Roman" w:cs="Times New Roman"/>
                <w:sz w:val="20"/>
                <w:szCs w:val="20"/>
              </w:rPr>
              <w:t>,</w:t>
            </w:r>
            <w:r w:rsidRPr="00EF0D86">
              <w:rPr>
                <w:rFonts w:ascii="Times New Roman" w:hAnsi="Times New Roman" w:cs="Times New Roman"/>
                <w:sz w:val="20"/>
                <w:szCs w:val="20"/>
              </w:rPr>
              <w:t xml:space="preserve"> 5 testemunhas, segundo o art. 532 do CPP. Logo, o juiz deveria ter determinado que o Ministério Público readequasse o rol de testemunhas, excluindo uma delas.</w:t>
            </w:r>
          </w:p>
        </w:tc>
      </w:tr>
      <w:tr w:rsidR="00EF016B"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EF016B" w:rsidRPr="00EF0D86" w:rsidRDefault="00EF016B"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1E0C34" w:rsidP="004B46C3">
            <w:pPr>
              <w:rPr>
                <w:rFonts w:ascii="Times New Roman" w:hAnsi="Times New Roman" w:cs="Times New Roman"/>
                <w:sz w:val="20"/>
                <w:szCs w:val="20"/>
              </w:rPr>
            </w:pPr>
            <w:r>
              <w:rPr>
                <w:rFonts w:ascii="Times New Roman" w:hAnsi="Times New Roman" w:cs="Times New Roman"/>
                <w:sz w:val="20"/>
                <w:szCs w:val="20"/>
              </w:rPr>
              <w:t>O</w:t>
            </w:r>
            <w:r w:rsidR="00EF016B">
              <w:rPr>
                <w:rFonts w:ascii="Times New Roman" w:hAnsi="Times New Roman" w:cs="Times New Roman"/>
                <w:sz w:val="20"/>
                <w:szCs w:val="20"/>
              </w:rPr>
              <w:t xml:space="preserve"> </w:t>
            </w:r>
            <w:r w:rsidR="00EF016B" w:rsidRPr="00EF0D86">
              <w:rPr>
                <w:rFonts w:ascii="Times New Roman" w:hAnsi="Times New Roman" w:cs="Times New Roman"/>
                <w:sz w:val="20"/>
                <w:szCs w:val="20"/>
              </w:rPr>
              <w:t xml:space="preserve">juiz errou ao possibilitar as partes requerimento de diligências complementares. Isso porque, a hipótese do art. 402 do CPP é aplicável somente ao procedimento comum ordinário, não tendo incidência no procedimento sumário. </w:t>
            </w:r>
            <w:r w:rsidR="00EF016B" w:rsidRPr="00EF0D86">
              <w:rPr>
                <w:rFonts w:ascii="Times New Roman" w:hAnsi="Times New Roman" w:cs="Times New Roman"/>
                <w:b/>
                <w:sz w:val="20"/>
                <w:szCs w:val="20"/>
              </w:rPr>
              <w:t xml:space="preserve"> </w:t>
            </w:r>
            <w:r w:rsidRPr="001E0C34">
              <w:rPr>
                <w:rFonts w:ascii="Times New Roman" w:hAnsi="Times New Roman" w:cs="Times New Roman"/>
                <w:bCs/>
                <w:sz w:val="20"/>
                <w:szCs w:val="20"/>
              </w:rPr>
              <w:t>Por outro lado, a resposta está correta ao identificar que</w:t>
            </w:r>
            <w:r>
              <w:rPr>
                <w:rFonts w:ascii="Times New Roman" w:hAnsi="Times New Roman" w:cs="Times New Roman"/>
                <w:b/>
                <w:sz w:val="20"/>
                <w:szCs w:val="20"/>
              </w:rPr>
              <w:t xml:space="preserve"> </w:t>
            </w:r>
            <w:r>
              <w:rPr>
                <w:rFonts w:ascii="Times New Roman" w:hAnsi="Times New Roman" w:cs="Times New Roman"/>
                <w:bCs/>
                <w:sz w:val="20"/>
                <w:szCs w:val="20"/>
              </w:rPr>
              <w:t xml:space="preserve">se </w:t>
            </w:r>
            <w:r w:rsidR="00EF016B" w:rsidRPr="00EF0D86">
              <w:rPr>
                <w:rFonts w:ascii="Times New Roman" w:hAnsi="Times New Roman" w:cs="Times New Roman"/>
                <w:bCs/>
                <w:sz w:val="20"/>
                <w:szCs w:val="20"/>
              </w:rPr>
              <w:t>fossem cabíveis em tese, as diligências complementares somente são admissíveis em relação a provas “</w:t>
            </w:r>
            <w:r w:rsidR="00EF016B"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w:t>
            </w:r>
            <w:r w:rsidR="00EF016B" w:rsidRPr="00EF0D86">
              <w:rPr>
                <w:rFonts w:ascii="Times New Roman" w:hAnsi="Times New Roman" w:cs="Times New Roman"/>
                <w:color w:val="000000"/>
                <w:sz w:val="20"/>
                <w:szCs w:val="20"/>
                <w:shd w:val="clear" w:color="auto" w:fill="FFFFFF"/>
              </w:rPr>
              <w:lastRenderedPageBreak/>
              <w:t xml:space="preserve">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EF016B" w:rsidRPr="00EF0D86" w:rsidRDefault="00EF016B" w:rsidP="004B46C3">
            <w:pPr>
              <w:rPr>
                <w:rFonts w:ascii="Times New Roman" w:hAnsi="Times New Roman" w:cs="Times New Roman"/>
                <w:sz w:val="20"/>
                <w:szCs w:val="20"/>
              </w:rPr>
            </w:pPr>
          </w:p>
        </w:tc>
      </w:tr>
      <w:tr w:rsidR="00EF016B"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EF016B" w:rsidRPr="00EF0D86" w:rsidRDefault="00EF016B" w:rsidP="004B46C3">
            <w:pPr>
              <w:pStyle w:val="TableContents"/>
              <w:jc w:val="center"/>
              <w:rPr>
                <w:rFonts w:cs="Times New Roman"/>
                <w:b/>
                <w:sz w:val="20"/>
                <w:szCs w:val="20"/>
              </w:rPr>
            </w:pPr>
            <w:r w:rsidRPr="00EF0D86">
              <w:rPr>
                <w:rFonts w:cs="Times New Roman"/>
                <w:b/>
                <w:sz w:val="20"/>
                <w:szCs w:val="20"/>
              </w:rPr>
              <w:lastRenderedPageBreak/>
              <w:t>NOTA FINAL</w:t>
            </w:r>
          </w:p>
        </w:tc>
        <w:tc>
          <w:tcPr>
            <w:tcW w:w="1501" w:type="dxa"/>
            <w:tcBorders>
              <w:left w:val="single" w:sz="2" w:space="0" w:color="000000"/>
              <w:bottom w:val="single" w:sz="2" w:space="0" w:color="000000"/>
            </w:tcBorders>
            <w:tcMar>
              <w:top w:w="0" w:type="dxa"/>
              <w:left w:w="10" w:type="dxa"/>
              <w:bottom w:w="0" w:type="dxa"/>
              <w:right w:w="10" w:type="dxa"/>
            </w:tcMar>
          </w:tcPr>
          <w:p w:rsidR="00EF016B" w:rsidRPr="00EF0D86" w:rsidRDefault="001E0C34" w:rsidP="004B46C3">
            <w:pPr>
              <w:jc w:val="center"/>
              <w:rPr>
                <w:rFonts w:ascii="Times New Roman" w:hAnsi="Times New Roman" w:cs="Times New Roman"/>
                <w:b/>
                <w:bCs/>
                <w:sz w:val="20"/>
                <w:szCs w:val="20"/>
              </w:rPr>
            </w:pPr>
            <w:r>
              <w:rPr>
                <w:rFonts w:ascii="Times New Roman" w:hAnsi="Times New Roman" w:cs="Times New Roman"/>
                <w:b/>
                <w:bCs/>
                <w:sz w:val="20"/>
                <w:szCs w:val="20"/>
              </w:rPr>
              <w:t>3</w:t>
            </w:r>
            <w:r w:rsidR="00EF016B" w:rsidRPr="00EF0D86">
              <w:rPr>
                <w:rFonts w:ascii="Times New Roman" w:hAnsi="Times New Roman" w:cs="Times New Roman"/>
                <w:b/>
                <w:bCs/>
                <w:sz w:val="20"/>
                <w:szCs w:val="20"/>
              </w:rPr>
              <w:t>,</w:t>
            </w:r>
            <w:r w:rsidR="00EF016B">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EF016B" w:rsidRPr="00EF0D86" w:rsidRDefault="00EF016B" w:rsidP="004B46C3">
            <w:pPr>
              <w:jc w:val="center"/>
              <w:rPr>
                <w:rFonts w:ascii="Times New Roman" w:hAnsi="Times New Roman" w:cs="Times New Roman"/>
                <w:sz w:val="20"/>
                <w:szCs w:val="20"/>
              </w:rPr>
            </w:pPr>
          </w:p>
        </w:tc>
      </w:tr>
    </w:tbl>
    <w:p w:rsidR="00EF016B" w:rsidRPr="00EF0D86" w:rsidRDefault="00EF016B" w:rsidP="00EF016B">
      <w:pPr>
        <w:pStyle w:val="Standarduser"/>
        <w:rPr>
          <w:sz w:val="20"/>
          <w:szCs w:val="20"/>
        </w:rPr>
      </w:pPr>
    </w:p>
    <w:p w:rsidR="00EF016B" w:rsidRPr="00EF0D86" w:rsidRDefault="00EF016B" w:rsidP="00EF016B">
      <w:pPr>
        <w:pStyle w:val="Standarduser"/>
        <w:rPr>
          <w:sz w:val="20"/>
          <w:szCs w:val="20"/>
        </w:rPr>
      </w:pPr>
    </w:p>
    <w:p w:rsidR="00EF016B" w:rsidRDefault="00EF016B" w:rsidP="00EF016B"/>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1E0C34"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0C34" w:rsidRPr="00EF0D86" w:rsidRDefault="001E0C34"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Caroline C. Malheiros  USP 10338339</w:t>
            </w:r>
          </w:p>
        </w:tc>
      </w:tr>
      <w:tr w:rsidR="001E0C34"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1E0C34"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pStyle w:val="TableContents"/>
              <w:snapToGrid w:val="0"/>
              <w:jc w:val="center"/>
              <w:rPr>
                <w:rFonts w:cs="Times New Roman"/>
                <w:sz w:val="20"/>
                <w:szCs w:val="20"/>
              </w:rPr>
            </w:pPr>
          </w:p>
          <w:p w:rsidR="001E0C34" w:rsidRPr="00EF0D86" w:rsidRDefault="001E0C34" w:rsidP="004B46C3">
            <w:pPr>
              <w:pStyle w:val="TableContents"/>
              <w:jc w:val="center"/>
              <w:rPr>
                <w:rFonts w:cs="Times New Roman"/>
                <w:sz w:val="20"/>
                <w:szCs w:val="20"/>
              </w:rPr>
            </w:pPr>
          </w:p>
          <w:p w:rsidR="001E0C34" w:rsidRPr="00EF0D86" w:rsidRDefault="001E0C34" w:rsidP="004B46C3">
            <w:pPr>
              <w:pStyle w:val="TableContents"/>
              <w:jc w:val="center"/>
              <w:rPr>
                <w:rFonts w:cs="Times New Roman"/>
                <w:sz w:val="20"/>
                <w:szCs w:val="20"/>
              </w:rPr>
            </w:pPr>
            <w:r w:rsidRPr="00EF0D86">
              <w:rPr>
                <w:rFonts w:cs="Times New Roman"/>
                <w:sz w:val="20"/>
                <w:szCs w:val="20"/>
              </w:rPr>
              <w:t>QUESTÃO 1</w:t>
            </w:r>
          </w:p>
          <w:p w:rsidR="001E0C34" w:rsidRPr="00EF0D86" w:rsidRDefault="001E0C34"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pStyle w:val="TableContents"/>
              <w:rPr>
                <w:rFonts w:cs="Times New Roman"/>
                <w:sz w:val="20"/>
                <w:szCs w:val="20"/>
              </w:rPr>
            </w:pPr>
            <w:r>
              <w:rPr>
                <w:rFonts w:cs="Times New Roman"/>
                <w:sz w:val="20"/>
                <w:szCs w:val="20"/>
              </w:rPr>
              <w:t xml:space="preserve">Correta resposta. </w:t>
            </w:r>
          </w:p>
        </w:tc>
      </w:tr>
      <w:tr w:rsidR="001E0C34"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1E0C34"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pStyle w:val="TableContents"/>
              <w:snapToGrid w:val="0"/>
              <w:jc w:val="both"/>
              <w:rPr>
                <w:rFonts w:cs="Times New Roman"/>
                <w:sz w:val="20"/>
                <w:szCs w:val="20"/>
              </w:rPr>
            </w:pPr>
            <w:r w:rsidRPr="00EF0D86">
              <w:rPr>
                <w:rFonts w:cs="Times New Roman"/>
                <w:sz w:val="20"/>
                <w:szCs w:val="20"/>
              </w:rPr>
              <w:t>Correta resposta</w:t>
            </w:r>
          </w:p>
        </w:tc>
      </w:tr>
      <w:tr w:rsidR="001E0C34"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1E0C34">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jc w:val="center"/>
              <w:rPr>
                <w:rFonts w:ascii="Times New Roman" w:hAnsi="Times New Roman" w:cs="Times New Roman"/>
                <w:sz w:val="20"/>
                <w:szCs w:val="20"/>
              </w:rPr>
            </w:pPr>
            <w:r w:rsidRPr="00EF0D86">
              <w:rPr>
                <w:rFonts w:ascii="Times New Roman" w:hAnsi="Times New Roman" w:cs="Times New Roman"/>
                <w:sz w:val="20"/>
                <w:szCs w:val="20"/>
              </w:rPr>
              <w:t>1,</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1E0C34">
            <w:pPr>
              <w:pStyle w:val="TableContents"/>
              <w:snapToGrid w:val="0"/>
              <w:jc w:val="both"/>
              <w:rPr>
                <w:rFonts w:cs="Times New Roman"/>
                <w:sz w:val="20"/>
                <w:szCs w:val="20"/>
              </w:rPr>
            </w:pPr>
            <w:r w:rsidRPr="00EF0D86">
              <w:rPr>
                <w:rFonts w:cs="Times New Roman"/>
                <w:sz w:val="20"/>
                <w:szCs w:val="20"/>
              </w:rPr>
              <w:t>Correta resposta</w:t>
            </w:r>
          </w:p>
        </w:tc>
      </w:tr>
      <w:tr w:rsidR="001E0C34"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1E0C34" w:rsidRPr="00EF0D86" w:rsidRDefault="001E0C34" w:rsidP="001E0C34">
            <w:pPr>
              <w:pStyle w:val="TableContents"/>
              <w:snapToGrid w:val="0"/>
              <w:jc w:val="center"/>
              <w:rPr>
                <w:rFonts w:cs="Times New Roman"/>
                <w:sz w:val="20"/>
                <w:szCs w:val="20"/>
              </w:rPr>
            </w:pPr>
          </w:p>
          <w:p w:rsidR="001E0C34" w:rsidRPr="00EF0D86" w:rsidRDefault="001E0C34" w:rsidP="001E0C34">
            <w:pPr>
              <w:pStyle w:val="TableContents"/>
              <w:jc w:val="center"/>
              <w:rPr>
                <w:rFonts w:cs="Times New Roman"/>
                <w:sz w:val="20"/>
                <w:szCs w:val="20"/>
              </w:rPr>
            </w:pPr>
            <w:r w:rsidRPr="00EF0D86">
              <w:rPr>
                <w:rFonts w:cs="Times New Roman"/>
                <w:sz w:val="20"/>
                <w:szCs w:val="20"/>
              </w:rPr>
              <w:t>QUESTÃO 2</w:t>
            </w:r>
          </w:p>
          <w:p w:rsidR="001E0C34" w:rsidRPr="00EF0D86" w:rsidRDefault="001E0C34" w:rsidP="001E0C34">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jc w:val="center"/>
              <w:rPr>
                <w:rFonts w:ascii="Times New Roman" w:hAnsi="Times New Roman" w:cs="Times New Roman"/>
                <w:sz w:val="20"/>
                <w:szCs w:val="20"/>
              </w:rPr>
            </w:pPr>
            <w:r>
              <w:rPr>
                <w:rFonts w:ascii="Times New Roman" w:hAnsi="Times New Roman" w:cs="Times New Roman"/>
                <w:sz w:val="20"/>
                <w:szCs w:val="20"/>
              </w:rPr>
              <w:t>0,0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1E0C34">
            <w:pPr>
              <w:rPr>
                <w:rFonts w:ascii="Times New Roman" w:hAnsi="Times New Roman" w:cs="Times New Roman"/>
                <w:sz w:val="20"/>
                <w:szCs w:val="20"/>
              </w:rPr>
            </w:pPr>
            <w:r>
              <w:rPr>
                <w:rFonts w:ascii="Times New Roman" w:hAnsi="Times New Roman" w:cs="Times New Roman"/>
                <w:sz w:val="20"/>
                <w:szCs w:val="20"/>
              </w:rPr>
              <w:t>A resposta está errada. A premissa que deveria ser identificada é que o</w:t>
            </w:r>
            <w:r w:rsidRPr="00EF0D86">
              <w:rPr>
                <w:rFonts w:ascii="Times New Roman" w:hAnsi="Times New Roman" w:cs="Times New Roman"/>
                <w:sz w:val="20"/>
                <w:szCs w:val="20"/>
              </w:rPr>
              <w:t xml:space="preserve"> crime de abandono de incapaz, na modalidade simples, tem pena máxima cominada de 3 anos, sendo-lhe aplicável o procedimento comum sumario (CPP, art. 394, § 1º, II)</w:t>
            </w:r>
            <w:r>
              <w:rPr>
                <w:rFonts w:ascii="Times New Roman" w:hAnsi="Times New Roman" w:cs="Times New Roman"/>
                <w:sz w:val="20"/>
                <w:szCs w:val="20"/>
              </w:rPr>
              <w:t>. Assim sendo, o</w:t>
            </w:r>
            <w:r w:rsidRPr="00EF0D86">
              <w:rPr>
                <w:rFonts w:ascii="Times New Roman" w:hAnsi="Times New Roman" w:cs="Times New Roman"/>
                <w:sz w:val="20"/>
                <w:szCs w:val="20"/>
              </w:rPr>
              <w:t xml:space="preserve"> juiz errou em permitir a oitiva de 6 testemunhas de acusação</w:t>
            </w:r>
            <w:r>
              <w:rPr>
                <w:rFonts w:ascii="Times New Roman" w:hAnsi="Times New Roman" w:cs="Times New Roman"/>
                <w:sz w:val="20"/>
                <w:szCs w:val="20"/>
              </w:rPr>
              <w:t xml:space="preserve">, porque em tal rito, </w:t>
            </w:r>
            <w:r w:rsidRPr="00EF0D86">
              <w:rPr>
                <w:rFonts w:ascii="Times New Roman" w:hAnsi="Times New Roman" w:cs="Times New Roman"/>
                <w:sz w:val="20"/>
                <w:szCs w:val="20"/>
              </w:rPr>
              <w:t>podem ser ouvidas, no máximo</w:t>
            </w:r>
            <w:r>
              <w:rPr>
                <w:rFonts w:ascii="Times New Roman" w:hAnsi="Times New Roman" w:cs="Times New Roman"/>
                <w:sz w:val="20"/>
                <w:szCs w:val="20"/>
              </w:rPr>
              <w:t>,</w:t>
            </w:r>
            <w:r w:rsidRPr="00EF0D86">
              <w:rPr>
                <w:rFonts w:ascii="Times New Roman" w:hAnsi="Times New Roman" w:cs="Times New Roman"/>
                <w:sz w:val="20"/>
                <w:szCs w:val="20"/>
              </w:rPr>
              <w:t xml:space="preserve"> 5 testemunhas, segundo o art. 532 do CPP. Logo, o juiz deveria ter determinado que o Ministério Público readequasse o rol de testemunhas, excluindo uma delas.</w:t>
            </w:r>
          </w:p>
        </w:tc>
      </w:tr>
      <w:tr w:rsidR="001E0C34"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1E0C34">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1E0C34">
            <w:pPr>
              <w:jc w:val="center"/>
              <w:rPr>
                <w:rFonts w:ascii="Times New Roman" w:hAnsi="Times New Roman" w:cs="Times New Roman"/>
                <w:sz w:val="20"/>
                <w:szCs w:val="20"/>
              </w:rPr>
            </w:pPr>
            <w:r>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1E0C34">
            <w:pPr>
              <w:rPr>
                <w:rFonts w:ascii="Times New Roman" w:hAnsi="Times New Roman" w:cs="Times New Roman"/>
                <w:sz w:val="20"/>
                <w:szCs w:val="20"/>
              </w:rPr>
            </w:pPr>
            <w:r>
              <w:rPr>
                <w:rFonts w:ascii="Times New Roman" w:hAnsi="Times New Roman" w:cs="Times New Roman"/>
                <w:sz w:val="20"/>
                <w:szCs w:val="20"/>
              </w:rPr>
              <w:t xml:space="preserve">O </w:t>
            </w:r>
            <w:r w:rsidRPr="00EF0D86">
              <w:rPr>
                <w:rFonts w:ascii="Times New Roman" w:hAnsi="Times New Roman" w:cs="Times New Roman"/>
                <w:sz w:val="20"/>
                <w:szCs w:val="20"/>
              </w:rPr>
              <w:t xml:space="preserve">juiz errou ao possibilitar as partes requerimento de diligências complementares. Isso porque, a hipótese do art. 402 do CPP é aplicável somente ao procedimento comum ordinário, não tendo incidência no procedimento sumário. </w:t>
            </w:r>
            <w:r w:rsidRPr="00EF0D86">
              <w:rPr>
                <w:rFonts w:ascii="Times New Roman" w:hAnsi="Times New Roman" w:cs="Times New Roman"/>
                <w:b/>
                <w:sz w:val="20"/>
                <w:szCs w:val="20"/>
              </w:rPr>
              <w:t xml:space="preserve"> </w:t>
            </w:r>
            <w:r w:rsidRPr="001E0C34">
              <w:rPr>
                <w:rFonts w:ascii="Times New Roman" w:hAnsi="Times New Roman" w:cs="Times New Roman"/>
                <w:bCs/>
                <w:sz w:val="20"/>
                <w:szCs w:val="20"/>
              </w:rPr>
              <w:t>Por outro lado, a resposta está correta ao identificar que</w:t>
            </w:r>
            <w:r>
              <w:rPr>
                <w:rFonts w:ascii="Times New Roman" w:hAnsi="Times New Roman" w:cs="Times New Roman"/>
                <w:b/>
                <w:sz w:val="20"/>
                <w:szCs w:val="20"/>
              </w:rPr>
              <w:t xml:space="preserve"> </w:t>
            </w:r>
            <w:r>
              <w:rPr>
                <w:rFonts w:ascii="Times New Roman" w:hAnsi="Times New Roman" w:cs="Times New Roman"/>
                <w:bCs/>
                <w:sz w:val="20"/>
                <w:szCs w:val="20"/>
              </w:rPr>
              <w:t xml:space="preserve">se </w:t>
            </w:r>
            <w:r w:rsidRPr="00EF0D86">
              <w:rPr>
                <w:rFonts w:ascii="Times New Roman" w:hAnsi="Times New Roman" w:cs="Times New Roman"/>
                <w:bCs/>
                <w:sz w:val="20"/>
                <w:szCs w:val="20"/>
              </w:rPr>
              <w:t>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1E0C34" w:rsidRPr="00EF0D86" w:rsidRDefault="001E0C34" w:rsidP="001E0C34">
            <w:pPr>
              <w:rPr>
                <w:rFonts w:ascii="Times New Roman" w:hAnsi="Times New Roman" w:cs="Times New Roman"/>
                <w:sz w:val="20"/>
                <w:szCs w:val="20"/>
              </w:rPr>
            </w:pPr>
          </w:p>
        </w:tc>
      </w:tr>
      <w:tr w:rsidR="001E0C34"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b/>
                <w:bCs/>
                <w:sz w:val="20"/>
                <w:szCs w:val="20"/>
              </w:rPr>
            </w:pPr>
            <w:r>
              <w:rPr>
                <w:rFonts w:ascii="Times New Roman" w:hAnsi="Times New Roman" w:cs="Times New Roman"/>
                <w:b/>
                <w:bCs/>
                <w:sz w:val="20"/>
                <w:szCs w:val="20"/>
              </w:rPr>
              <w:t>5</w:t>
            </w:r>
            <w:r w:rsidRPr="00EF0D86">
              <w:rPr>
                <w:rFonts w:ascii="Times New Roman" w:hAnsi="Times New Roman" w:cs="Times New Roman"/>
                <w:b/>
                <w:bCs/>
                <w:sz w:val="20"/>
                <w:szCs w:val="20"/>
              </w:rPr>
              <w:t>,</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p>
        </w:tc>
      </w:tr>
    </w:tbl>
    <w:p w:rsidR="00214AF9" w:rsidRDefault="00214AF9"/>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1E0C34"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0C34" w:rsidRPr="00EF0D86" w:rsidRDefault="001E0C34"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 xml:space="preserve">Juliana </w:t>
            </w:r>
            <w:proofErr w:type="spellStart"/>
            <w:r>
              <w:rPr>
                <w:rFonts w:cs="Times New Roman"/>
                <w:sz w:val="20"/>
                <w:szCs w:val="20"/>
              </w:rPr>
              <w:t>Liano</w:t>
            </w:r>
            <w:proofErr w:type="spellEnd"/>
            <w:r>
              <w:rPr>
                <w:rFonts w:cs="Times New Roman"/>
                <w:sz w:val="20"/>
                <w:szCs w:val="20"/>
              </w:rPr>
              <w:t xml:space="preserve"> Santos Souza  USP 10339494</w:t>
            </w:r>
          </w:p>
        </w:tc>
      </w:tr>
      <w:tr w:rsidR="001E0C34"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lastRenderedPageBreak/>
              <w:t>QUESTÃO</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1E0C34"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pStyle w:val="TableContents"/>
              <w:snapToGrid w:val="0"/>
              <w:jc w:val="center"/>
              <w:rPr>
                <w:rFonts w:cs="Times New Roman"/>
                <w:sz w:val="20"/>
                <w:szCs w:val="20"/>
              </w:rPr>
            </w:pPr>
          </w:p>
          <w:p w:rsidR="001E0C34" w:rsidRPr="00EF0D86" w:rsidRDefault="001E0C34" w:rsidP="004B46C3">
            <w:pPr>
              <w:pStyle w:val="TableContents"/>
              <w:jc w:val="center"/>
              <w:rPr>
                <w:rFonts w:cs="Times New Roman"/>
                <w:sz w:val="20"/>
                <w:szCs w:val="20"/>
              </w:rPr>
            </w:pPr>
          </w:p>
          <w:p w:rsidR="001E0C34" w:rsidRPr="00EF0D86" w:rsidRDefault="001E0C34" w:rsidP="004B46C3">
            <w:pPr>
              <w:pStyle w:val="TableContents"/>
              <w:jc w:val="center"/>
              <w:rPr>
                <w:rFonts w:cs="Times New Roman"/>
                <w:sz w:val="20"/>
                <w:szCs w:val="20"/>
              </w:rPr>
            </w:pPr>
            <w:r w:rsidRPr="00EF0D86">
              <w:rPr>
                <w:rFonts w:cs="Times New Roman"/>
                <w:sz w:val="20"/>
                <w:szCs w:val="20"/>
              </w:rPr>
              <w:t>QUESTÃO 1</w:t>
            </w:r>
          </w:p>
          <w:p w:rsidR="001E0C34" w:rsidRPr="00EF0D86" w:rsidRDefault="001E0C34"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pStyle w:val="TableContents"/>
              <w:rPr>
                <w:rFonts w:cs="Times New Roman"/>
                <w:sz w:val="20"/>
                <w:szCs w:val="20"/>
              </w:rPr>
            </w:pPr>
            <w:r>
              <w:rPr>
                <w:rFonts w:cs="Times New Roman"/>
                <w:sz w:val="20"/>
                <w:szCs w:val="20"/>
              </w:rPr>
              <w:t xml:space="preserve">Correta resposta. </w:t>
            </w:r>
          </w:p>
        </w:tc>
      </w:tr>
      <w:tr w:rsidR="001E0C34"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de resistência. Não caberá, em relação a este, decisão de absolvição sumária, impronúncia ou desclassificação. </w:t>
            </w:r>
          </w:p>
        </w:tc>
      </w:tr>
      <w:tr w:rsidR="001E0C34"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1</w:t>
            </w:r>
            <w:r w:rsidR="001E0C34" w:rsidRPr="00EF0D86">
              <w:rPr>
                <w:rFonts w:ascii="Times New Roman" w:hAnsi="Times New Roman" w:cs="Times New Roman"/>
                <w:sz w:val="20"/>
                <w:szCs w:val="20"/>
              </w:rPr>
              <w:t>,</w:t>
            </w:r>
            <w:r w:rsidR="001E0C34">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4B46C3" w:rsidP="004B46C3">
            <w:pPr>
              <w:pStyle w:val="TableContents"/>
              <w:snapToGrid w:val="0"/>
              <w:jc w:val="both"/>
              <w:rPr>
                <w:rFonts w:cs="Times New Roman"/>
                <w:sz w:val="20"/>
                <w:szCs w:val="20"/>
              </w:rPr>
            </w:pPr>
            <w:r>
              <w:rPr>
                <w:sz w:val="20"/>
                <w:szCs w:val="20"/>
              </w:rPr>
              <w:t>Resposta correta</w:t>
            </w:r>
            <w:r w:rsidRPr="00EE3736">
              <w:rPr>
                <w:sz w:val="20"/>
                <w:szCs w:val="20"/>
              </w:rPr>
              <w:t xml:space="preserve">. </w:t>
            </w:r>
          </w:p>
        </w:tc>
      </w:tr>
      <w:tr w:rsidR="004B46C3"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pStyle w:val="TableContents"/>
              <w:snapToGrid w:val="0"/>
              <w:rPr>
                <w:rFonts w:cs="Times New Roman"/>
                <w:sz w:val="20"/>
                <w:szCs w:val="20"/>
              </w:rPr>
            </w:pPr>
            <w:r>
              <w:rPr>
                <w:rFonts w:cs="Times New Roman"/>
                <w:sz w:val="20"/>
                <w:szCs w:val="20"/>
              </w:rPr>
              <w:t>Resposta incorreta. O juiz errou</w:t>
            </w:r>
            <w:r w:rsidRPr="00EF0D86">
              <w:rPr>
                <w:rFonts w:cs="Times New Roman"/>
                <w:sz w:val="20"/>
                <w:szCs w:val="20"/>
              </w:rPr>
              <w:t>. Como tanto o réu, em seu interrogatório, quanto o defensor, em plenário, alegaram tese de que o crime foi culposo, e por tal situação caracterizar hipótese de desclassificação própria, deveria ser formulado um quesito específico sobre a desclassificação, após o segundo quesito, nos termos do art. 483, § 4º, do CPP.</w:t>
            </w:r>
          </w:p>
        </w:tc>
      </w:tr>
      <w:tr w:rsidR="001E0C34"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pStyle w:val="TableContents"/>
              <w:snapToGrid w:val="0"/>
              <w:jc w:val="center"/>
              <w:rPr>
                <w:rFonts w:cs="Times New Roman"/>
                <w:sz w:val="20"/>
                <w:szCs w:val="20"/>
              </w:rPr>
            </w:pPr>
          </w:p>
          <w:p w:rsidR="001E0C34" w:rsidRPr="00EF0D86" w:rsidRDefault="001E0C34" w:rsidP="004B46C3">
            <w:pPr>
              <w:pStyle w:val="TableContents"/>
              <w:jc w:val="center"/>
              <w:rPr>
                <w:rFonts w:cs="Times New Roman"/>
                <w:sz w:val="20"/>
                <w:szCs w:val="20"/>
              </w:rPr>
            </w:pPr>
            <w:r w:rsidRPr="00EF0D86">
              <w:rPr>
                <w:rFonts w:cs="Times New Roman"/>
                <w:sz w:val="20"/>
                <w:szCs w:val="20"/>
              </w:rPr>
              <w:t>QUESTÃO 2</w:t>
            </w:r>
          </w:p>
          <w:p w:rsidR="001E0C34" w:rsidRPr="00EF0D86" w:rsidRDefault="001E0C34"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0,0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rPr>
                <w:rFonts w:ascii="Times New Roman" w:hAnsi="Times New Roman" w:cs="Times New Roman"/>
                <w:sz w:val="20"/>
                <w:szCs w:val="20"/>
              </w:rPr>
            </w:pPr>
            <w:r>
              <w:rPr>
                <w:rFonts w:ascii="Times New Roman" w:hAnsi="Times New Roman" w:cs="Times New Roman"/>
                <w:sz w:val="20"/>
                <w:szCs w:val="20"/>
              </w:rPr>
              <w:t>A resposta está errada. A premissa que deveria ser identificada é que o</w:t>
            </w:r>
            <w:r w:rsidRPr="00EF0D86">
              <w:rPr>
                <w:rFonts w:ascii="Times New Roman" w:hAnsi="Times New Roman" w:cs="Times New Roman"/>
                <w:sz w:val="20"/>
                <w:szCs w:val="20"/>
              </w:rPr>
              <w:t xml:space="preserve"> crime de abandono de incapaz, na modalidade simples, tem pena máxima cominada de 3 anos, sendo-lhe aplicável o procedimento comum sumario (CPP, art. 394, § 1º, II)</w:t>
            </w:r>
            <w:r>
              <w:rPr>
                <w:rFonts w:ascii="Times New Roman" w:hAnsi="Times New Roman" w:cs="Times New Roman"/>
                <w:sz w:val="20"/>
                <w:szCs w:val="20"/>
              </w:rPr>
              <w:t>. Assim sendo, o</w:t>
            </w:r>
            <w:r w:rsidRPr="00EF0D86">
              <w:rPr>
                <w:rFonts w:ascii="Times New Roman" w:hAnsi="Times New Roman" w:cs="Times New Roman"/>
                <w:sz w:val="20"/>
                <w:szCs w:val="20"/>
              </w:rPr>
              <w:t xml:space="preserve"> juiz errou em permitir a oitiva de 6 testemunhas de acusação</w:t>
            </w:r>
            <w:r>
              <w:rPr>
                <w:rFonts w:ascii="Times New Roman" w:hAnsi="Times New Roman" w:cs="Times New Roman"/>
                <w:sz w:val="20"/>
                <w:szCs w:val="20"/>
              </w:rPr>
              <w:t xml:space="preserve">, porque em tal rito, </w:t>
            </w:r>
            <w:r w:rsidRPr="00EF0D86">
              <w:rPr>
                <w:rFonts w:ascii="Times New Roman" w:hAnsi="Times New Roman" w:cs="Times New Roman"/>
                <w:sz w:val="20"/>
                <w:szCs w:val="20"/>
              </w:rPr>
              <w:t>podem ser ouvidas, no máximo</w:t>
            </w:r>
            <w:r>
              <w:rPr>
                <w:rFonts w:ascii="Times New Roman" w:hAnsi="Times New Roman" w:cs="Times New Roman"/>
                <w:sz w:val="20"/>
                <w:szCs w:val="20"/>
              </w:rPr>
              <w:t>,</w:t>
            </w:r>
            <w:r w:rsidRPr="00EF0D86">
              <w:rPr>
                <w:rFonts w:ascii="Times New Roman" w:hAnsi="Times New Roman" w:cs="Times New Roman"/>
                <w:sz w:val="20"/>
                <w:szCs w:val="20"/>
              </w:rPr>
              <w:t xml:space="preserve"> 5 testemunhas, segundo o art. 532 do CPP. Logo, o juiz deveria ter determinado que o Ministério Público readequasse o rol de testemunhas, excluindo uma delas.</w:t>
            </w:r>
          </w:p>
        </w:tc>
      </w:tr>
      <w:tr w:rsidR="001E0C34"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r>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rPr>
                <w:rFonts w:ascii="Times New Roman" w:hAnsi="Times New Roman" w:cs="Times New Roman"/>
                <w:sz w:val="20"/>
                <w:szCs w:val="20"/>
              </w:rPr>
            </w:pPr>
            <w:r>
              <w:rPr>
                <w:rFonts w:ascii="Times New Roman" w:hAnsi="Times New Roman" w:cs="Times New Roman"/>
                <w:sz w:val="20"/>
                <w:szCs w:val="20"/>
              </w:rPr>
              <w:t xml:space="preserve">O </w:t>
            </w:r>
            <w:r w:rsidRPr="00EF0D86">
              <w:rPr>
                <w:rFonts w:ascii="Times New Roman" w:hAnsi="Times New Roman" w:cs="Times New Roman"/>
                <w:sz w:val="20"/>
                <w:szCs w:val="20"/>
              </w:rPr>
              <w:t xml:space="preserve">juiz errou ao possibilitar as partes requerimento de diligências complementares. Isso porque, a hipótese do art. 402 do CPP é aplicável somente ao procedimento comum ordinário, não tendo incidência no procedimento sumário. </w:t>
            </w:r>
            <w:r w:rsidRPr="00EF0D86">
              <w:rPr>
                <w:rFonts w:ascii="Times New Roman" w:hAnsi="Times New Roman" w:cs="Times New Roman"/>
                <w:b/>
                <w:sz w:val="20"/>
                <w:szCs w:val="20"/>
              </w:rPr>
              <w:t xml:space="preserve"> </w:t>
            </w:r>
            <w:r w:rsidRPr="001E0C34">
              <w:rPr>
                <w:rFonts w:ascii="Times New Roman" w:hAnsi="Times New Roman" w:cs="Times New Roman"/>
                <w:bCs/>
                <w:sz w:val="20"/>
                <w:szCs w:val="20"/>
              </w:rPr>
              <w:t>Por outro lado, a resposta está correta ao identificar que</w:t>
            </w:r>
            <w:r>
              <w:rPr>
                <w:rFonts w:ascii="Times New Roman" w:hAnsi="Times New Roman" w:cs="Times New Roman"/>
                <w:b/>
                <w:sz w:val="20"/>
                <w:szCs w:val="20"/>
              </w:rPr>
              <w:t xml:space="preserve"> </w:t>
            </w:r>
            <w:r>
              <w:rPr>
                <w:rFonts w:ascii="Times New Roman" w:hAnsi="Times New Roman" w:cs="Times New Roman"/>
                <w:bCs/>
                <w:sz w:val="20"/>
                <w:szCs w:val="20"/>
              </w:rPr>
              <w:t xml:space="preserve">se </w:t>
            </w:r>
            <w:r w:rsidRPr="00EF0D86">
              <w:rPr>
                <w:rFonts w:ascii="Times New Roman" w:hAnsi="Times New Roman" w:cs="Times New Roman"/>
                <w:bCs/>
                <w:sz w:val="20"/>
                <w:szCs w:val="20"/>
              </w:rPr>
              <w:t>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1E0C34" w:rsidRPr="00EF0D86" w:rsidRDefault="001E0C34" w:rsidP="004B46C3">
            <w:pPr>
              <w:rPr>
                <w:rFonts w:ascii="Times New Roman" w:hAnsi="Times New Roman" w:cs="Times New Roman"/>
                <w:sz w:val="20"/>
                <w:szCs w:val="20"/>
              </w:rPr>
            </w:pPr>
          </w:p>
        </w:tc>
      </w:tr>
      <w:tr w:rsidR="001E0C34"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1E0C34" w:rsidRPr="00EF0D86" w:rsidRDefault="001E0C34"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b/>
                <w:bCs/>
                <w:sz w:val="20"/>
                <w:szCs w:val="20"/>
              </w:rPr>
            </w:pPr>
            <w:r>
              <w:rPr>
                <w:rFonts w:ascii="Times New Roman" w:hAnsi="Times New Roman" w:cs="Times New Roman"/>
                <w:b/>
                <w:bCs/>
                <w:sz w:val="20"/>
                <w:szCs w:val="20"/>
              </w:rPr>
              <w:t>4</w:t>
            </w:r>
            <w:r w:rsidRPr="00EF0D86">
              <w:rPr>
                <w:rFonts w:ascii="Times New Roman" w:hAnsi="Times New Roman" w:cs="Times New Roman"/>
                <w:b/>
                <w:bCs/>
                <w:sz w:val="20"/>
                <w:szCs w:val="20"/>
              </w:rPr>
              <w:t>,</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1E0C34" w:rsidRPr="00EF0D86" w:rsidRDefault="001E0C34" w:rsidP="004B46C3">
            <w:pPr>
              <w:jc w:val="center"/>
              <w:rPr>
                <w:rFonts w:ascii="Times New Roman" w:hAnsi="Times New Roman" w:cs="Times New Roman"/>
                <w:sz w:val="20"/>
                <w:szCs w:val="20"/>
              </w:rPr>
            </w:pPr>
          </w:p>
        </w:tc>
      </w:tr>
    </w:tbl>
    <w:p w:rsidR="001E0C34" w:rsidRDefault="001E0C34" w:rsidP="001E0C34"/>
    <w:tbl>
      <w:tblPr>
        <w:tblW w:w="9643" w:type="dxa"/>
        <w:tblInd w:w="-57" w:type="dxa"/>
        <w:tblLayout w:type="fixed"/>
        <w:tblCellMar>
          <w:left w:w="10" w:type="dxa"/>
          <w:right w:w="10" w:type="dxa"/>
        </w:tblCellMar>
        <w:tblLook w:val="0000" w:firstRow="0" w:lastRow="0" w:firstColumn="0" w:lastColumn="0" w:noHBand="0" w:noVBand="0"/>
      </w:tblPr>
      <w:tblGrid>
        <w:gridCol w:w="2033"/>
        <w:gridCol w:w="1559"/>
        <w:gridCol w:w="1501"/>
        <w:gridCol w:w="4550"/>
      </w:tblGrid>
      <w:tr w:rsidR="004B46C3" w:rsidRPr="00EF0D86" w:rsidTr="004B46C3">
        <w:tc>
          <w:tcPr>
            <w:tcW w:w="964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46C3" w:rsidRPr="00EF0D86" w:rsidRDefault="004B46C3" w:rsidP="004B46C3">
            <w:pPr>
              <w:pStyle w:val="TableContents"/>
              <w:rPr>
                <w:rFonts w:cs="Times New Roman"/>
                <w:b/>
                <w:sz w:val="20"/>
                <w:szCs w:val="20"/>
              </w:rPr>
            </w:pPr>
            <w:r w:rsidRPr="00EF0D86">
              <w:rPr>
                <w:rFonts w:cs="Times New Roman"/>
                <w:b/>
                <w:sz w:val="20"/>
                <w:szCs w:val="20"/>
              </w:rPr>
              <w:t>ALUNO:</w:t>
            </w:r>
            <w:r w:rsidRPr="00EF0D86">
              <w:rPr>
                <w:rFonts w:cs="Times New Roman"/>
                <w:sz w:val="20"/>
                <w:szCs w:val="20"/>
              </w:rPr>
              <w:t xml:space="preserve"> </w:t>
            </w:r>
            <w:r w:rsidRPr="00EF0D86">
              <w:rPr>
                <w:rFonts w:cs="Times New Roman"/>
                <w:sz w:val="20"/>
                <w:szCs w:val="20"/>
              </w:rPr>
              <w:tab/>
            </w:r>
            <w:r>
              <w:rPr>
                <w:rFonts w:cs="Times New Roman"/>
                <w:sz w:val="20"/>
                <w:szCs w:val="20"/>
              </w:rPr>
              <w:t xml:space="preserve">Vinicius </w:t>
            </w:r>
            <w:proofErr w:type="spellStart"/>
            <w:r>
              <w:rPr>
                <w:rFonts w:cs="Times New Roman"/>
                <w:sz w:val="20"/>
                <w:szCs w:val="20"/>
              </w:rPr>
              <w:t>Ellero</w:t>
            </w:r>
            <w:proofErr w:type="spellEnd"/>
            <w:r>
              <w:rPr>
                <w:rFonts w:cs="Times New Roman"/>
                <w:sz w:val="20"/>
                <w:szCs w:val="20"/>
              </w:rPr>
              <w:t xml:space="preserve"> </w:t>
            </w:r>
            <w:proofErr w:type="spellStart"/>
            <w:r>
              <w:rPr>
                <w:rFonts w:cs="Times New Roman"/>
                <w:sz w:val="20"/>
                <w:szCs w:val="20"/>
              </w:rPr>
              <w:t>Kimati</w:t>
            </w:r>
            <w:proofErr w:type="spellEnd"/>
            <w:r>
              <w:rPr>
                <w:rFonts w:cs="Times New Roman"/>
                <w:sz w:val="20"/>
                <w:szCs w:val="20"/>
              </w:rPr>
              <w:t xml:space="preserve"> Dias  USP 10340242</w:t>
            </w:r>
          </w:p>
        </w:tc>
      </w:tr>
      <w:tr w:rsidR="004B46C3" w:rsidRPr="00EF0D86" w:rsidTr="004B46C3">
        <w:tc>
          <w:tcPr>
            <w:tcW w:w="2033" w:type="dxa"/>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r w:rsidRPr="00EF0D86">
              <w:rPr>
                <w:rFonts w:ascii="Times New Roman" w:hAnsi="Times New Roman" w:cs="Times New Roman"/>
                <w:sz w:val="20"/>
                <w:szCs w:val="20"/>
              </w:rPr>
              <w:t>QUESTÃO</w:t>
            </w: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sidRPr="00EF0D86">
              <w:rPr>
                <w:rFonts w:ascii="Times New Roman" w:hAnsi="Times New Roman" w:cs="Times New Roman"/>
                <w:sz w:val="20"/>
                <w:szCs w:val="20"/>
              </w:rPr>
              <w:t>ITEM</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sidRPr="00EF0D86">
              <w:rPr>
                <w:rFonts w:ascii="Times New Roman" w:hAnsi="Times New Roman" w:cs="Times New Roman"/>
                <w:sz w:val="20"/>
                <w:szCs w:val="20"/>
              </w:rPr>
              <w:t>PONTOS</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sidRPr="00EF0D86">
              <w:rPr>
                <w:rFonts w:ascii="Times New Roman" w:hAnsi="Times New Roman" w:cs="Times New Roman"/>
                <w:sz w:val="20"/>
                <w:szCs w:val="20"/>
              </w:rPr>
              <w:t>OBSERVAÇÕES</w:t>
            </w:r>
          </w:p>
        </w:tc>
      </w:tr>
      <w:tr w:rsidR="004B46C3"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pStyle w:val="TableContents"/>
              <w:snapToGrid w:val="0"/>
              <w:jc w:val="center"/>
              <w:rPr>
                <w:rFonts w:cs="Times New Roman"/>
                <w:sz w:val="20"/>
                <w:szCs w:val="20"/>
              </w:rPr>
            </w:pPr>
          </w:p>
          <w:p w:rsidR="004B46C3" w:rsidRPr="00EF0D86" w:rsidRDefault="004B46C3" w:rsidP="004B46C3">
            <w:pPr>
              <w:pStyle w:val="TableContents"/>
              <w:jc w:val="center"/>
              <w:rPr>
                <w:rFonts w:cs="Times New Roman"/>
                <w:sz w:val="20"/>
                <w:szCs w:val="20"/>
              </w:rPr>
            </w:pPr>
          </w:p>
          <w:p w:rsidR="004B46C3" w:rsidRPr="00EF0D86" w:rsidRDefault="004B46C3" w:rsidP="004B46C3">
            <w:pPr>
              <w:pStyle w:val="TableContents"/>
              <w:jc w:val="center"/>
              <w:rPr>
                <w:rFonts w:cs="Times New Roman"/>
                <w:sz w:val="20"/>
                <w:szCs w:val="20"/>
              </w:rPr>
            </w:pPr>
            <w:r w:rsidRPr="00EF0D86">
              <w:rPr>
                <w:rFonts w:cs="Times New Roman"/>
                <w:sz w:val="20"/>
                <w:szCs w:val="20"/>
              </w:rPr>
              <w:t>QUESTÃO 1</w:t>
            </w:r>
          </w:p>
          <w:p w:rsidR="004B46C3" w:rsidRPr="00EF0D86" w:rsidRDefault="004B46C3" w:rsidP="004B46C3">
            <w:pPr>
              <w:pStyle w:val="TableContents"/>
              <w:jc w:val="center"/>
              <w:rPr>
                <w:rFonts w:cs="Times New Roman"/>
                <w:sz w:val="20"/>
                <w:szCs w:val="20"/>
              </w:rPr>
            </w:pPr>
            <w:r w:rsidRPr="00EF0D86">
              <w:rPr>
                <w:rFonts w:cs="Times New Roman"/>
                <w:sz w:val="20"/>
                <w:szCs w:val="20"/>
              </w:rPr>
              <w:t>(vale 6,0 – 1,5 cada)</w:t>
            </w: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1.1</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1,5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pStyle w:val="TableContents"/>
              <w:rPr>
                <w:rFonts w:cs="Times New Roman"/>
                <w:sz w:val="20"/>
                <w:szCs w:val="20"/>
              </w:rPr>
            </w:pPr>
            <w:r>
              <w:rPr>
                <w:rFonts w:cs="Times New Roman"/>
                <w:sz w:val="20"/>
                <w:szCs w:val="20"/>
              </w:rPr>
              <w:t xml:space="preserve">Correta resposta. </w:t>
            </w:r>
          </w:p>
        </w:tc>
      </w:tr>
      <w:tr w:rsidR="004B46C3"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1.2</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sidRPr="00EF0D86">
              <w:rPr>
                <w:rFonts w:ascii="Times New Roman" w:hAnsi="Times New Roman" w:cs="Times New Roman"/>
                <w:sz w:val="20"/>
                <w:szCs w:val="20"/>
              </w:rPr>
              <w:t>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spacing w:after="120" w:line="240" w:lineRule="atLeast"/>
              <w:jc w:val="both"/>
              <w:rPr>
                <w:rFonts w:ascii="Times New Roman" w:hAnsi="Times New Roman" w:cs="Times New Roman"/>
                <w:sz w:val="20"/>
                <w:szCs w:val="20"/>
              </w:rPr>
            </w:pPr>
            <w:r w:rsidRPr="00EF0D86">
              <w:rPr>
                <w:rFonts w:ascii="Times New Roman" w:hAnsi="Times New Roman" w:cs="Times New Roman"/>
                <w:sz w:val="20"/>
                <w:szCs w:val="20"/>
              </w:rPr>
              <w:t xml:space="preserve">A resposta está errada. O juiz se equivocou. No caso de crime conexo ao crime doloso contra a vida, se o acusado for pronunciado pelo crime doloso, o juiz também deverá </w:t>
            </w:r>
            <w:proofErr w:type="spellStart"/>
            <w:r w:rsidRPr="00EF0D86">
              <w:rPr>
                <w:rFonts w:ascii="Times New Roman" w:hAnsi="Times New Roman" w:cs="Times New Roman"/>
                <w:sz w:val="20"/>
                <w:szCs w:val="20"/>
              </w:rPr>
              <w:t>pronunicá-lo</w:t>
            </w:r>
            <w:proofErr w:type="spellEnd"/>
            <w:r w:rsidRPr="00EF0D86">
              <w:rPr>
                <w:rFonts w:ascii="Times New Roman" w:hAnsi="Times New Roman" w:cs="Times New Roman"/>
                <w:sz w:val="20"/>
                <w:szCs w:val="20"/>
              </w:rPr>
              <w:t xml:space="preserve">  quanto ao crime conexo, no caso, o delito </w:t>
            </w:r>
            <w:r w:rsidRPr="00EF0D86">
              <w:rPr>
                <w:rFonts w:ascii="Times New Roman" w:hAnsi="Times New Roman" w:cs="Times New Roman"/>
                <w:sz w:val="20"/>
                <w:szCs w:val="20"/>
              </w:rPr>
              <w:lastRenderedPageBreak/>
              <w:t xml:space="preserve">de resistência. Não caberá, em relação a este, decisão de absolvição sumária, impronúncia ou desclassificação. </w:t>
            </w:r>
          </w:p>
        </w:tc>
      </w:tr>
      <w:tr w:rsidR="004B46C3" w:rsidRPr="00EF0D86" w:rsidTr="004B46C3">
        <w:tc>
          <w:tcPr>
            <w:tcW w:w="2033" w:type="dxa"/>
            <w:vMerge/>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1.3</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0</w:t>
            </w:r>
            <w:r w:rsidRPr="00EF0D86">
              <w:rPr>
                <w:rFonts w:ascii="Times New Roman" w:hAnsi="Times New Roman" w:cs="Times New Roman"/>
                <w:sz w:val="20"/>
                <w:szCs w:val="20"/>
              </w:rPr>
              <w:t>,</w:t>
            </w:r>
            <w:r>
              <w:rPr>
                <w:rFonts w:ascii="Times New Roman" w:hAnsi="Times New Roman" w:cs="Times New Roman"/>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pStyle w:val="TableContents"/>
              <w:snapToGrid w:val="0"/>
              <w:jc w:val="both"/>
              <w:rPr>
                <w:rFonts w:cs="Times New Roman"/>
                <w:sz w:val="20"/>
                <w:szCs w:val="20"/>
              </w:rPr>
            </w:pPr>
            <w:r>
              <w:rPr>
                <w:sz w:val="20"/>
                <w:szCs w:val="20"/>
              </w:rPr>
              <w:t>Resposta incorreta</w:t>
            </w:r>
            <w:r w:rsidRPr="00EE3736">
              <w:rPr>
                <w:sz w:val="20"/>
                <w:szCs w:val="20"/>
              </w:rPr>
              <w:t xml:space="preserve">. A pronúncia é sentença terminativa que põe fim ao processo sem julgamento do mérito. Por outro lado, se surgirem nova provas, poderá ser iniciado um novo processo (CPP, art. 414, parágrafo único). Não será possível, contudo, continuar o processo anterior do ponto que parou.  </w:t>
            </w:r>
          </w:p>
        </w:tc>
      </w:tr>
      <w:tr w:rsidR="004B46C3" w:rsidRPr="00EF0D86" w:rsidTr="004B46C3">
        <w:trPr>
          <w:trHeight w:val="38"/>
        </w:trPr>
        <w:tc>
          <w:tcPr>
            <w:tcW w:w="2033" w:type="dxa"/>
            <w:vMerge/>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1.4</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0,5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pStyle w:val="TableContents"/>
              <w:snapToGrid w:val="0"/>
              <w:rPr>
                <w:rFonts w:cs="Times New Roman"/>
                <w:sz w:val="20"/>
                <w:szCs w:val="20"/>
              </w:rPr>
            </w:pPr>
            <w:r>
              <w:rPr>
                <w:rFonts w:cs="Times New Roman"/>
                <w:sz w:val="20"/>
                <w:szCs w:val="20"/>
              </w:rPr>
              <w:t>Resposta incorreta. O juiz errou</w:t>
            </w:r>
            <w:r w:rsidRPr="00EF0D86">
              <w:rPr>
                <w:rFonts w:cs="Times New Roman"/>
                <w:sz w:val="20"/>
                <w:szCs w:val="20"/>
              </w:rPr>
              <w:t>. Como tanto o réu, em seu interrogatório, quanto o defensor, em plenário, alegaram tese de que o crime foi culposo, e por tal situação caracterizar hipótese de desclassificação própria, deveria ser formulado um quesito específico sobre a desclassificação, após o segundo quesito, nos termos do art. 483, § 4º, do CPP.</w:t>
            </w:r>
          </w:p>
        </w:tc>
      </w:tr>
      <w:tr w:rsidR="004B46C3" w:rsidRPr="00EF0D86" w:rsidTr="004B46C3">
        <w:tc>
          <w:tcPr>
            <w:tcW w:w="2033" w:type="dxa"/>
            <w:vMerge w:val="restart"/>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pStyle w:val="TableContents"/>
              <w:snapToGrid w:val="0"/>
              <w:jc w:val="center"/>
              <w:rPr>
                <w:rFonts w:cs="Times New Roman"/>
                <w:sz w:val="20"/>
                <w:szCs w:val="20"/>
              </w:rPr>
            </w:pPr>
          </w:p>
          <w:p w:rsidR="004B46C3" w:rsidRPr="00EF0D86" w:rsidRDefault="004B46C3" w:rsidP="004B46C3">
            <w:pPr>
              <w:pStyle w:val="TableContents"/>
              <w:jc w:val="center"/>
              <w:rPr>
                <w:rFonts w:cs="Times New Roman"/>
                <w:sz w:val="20"/>
                <w:szCs w:val="20"/>
              </w:rPr>
            </w:pPr>
            <w:r w:rsidRPr="00EF0D86">
              <w:rPr>
                <w:rFonts w:cs="Times New Roman"/>
                <w:sz w:val="20"/>
                <w:szCs w:val="20"/>
              </w:rPr>
              <w:t>QUESTÃO 2</w:t>
            </w:r>
          </w:p>
          <w:p w:rsidR="004B46C3" w:rsidRPr="00EF0D86" w:rsidRDefault="004B46C3" w:rsidP="004B46C3">
            <w:pPr>
              <w:pStyle w:val="TableContents"/>
              <w:jc w:val="center"/>
              <w:rPr>
                <w:rFonts w:cs="Times New Roman"/>
                <w:sz w:val="20"/>
                <w:szCs w:val="20"/>
              </w:rPr>
            </w:pPr>
            <w:r w:rsidRPr="00EF0D86">
              <w:rPr>
                <w:rFonts w:cs="Times New Roman"/>
                <w:sz w:val="20"/>
                <w:szCs w:val="20"/>
              </w:rPr>
              <w:t>(vale 4,0 – 2 cada)</w:t>
            </w: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2.1</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0,0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rPr>
                <w:rFonts w:ascii="Times New Roman" w:hAnsi="Times New Roman" w:cs="Times New Roman"/>
                <w:sz w:val="20"/>
                <w:szCs w:val="20"/>
              </w:rPr>
            </w:pPr>
            <w:r>
              <w:rPr>
                <w:rFonts w:ascii="Times New Roman" w:hAnsi="Times New Roman" w:cs="Times New Roman"/>
                <w:sz w:val="20"/>
                <w:szCs w:val="20"/>
              </w:rPr>
              <w:t>A resposta está errada. A premissa que deveria ser identificada é que o</w:t>
            </w:r>
            <w:r w:rsidRPr="00EF0D86">
              <w:rPr>
                <w:rFonts w:ascii="Times New Roman" w:hAnsi="Times New Roman" w:cs="Times New Roman"/>
                <w:sz w:val="20"/>
                <w:szCs w:val="20"/>
              </w:rPr>
              <w:t xml:space="preserve"> crime de abandono de incapaz, na modalidade simples, tem pena máxima cominada de 3 anos, sendo-lhe aplicável o procedimento comum sumario (CPP, art. 394, § 1º, II)</w:t>
            </w:r>
            <w:r>
              <w:rPr>
                <w:rFonts w:ascii="Times New Roman" w:hAnsi="Times New Roman" w:cs="Times New Roman"/>
                <w:sz w:val="20"/>
                <w:szCs w:val="20"/>
              </w:rPr>
              <w:t>. Assim sendo, o</w:t>
            </w:r>
            <w:r w:rsidRPr="00EF0D86">
              <w:rPr>
                <w:rFonts w:ascii="Times New Roman" w:hAnsi="Times New Roman" w:cs="Times New Roman"/>
                <w:sz w:val="20"/>
                <w:szCs w:val="20"/>
              </w:rPr>
              <w:t xml:space="preserve"> juiz errou em permitir a oitiva de 6 testemunhas de acusação</w:t>
            </w:r>
            <w:r>
              <w:rPr>
                <w:rFonts w:ascii="Times New Roman" w:hAnsi="Times New Roman" w:cs="Times New Roman"/>
                <w:sz w:val="20"/>
                <w:szCs w:val="20"/>
              </w:rPr>
              <w:t xml:space="preserve">, porque em tal rito, </w:t>
            </w:r>
            <w:r w:rsidRPr="00EF0D86">
              <w:rPr>
                <w:rFonts w:ascii="Times New Roman" w:hAnsi="Times New Roman" w:cs="Times New Roman"/>
                <w:sz w:val="20"/>
                <w:szCs w:val="20"/>
              </w:rPr>
              <w:t>podem ser ouvidas, no máximo</w:t>
            </w:r>
            <w:r>
              <w:rPr>
                <w:rFonts w:ascii="Times New Roman" w:hAnsi="Times New Roman" w:cs="Times New Roman"/>
                <w:sz w:val="20"/>
                <w:szCs w:val="20"/>
              </w:rPr>
              <w:t>,</w:t>
            </w:r>
            <w:r w:rsidRPr="00EF0D86">
              <w:rPr>
                <w:rFonts w:ascii="Times New Roman" w:hAnsi="Times New Roman" w:cs="Times New Roman"/>
                <w:sz w:val="20"/>
                <w:szCs w:val="20"/>
              </w:rPr>
              <w:t xml:space="preserve"> 5 testemunhas, segundo o art. 532 do CPP. Logo, o juiz deveria ter determinado que o Ministério Público readequasse o rol de testemunhas, excluindo uma delas.</w:t>
            </w:r>
          </w:p>
        </w:tc>
      </w:tr>
      <w:tr w:rsidR="004B46C3" w:rsidRPr="00EF0D86" w:rsidTr="004B46C3">
        <w:trPr>
          <w:trHeight w:val="264"/>
        </w:trPr>
        <w:tc>
          <w:tcPr>
            <w:tcW w:w="2033" w:type="dxa"/>
            <w:vMerge/>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jc w:val="center"/>
              <w:rPr>
                <w:rFonts w:ascii="Times New Roman" w:hAnsi="Times New Roman" w:cs="Times New Roman"/>
                <w:sz w:val="20"/>
                <w:szCs w:val="20"/>
              </w:rPr>
            </w:pPr>
          </w:p>
        </w:tc>
        <w:tc>
          <w:tcPr>
            <w:tcW w:w="1559"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pStyle w:val="TableContents"/>
              <w:jc w:val="center"/>
              <w:rPr>
                <w:rFonts w:cs="Times New Roman"/>
                <w:sz w:val="20"/>
                <w:szCs w:val="20"/>
              </w:rPr>
            </w:pPr>
            <w:r w:rsidRPr="00EF0D86">
              <w:rPr>
                <w:rFonts w:cs="Times New Roman"/>
                <w:sz w:val="20"/>
                <w:szCs w:val="20"/>
              </w:rPr>
              <w:t>ITEM 2.2</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r>
              <w:rPr>
                <w:rFonts w:ascii="Times New Roman" w:hAnsi="Times New Roman" w:cs="Times New Roman"/>
                <w:sz w:val="20"/>
                <w:szCs w:val="20"/>
              </w:rPr>
              <w:t>1,0</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rPr>
                <w:rFonts w:ascii="Times New Roman" w:hAnsi="Times New Roman" w:cs="Times New Roman"/>
                <w:sz w:val="20"/>
                <w:szCs w:val="20"/>
              </w:rPr>
            </w:pPr>
            <w:r>
              <w:rPr>
                <w:rFonts w:ascii="Times New Roman" w:hAnsi="Times New Roman" w:cs="Times New Roman"/>
                <w:sz w:val="20"/>
                <w:szCs w:val="20"/>
              </w:rPr>
              <w:t xml:space="preserve">O </w:t>
            </w:r>
            <w:r w:rsidRPr="00EF0D86">
              <w:rPr>
                <w:rFonts w:ascii="Times New Roman" w:hAnsi="Times New Roman" w:cs="Times New Roman"/>
                <w:sz w:val="20"/>
                <w:szCs w:val="20"/>
              </w:rPr>
              <w:t xml:space="preserve">juiz errou ao possibilitar as partes requerimento de diligências complementares. Isso porque, a hipótese do art. 402 do CPP é aplicável somente ao procedimento comum ordinário, não tendo incidência no procedimento sumário. </w:t>
            </w:r>
            <w:r w:rsidRPr="00EF0D86">
              <w:rPr>
                <w:rFonts w:ascii="Times New Roman" w:hAnsi="Times New Roman" w:cs="Times New Roman"/>
                <w:b/>
                <w:sz w:val="20"/>
                <w:szCs w:val="20"/>
              </w:rPr>
              <w:t xml:space="preserve"> </w:t>
            </w:r>
            <w:r w:rsidRPr="001E0C34">
              <w:rPr>
                <w:rFonts w:ascii="Times New Roman" w:hAnsi="Times New Roman" w:cs="Times New Roman"/>
                <w:bCs/>
                <w:sz w:val="20"/>
                <w:szCs w:val="20"/>
              </w:rPr>
              <w:t>Por outro lado, a resposta está correta ao identificar que</w:t>
            </w:r>
            <w:r>
              <w:rPr>
                <w:rFonts w:ascii="Times New Roman" w:hAnsi="Times New Roman" w:cs="Times New Roman"/>
                <w:b/>
                <w:sz w:val="20"/>
                <w:szCs w:val="20"/>
              </w:rPr>
              <w:t xml:space="preserve"> </w:t>
            </w:r>
            <w:r>
              <w:rPr>
                <w:rFonts w:ascii="Times New Roman" w:hAnsi="Times New Roman" w:cs="Times New Roman"/>
                <w:bCs/>
                <w:sz w:val="20"/>
                <w:szCs w:val="20"/>
              </w:rPr>
              <w:t xml:space="preserve">se </w:t>
            </w:r>
            <w:r w:rsidRPr="00EF0D86">
              <w:rPr>
                <w:rFonts w:ascii="Times New Roman" w:hAnsi="Times New Roman" w:cs="Times New Roman"/>
                <w:bCs/>
                <w:sz w:val="20"/>
                <w:szCs w:val="20"/>
              </w:rPr>
              <w:t>fossem cabíveis em tese, as diligências complementares somente são admissíveis em relação a provas “</w:t>
            </w:r>
            <w:r w:rsidRPr="00EF0D86">
              <w:rPr>
                <w:rFonts w:ascii="Times New Roman" w:hAnsi="Times New Roman" w:cs="Times New Roman"/>
                <w:color w:val="000000"/>
                <w:sz w:val="20"/>
                <w:szCs w:val="20"/>
                <w:shd w:val="clear" w:color="auto" w:fill="FFFFFF"/>
              </w:rPr>
              <w:t xml:space="preserve">cuja necessidade se origine de circunstâncias ou fatos apurados na instrução” (CPP, art. 402). Não era o caso da prova que foi deferida, que se tratava de uma fonte já conhecida, vez que o nome, qualificação e endereço da testemunha já constava previamente dos autos, tanto no boletim de ocorrência, como no relatório da autoridade policial, pelo que poderia perfeitamente ter sido arrolada na denúncia. </w:t>
            </w:r>
          </w:p>
          <w:p w:rsidR="004B46C3" w:rsidRPr="00EF0D86" w:rsidRDefault="004B46C3" w:rsidP="004B46C3">
            <w:pPr>
              <w:rPr>
                <w:rFonts w:ascii="Times New Roman" w:hAnsi="Times New Roman" w:cs="Times New Roman"/>
                <w:sz w:val="20"/>
                <w:szCs w:val="20"/>
              </w:rPr>
            </w:pPr>
          </w:p>
        </w:tc>
      </w:tr>
      <w:tr w:rsidR="004B46C3" w:rsidRPr="00EF0D86" w:rsidTr="004B46C3">
        <w:trPr>
          <w:trHeight w:val="320"/>
        </w:trPr>
        <w:tc>
          <w:tcPr>
            <w:tcW w:w="3592" w:type="dxa"/>
            <w:gridSpan w:val="2"/>
            <w:tcBorders>
              <w:left w:val="single" w:sz="2" w:space="0" w:color="000000"/>
              <w:bottom w:val="single" w:sz="2" w:space="0" w:color="000000"/>
            </w:tcBorders>
            <w:tcMar>
              <w:top w:w="55" w:type="dxa"/>
              <w:left w:w="55" w:type="dxa"/>
              <w:bottom w:w="55" w:type="dxa"/>
              <w:right w:w="55" w:type="dxa"/>
            </w:tcMar>
          </w:tcPr>
          <w:p w:rsidR="004B46C3" w:rsidRPr="00EF0D86" w:rsidRDefault="004B46C3" w:rsidP="004B46C3">
            <w:pPr>
              <w:pStyle w:val="TableContents"/>
              <w:jc w:val="center"/>
              <w:rPr>
                <w:rFonts w:cs="Times New Roman"/>
                <w:b/>
                <w:sz w:val="20"/>
                <w:szCs w:val="20"/>
              </w:rPr>
            </w:pPr>
            <w:r w:rsidRPr="00EF0D86">
              <w:rPr>
                <w:rFonts w:cs="Times New Roman"/>
                <w:b/>
                <w:sz w:val="20"/>
                <w:szCs w:val="20"/>
              </w:rPr>
              <w:t>NOTA FINAL</w:t>
            </w:r>
          </w:p>
        </w:tc>
        <w:tc>
          <w:tcPr>
            <w:tcW w:w="1501" w:type="dxa"/>
            <w:tcBorders>
              <w:left w:val="single" w:sz="2" w:space="0" w:color="000000"/>
              <w:bottom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b/>
                <w:bCs/>
                <w:sz w:val="20"/>
                <w:szCs w:val="20"/>
              </w:rPr>
            </w:pPr>
            <w:r>
              <w:rPr>
                <w:rFonts w:ascii="Times New Roman" w:hAnsi="Times New Roman" w:cs="Times New Roman"/>
                <w:b/>
                <w:bCs/>
                <w:sz w:val="20"/>
                <w:szCs w:val="20"/>
              </w:rPr>
              <w:t>3</w:t>
            </w:r>
            <w:r w:rsidRPr="00EF0D86">
              <w:rPr>
                <w:rFonts w:ascii="Times New Roman" w:hAnsi="Times New Roman" w:cs="Times New Roman"/>
                <w:b/>
                <w:bCs/>
                <w:sz w:val="20"/>
                <w:szCs w:val="20"/>
              </w:rPr>
              <w:t>,</w:t>
            </w:r>
            <w:r>
              <w:rPr>
                <w:rFonts w:ascii="Times New Roman" w:hAnsi="Times New Roman" w:cs="Times New Roman"/>
                <w:b/>
                <w:bCs/>
                <w:sz w:val="20"/>
                <w:szCs w:val="20"/>
              </w:rPr>
              <w:t>5</w:t>
            </w:r>
          </w:p>
        </w:tc>
        <w:tc>
          <w:tcPr>
            <w:tcW w:w="4550" w:type="dxa"/>
            <w:tcBorders>
              <w:left w:val="single" w:sz="2" w:space="0" w:color="000000"/>
              <w:bottom w:val="single" w:sz="2" w:space="0" w:color="000000"/>
              <w:right w:val="single" w:sz="2" w:space="0" w:color="000000"/>
            </w:tcBorders>
            <w:tcMar>
              <w:top w:w="0" w:type="dxa"/>
              <w:left w:w="10" w:type="dxa"/>
              <w:bottom w:w="0" w:type="dxa"/>
              <w:right w:w="10" w:type="dxa"/>
            </w:tcMar>
          </w:tcPr>
          <w:p w:rsidR="004B46C3" w:rsidRPr="00EF0D86" w:rsidRDefault="004B46C3" w:rsidP="004B46C3">
            <w:pPr>
              <w:jc w:val="center"/>
              <w:rPr>
                <w:rFonts w:ascii="Times New Roman" w:hAnsi="Times New Roman" w:cs="Times New Roman"/>
                <w:sz w:val="20"/>
                <w:szCs w:val="20"/>
              </w:rPr>
            </w:pPr>
          </w:p>
        </w:tc>
      </w:tr>
    </w:tbl>
    <w:p w:rsidR="004B46C3" w:rsidRDefault="004B46C3" w:rsidP="004B46C3"/>
    <w:p w:rsidR="001E0C34" w:rsidRDefault="001E0C34"/>
    <w:sectPr w:rsidR="001E0C34" w:rsidSect="004B46C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altName w:val="Calibri"/>
    <w:panose1 w:val="020B0604020202020204"/>
    <w:charset w:val="00"/>
    <w:family w:val="auto"/>
    <w:notTrueType/>
    <w:pitch w:val="default"/>
    <w:sig w:usb0="00000003" w:usb1="00000000" w:usb2="00000000" w:usb3="00000000" w:csb0="00000001" w:csb1="00000000"/>
  </w:font>
  <w:font w:name="MyriadPro-Regular">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86"/>
    <w:rsid w:val="00067691"/>
    <w:rsid w:val="00067F3D"/>
    <w:rsid w:val="00144559"/>
    <w:rsid w:val="001E0C34"/>
    <w:rsid w:val="001F6AC1"/>
    <w:rsid w:val="00202D55"/>
    <w:rsid w:val="00214AF9"/>
    <w:rsid w:val="002E083C"/>
    <w:rsid w:val="00353FF7"/>
    <w:rsid w:val="004B46C3"/>
    <w:rsid w:val="007452CC"/>
    <w:rsid w:val="00775261"/>
    <w:rsid w:val="008D2A49"/>
    <w:rsid w:val="009D1C63"/>
    <w:rsid w:val="00EF016B"/>
    <w:rsid w:val="00EF0D86"/>
    <w:rsid w:val="00FC4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AF136B1"/>
  <w15:chartTrackingRefBased/>
  <w15:docId w15:val="{0E0B992B-481B-9141-9BBB-437E3651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P">
    <w:name w:val="PP"/>
    <w:basedOn w:val="Normal"/>
    <w:qFormat/>
    <w:rsid w:val="001F6AC1"/>
    <w:pPr>
      <w:widowControl w:val="0"/>
      <w:autoSpaceDE w:val="0"/>
      <w:autoSpaceDN w:val="0"/>
      <w:adjustRightInd w:val="0"/>
      <w:spacing w:after="57" w:line="270" w:lineRule="atLeast"/>
      <w:ind w:firstLine="454"/>
      <w:jc w:val="both"/>
      <w:textAlignment w:val="center"/>
    </w:pPr>
    <w:rPr>
      <w:rFonts w:ascii="Berkeley-Medium" w:eastAsia="Times New Roman" w:hAnsi="Berkeley-Medium" w:cs="Berkeley-Medium"/>
      <w:color w:val="000000"/>
      <w:sz w:val="22"/>
      <w:szCs w:val="22"/>
      <w:lang w:eastAsia="pt-BR"/>
    </w:rPr>
  </w:style>
  <w:style w:type="paragraph" w:customStyle="1" w:styleId="lei">
    <w:name w:val="lei"/>
    <w:basedOn w:val="NormalWeb"/>
    <w:qFormat/>
    <w:rsid w:val="002E083C"/>
    <w:pPr>
      <w:shd w:val="clear" w:color="auto" w:fill="FFFFFF"/>
      <w:spacing w:line="260" w:lineRule="atLeast"/>
      <w:ind w:left="454" w:right="454"/>
      <w:jc w:val="both"/>
    </w:pPr>
    <w:rPr>
      <w:rFonts w:ascii="MyriadPro-Regular" w:eastAsia="Times New Roman" w:hAnsi="MyriadPro-Regular" w:cs="Arial"/>
      <w:color w:val="000000"/>
      <w:sz w:val="20"/>
      <w:szCs w:val="20"/>
      <w:lang w:eastAsia="pt-BR"/>
    </w:rPr>
  </w:style>
  <w:style w:type="paragraph" w:styleId="NormalWeb">
    <w:name w:val="Normal (Web)"/>
    <w:basedOn w:val="Normal"/>
    <w:uiPriority w:val="99"/>
    <w:semiHidden/>
    <w:unhideWhenUsed/>
    <w:rsid w:val="002E083C"/>
    <w:rPr>
      <w:rFonts w:ascii="Times New Roman" w:hAnsi="Times New Roman" w:cs="Times New Roman"/>
    </w:rPr>
  </w:style>
  <w:style w:type="paragraph" w:customStyle="1" w:styleId="cpp">
    <w:name w:val="cpp"/>
    <w:basedOn w:val="PP"/>
    <w:qFormat/>
    <w:rsid w:val="002E083C"/>
    <w:pPr>
      <w:spacing w:line="230" w:lineRule="atLeast"/>
      <w:ind w:firstLine="227"/>
    </w:pPr>
    <w:rPr>
      <w:rFonts w:cs="Times New Roman"/>
      <w:sz w:val="19"/>
      <w:szCs w:val="19"/>
    </w:rPr>
  </w:style>
  <w:style w:type="paragraph" w:customStyle="1" w:styleId="biblio">
    <w:name w:val="biblio"/>
    <w:basedOn w:val="Normal"/>
    <w:qFormat/>
    <w:rsid w:val="002E083C"/>
    <w:pPr>
      <w:widowControl w:val="0"/>
      <w:tabs>
        <w:tab w:val="left" w:pos="142"/>
        <w:tab w:val="decimal" w:pos="255"/>
        <w:tab w:val="decimal" w:pos="284"/>
        <w:tab w:val="left" w:pos="340"/>
        <w:tab w:val="left" w:pos="426"/>
      </w:tabs>
      <w:autoSpaceDE w:val="0"/>
      <w:autoSpaceDN w:val="0"/>
      <w:adjustRightInd w:val="0"/>
      <w:spacing w:line="40" w:lineRule="atLeast"/>
      <w:ind w:left="426"/>
      <w:jc w:val="both"/>
      <w:textAlignment w:val="center"/>
    </w:pPr>
    <w:rPr>
      <w:rFonts w:ascii="Berkeley-Medium" w:eastAsia="Times New Roman" w:hAnsi="Berkeley-Medium" w:cs="Berkeley-Medium"/>
      <w:color w:val="000000"/>
      <w:spacing w:val="-1"/>
      <w:sz w:val="17"/>
      <w:szCs w:val="17"/>
      <w:lang w:val="es-ES_tradnl" w:eastAsia="pt-BR"/>
    </w:rPr>
  </w:style>
  <w:style w:type="paragraph" w:customStyle="1" w:styleId="Standarduser">
    <w:name w:val="Standard (user)"/>
    <w:rsid w:val="00EF0D86"/>
    <w:pPr>
      <w:widowControl w:val="0"/>
      <w:suppressAutoHyphens/>
      <w:autoSpaceDN w:val="0"/>
      <w:textAlignment w:val="baseline"/>
    </w:pPr>
    <w:rPr>
      <w:rFonts w:ascii="Times New Roman" w:eastAsia="SimSun, 宋体" w:hAnsi="Times New Roman" w:cs="Arial"/>
      <w:kern w:val="3"/>
      <w:lang w:eastAsia="zh-CN" w:bidi="hi-IN"/>
    </w:rPr>
  </w:style>
  <w:style w:type="paragraph" w:customStyle="1" w:styleId="TableContents">
    <w:name w:val="Table Contents"/>
    <w:basedOn w:val="Normal"/>
    <w:rsid w:val="00EF0D86"/>
    <w:pPr>
      <w:widowControl w:val="0"/>
      <w:suppressLineNumbers/>
      <w:suppressAutoHyphens/>
      <w:autoSpaceDN w:val="0"/>
      <w:textAlignment w:val="baseline"/>
    </w:pPr>
    <w:rPr>
      <w:rFonts w:ascii="Times New Roman" w:eastAsia="SimSun, 宋体"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2612</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Badaro</dc:creator>
  <cp:keywords/>
  <dc:description/>
  <cp:lastModifiedBy>Gustavo Badaro</cp:lastModifiedBy>
  <cp:revision>1</cp:revision>
  <dcterms:created xsi:type="dcterms:W3CDTF">2020-07-21T23:22:00Z</dcterms:created>
  <dcterms:modified xsi:type="dcterms:W3CDTF">2020-07-22T00:19:00Z</dcterms:modified>
</cp:coreProperties>
</file>