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6A2" w:rsidRDefault="00341292">
      <w:r>
        <w:t>2. Quais os elementos da responsabilidade civil ambiental? São admitidas excludentes de responsabilidade? Fundamente. Você tem 10 minutos para responder e cadastrar a resposta.</w:t>
      </w:r>
      <w:bookmarkStart w:id="0" w:name="_GoBack"/>
      <w:bookmarkEnd w:id="0"/>
    </w:p>
    <w:sectPr w:rsidR="006826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292"/>
    <w:rsid w:val="00341292"/>
    <w:rsid w:val="0068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F40C6"/>
  <w15:chartTrackingRefBased/>
  <w15:docId w15:val="{6C01449E-E60A-463C-B673-DB2950CF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150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Faga Iglecias Lemos</dc:creator>
  <cp:keywords/>
  <dc:description/>
  <cp:lastModifiedBy>Patricia Faga Iglecias Lemos</cp:lastModifiedBy>
  <cp:revision>1</cp:revision>
  <dcterms:created xsi:type="dcterms:W3CDTF">2020-06-25T11:46:00Z</dcterms:created>
  <dcterms:modified xsi:type="dcterms:W3CDTF">2020-06-25T11:48:00Z</dcterms:modified>
</cp:coreProperties>
</file>