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503AE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color w:val="000000"/>
        </w:rPr>
        <w:t> </w:t>
      </w:r>
    </w:p>
    <w:p w14:paraId="6EBAD07D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Em um contrato de construção de barragem celebrado entre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Construtora</w:t>
      </w:r>
      <w:r w:rsidRPr="006456BD">
        <w:rPr>
          <w:rFonts w:ascii="Calibri" w:eastAsia="Times New Roman" w:hAnsi="Calibri" w:cs="Calibri"/>
          <w:sz w:val="24"/>
          <w:szCs w:val="24"/>
        </w:rPr>
        <w:t>  e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Dona da Obra,</w:t>
      </w:r>
      <w:r w:rsidRPr="006456BD">
        <w:rPr>
          <w:rFonts w:ascii="Calibri" w:eastAsia="Times New Roman" w:hAnsi="Calibri" w:cs="Calibri"/>
          <w:sz w:val="24"/>
          <w:szCs w:val="24"/>
        </w:rPr>
        <w:t> sendo esta última uma companhia hidrelétrica de propriedade 100% estatal, a cláusula arbitral determina que “todos os conflitos relativos, derivados ou relacionados ao contrato em questão e às relações entre as Partes serão resolvidos por arbitragem instituída segundo o regulamento da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Câmara de Arbitragem X</w:t>
      </w:r>
      <w:r w:rsidRPr="006456BD">
        <w:rPr>
          <w:rFonts w:ascii="Calibri" w:eastAsia="Times New Roman" w:hAnsi="Calibri" w:cs="Calibri"/>
          <w:sz w:val="24"/>
          <w:szCs w:val="24"/>
        </w:rPr>
        <w:t>”.  A </w:t>
      </w:r>
      <w:proofErr w:type="gramStart"/>
      <w:r w:rsidRPr="006456BD">
        <w:rPr>
          <w:rFonts w:ascii="Calibri" w:eastAsia="Times New Roman" w:hAnsi="Calibri" w:cs="Calibri"/>
          <w:b/>
          <w:bCs/>
          <w:sz w:val="24"/>
          <w:szCs w:val="24"/>
        </w:rPr>
        <w:t>Construtora</w:t>
      </w:r>
      <w:r w:rsidRPr="006456BD">
        <w:rPr>
          <w:rFonts w:ascii="Calibri" w:eastAsia="Times New Roman" w:hAnsi="Calibri" w:cs="Calibri"/>
          <w:sz w:val="24"/>
          <w:szCs w:val="24"/>
        </w:rPr>
        <w:t>  subcontratou</w:t>
      </w:r>
      <w:proofErr w:type="gramEnd"/>
      <w:r w:rsidRPr="006456BD">
        <w:rPr>
          <w:rFonts w:ascii="Calibri" w:eastAsia="Times New Roman" w:hAnsi="Calibri" w:cs="Calibri"/>
          <w:sz w:val="24"/>
          <w:szCs w:val="24"/>
        </w:rPr>
        <w:t xml:space="preserve"> uma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Subcontratada Prestadora de Serviços</w:t>
      </w:r>
      <w:r w:rsidRPr="006456BD">
        <w:rPr>
          <w:rFonts w:ascii="Calibri" w:eastAsia="Times New Roman" w:hAnsi="Calibri" w:cs="Calibri"/>
          <w:sz w:val="24"/>
          <w:szCs w:val="24"/>
        </w:rPr>
        <w:t> em contrato que continha somente cláusula de eleição de foro.</w:t>
      </w:r>
    </w:p>
    <w:p w14:paraId="0FDD3564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 </w:t>
      </w:r>
    </w:p>
    <w:p w14:paraId="3455F227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No curso da construção, à medida em que os ânimos iam se exaltando, os engenheiros responsáveis pela obra, gerentes da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Construtora</w:t>
      </w:r>
      <w:r w:rsidRPr="006456BD">
        <w:rPr>
          <w:rFonts w:ascii="Calibri" w:eastAsia="Times New Roman" w:hAnsi="Calibri" w:cs="Calibri"/>
          <w:sz w:val="24"/>
          <w:szCs w:val="24"/>
        </w:rPr>
        <w:t>  e da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Subcontratada Prestadora de Serviços</w:t>
      </w:r>
      <w:r w:rsidRPr="006456BD">
        <w:rPr>
          <w:rFonts w:ascii="Calibri" w:eastAsia="Times New Roman" w:hAnsi="Calibri" w:cs="Calibri"/>
          <w:sz w:val="24"/>
          <w:szCs w:val="24"/>
        </w:rPr>
        <w:t xml:space="preserve"> trocaram </w:t>
      </w:r>
      <w:proofErr w:type="spellStart"/>
      <w:r w:rsidRPr="006456BD">
        <w:rPr>
          <w:rFonts w:ascii="Calibri" w:eastAsia="Times New Roman" w:hAnsi="Calibri" w:cs="Calibri"/>
          <w:sz w:val="24"/>
          <w:szCs w:val="24"/>
        </w:rPr>
        <w:t>emails</w:t>
      </w:r>
      <w:proofErr w:type="spellEnd"/>
      <w:r w:rsidRPr="006456BD">
        <w:rPr>
          <w:rFonts w:ascii="Calibri" w:eastAsia="Times New Roman" w:hAnsi="Calibri" w:cs="Calibri"/>
          <w:sz w:val="24"/>
          <w:szCs w:val="24"/>
        </w:rPr>
        <w:t xml:space="preserve"> nos quais o primeiro sugeriu “vamos aplicar no nosso contrato a mesma cláusula de arbitragem do contrato que tenho com a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Dona da Obra</w:t>
      </w:r>
      <w:r w:rsidRPr="006456BD">
        <w:rPr>
          <w:rFonts w:ascii="Calibri" w:eastAsia="Times New Roman" w:hAnsi="Calibri" w:cs="Calibri"/>
          <w:sz w:val="24"/>
          <w:szCs w:val="24"/>
        </w:rPr>
        <w:t>?” e o segundo respondeu “Fechado!”.</w:t>
      </w:r>
    </w:p>
    <w:p w14:paraId="60379E2E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 </w:t>
      </w:r>
    </w:p>
    <w:p w14:paraId="50BC26A6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Diante do não pagamento, a </w:t>
      </w:r>
      <w:proofErr w:type="gramStart"/>
      <w:r w:rsidRPr="006456BD">
        <w:rPr>
          <w:rFonts w:ascii="Calibri" w:eastAsia="Times New Roman" w:hAnsi="Calibri" w:cs="Calibri"/>
          <w:b/>
          <w:bCs/>
          <w:sz w:val="24"/>
          <w:szCs w:val="24"/>
        </w:rPr>
        <w:t>Construtora</w:t>
      </w:r>
      <w:r w:rsidRPr="006456BD">
        <w:rPr>
          <w:rFonts w:ascii="Calibri" w:eastAsia="Times New Roman" w:hAnsi="Calibri" w:cs="Calibri"/>
          <w:sz w:val="24"/>
          <w:szCs w:val="24"/>
        </w:rPr>
        <w:t>  requereu</w:t>
      </w:r>
      <w:proofErr w:type="gramEnd"/>
      <w:r w:rsidRPr="006456BD">
        <w:rPr>
          <w:rFonts w:ascii="Calibri" w:eastAsia="Times New Roman" w:hAnsi="Calibri" w:cs="Calibri"/>
          <w:sz w:val="24"/>
          <w:szCs w:val="24"/>
        </w:rPr>
        <w:t xml:space="preserve"> a instauração de arbitragem frente à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Dona da Obra</w:t>
      </w:r>
      <w:r w:rsidRPr="006456BD">
        <w:rPr>
          <w:rFonts w:ascii="Calibri" w:eastAsia="Times New Roman" w:hAnsi="Calibri" w:cs="Calibri"/>
          <w:sz w:val="24"/>
          <w:szCs w:val="24"/>
        </w:rPr>
        <w:t>¸ buscando sua condenação. A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 Dona da Obra</w:t>
      </w:r>
      <w:r w:rsidRPr="006456BD">
        <w:rPr>
          <w:rFonts w:ascii="Calibri" w:eastAsia="Times New Roman" w:hAnsi="Calibri" w:cs="Calibri"/>
          <w:sz w:val="24"/>
          <w:szCs w:val="24"/>
        </w:rPr>
        <w:t> apresenta manifestação no procedimento arbitral, na qual afirma que deixou de pagar por questão orçamentária, que não é arbitrável. Afirma também que foi multada por órgão ambiental em razão de a obra ter avançado em APP (Área de Proteção Permanente) e que, pelo tema também envolver direito indisponível, irá ajuizar ação de regresso em face da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Construtora</w:t>
      </w:r>
      <w:r w:rsidRPr="006456BD">
        <w:rPr>
          <w:rFonts w:ascii="Calibri" w:eastAsia="Times New Roman" w:hAnsi="Calibri" w:cs="Calibri"/>
          <w:sz w:val="24"/>
          <w:szCs w:val="24"/>
        </w:rPr>
        <w:t>.</w:t>
      </w:r>
    </w:p>
    <w:p w14:paraId="5D238346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 </w:t>
      </w:r>
    </w:p>
    <w:p w14:paraId="366FED85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Pergunta-se:</w:t>
      </w:r>
    </w:p>
    <w:p w14:paraId="7EF7E007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 </w:t>
      </w:r>
    </w:p>
    <w:p w14:paraId="065A6F26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(a) a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Dona da Obra</w:t>
      </w:r>
      <w:r w:rsidRPr="006456BD">
        <w:rPr>
          <w:rFonts w:ascii="Calibri" w:eastAsia="Times New Roman" w:hAnsi="Calibri" w:cs="Calibri"/>
          <w:sz w:val="24"/>
          <w:szCs w:val="24"/>
        </w:rPr>
        <w:t xml:space="preserve"> está correta em suas afirmações a respeito da </w:t>
      </w:r>
      <w:proofErr w:type="spellStart"/>
      <w:r w:rsidRPr="006456BD">
        <w:rPr>
          <w:rFonts w:ascii="Calibri" w:eastAsia="Times New Roman" w:hAnsi="Calibri" w:cs="Calibri"/>
          <w:sz w:val="24"/>
          <w:szCs w:val="24"/>
        </w:rPr>
        <w:t>inarbitrabilidade</w:t>
      </w:r>
      <w:proofErr w:type="spellEnd"/>
      <w:r w:rsidRPr="006456BD">
        <w:rPr>
          <w:rFonts w:ascii="Calibri" w:eastAsia="Times New Roman" w:hAnsi="Calibri" w:cs="Calibri"/>
          <w:sz w:val="24"/>
          <w:szCs w:val="24"/>
        </w:rPr>
        <w:t>?</w:t>
      </w:r>
    </w:p>
    <w:p w14:paraId="5666A8FE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 </w:t>
      </w:r>
    </w:p>
    <w:p w14:paraId="3B6E0E36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(b) Existe cláusula compromissória atinente à relação entre a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Construtora </w:t>
      </w:r>
      <w:r w:rsidRPr="006456BD">
        <w:rPr>
          <w:rFonts w:ascii="Calibri" w:eastAsia="Times New Roman" w:hAnsi="Calibri" w:cs="Calibri"/>
          <w:sz w:val="24"/>
          <w:szCs w:val="24"/>
        </w:rPr>
        <w:t>e a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Subcontratada Prestadora de Serviços</w:t>
      </w:r>
      <w:r w:rsidRPr="006456BD">
        <w:rPr>
          <w:rFonts w:ascii="Calibri" w:eastAsia="Times New Roman" w:hAnsi="Calibri" w:cs="Calibri"/>
          <w:sz w:val="24"/>
          <w:szCs w:val="24"/>
        </w:rPr>
        <w:t>?</w:t>
      </w:r>
    </w:p>
    <w:p w14:paraId="082403B7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 </w:t>
      </w:r>
    </w:p>
    <w:p w14:paraId="68AF2BA4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(c) Caso a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Subcontratada Prestadora de Serviços </w:t>
      </w:r>
      <w:r w:rsidRPr="006456BD">
        <w:rPr>
          <w:rFonts w:ascii="Calibri" w:eastAsia="Times New Roman" w:hAnsi="Calibri" w:cs="Calibri"/>
          <w:sz w:val="24"/>
          <w:szCs w:val="24"/>
        </w:rPr>
        <w:t>requeira a instituição de arbitragem frente à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Construtora</w:t>
      </w:r>
      <w:r w:rsidRPr="006456BD">
        <w:rPr>
          <w:rFonts w:ascii="Calibri" w:eastAsia="Times New Roman" w:hAnsi="Calibri" w:cs="Calibri"/>
          <w:sz w:val="24"/>
          <w:szCs w:val="24"/>
        </w:rPr>
        <w:t>, qual será (ou quais serão) os meios que a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Construtora </w:t>
      </w:r>
      <w:r w:rsidRPr="006456BD">
        <w:rPr>
          <w:rFonts w:ascii="Calibri" w:eastAsia="Times New Roman" w:hAnsi="Calibri" w:cs="Calibri"/>
          <w:sz w:val="24"/>
          <w:szCs w:val="24"/>
        </w:rPr>
        <w:t>tem para fazer valer sua interpretação, no sentido de que tal arbitragem não pode ser instaurada ou se desenvolver?</w:t>
      </w:r>
    </w:p>
    <w:p w14:paraId="232A1A35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 </w:t>
      </w:r>
    </w:p>
    <w:p w14:paraId="213C1EC0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(d) Considerando </w:t>
      </w:r>
      <w:r w:rsidRPr="006456BD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(i) </w:t>
      </w:r>
      <w:r w:rsidRPr="006456BD">
        <w:rPr>
          <w:rFonts w:ascii="Calibri" w:eastAsia="Times New Roman" w:hAnsi="Calibri" w:cs="Calibri"/>
          <w:sz w:val="24"/>
          <w:szCs w:val="24"/>
        </w:rPr>
        <w:t>que grande parte dos documentos relativos à obra estão em mãos da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Subcontratada Prestadora de Serviços</w:t>
      </w:r>
      <w:r w:rsidRPr="006456BD">
        <w:rPr>
          <w:rFonts w:ascii="Calibri" w:eastAsia="Times New Roman" w:hAnsi="Calibri" w:cs="Calibri"/>
          <w:sz w:val="24"/>
          <w:szCs w:val="24"/>
        </w:rPr>
        <w:t>, e </w:t>
      </w:r>
      <w:r w:rsidRPr="006456BD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(</w:t>
      </w:r>
      <w:proofErr w:type="spellStart"/>
      <w:r w:rsidRPr="006456BD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ii</w:t>
      </w:r>
      <w:proofErr w:type="spellEnd"/>
      <w:r w:rsidRPr="006456BD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)</w:t>
      </w:r>
      <w:r w:rsidRPr="006456BD">
        <w:rPr>
          <w:rFonts w:ascii="Calibri" w:eastAsia="Times New Roman" w:hAnsi="Calibri" w:cs="Calibri"/>
          <w:sz w:val="24"/>
          <w:szCs w:val="24"/>
        </w:rPr>
        <w:t> que a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Dona da Obra</w:t>
      </w:r>
      <w:r w:rsidRPr="006456BD">
        <w:rPr>
          <w:rFonts w:ascii="Calibri" w:eastAsia="Times New Roman" w:hAnsi="Calibri" w:cs="Calibri"/>
          <w:sz w:val="24"/>
          <w:szCs w:val="24"/>
        </w:rPr>
        <w:t xml:space="preserve"> não tivesse apresentado os temas relativos à </w:t>
      </w:r>
      <w:proofErr w:type="spellStart"/>
      <w:r w:rsidRPr="006456BD">
        <w:rPr>
          <w:rFonts w:ascii="Calibri" w:eastAsia="Times New Roman" w:hAnsi="Calibri" w:cs="Calibri"/>
          <w:sz w:val="24"/>
          <w:szCs w:val="24"/>
        </w:rPr>
        <w:t>inarbitrabilidade</w:t>
      </w:r>
      <w:proofErr w:type="spellEnd"/>
      <w:r w:rsidRPr="006456BD">
        <w:rPr>
          <w:rFonts w:ascii="Calibri" w:eastAsia="Times New Roman" w:hAnsi="Calibri" w:cs="Calibri"/>
          <w:sz w:val="24"/>
          <w:szCs w:val="24"/>
        </w:rPr>
        <w:t>, o que resultaria na instauração do processo arbitral entre ela e a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Construtora</w:t>
      </w:r>
      <w:r w:rsidRPr="006456BD">
        <w:rPr>
          <w:rFonts w:ascii="Calibri" w:eastAsia="Times New Roman" w:hAnsi="Calibri" w:cs="Calibri"/>
          <w:sz w:val="24"/>
          <w:szCs w:val="24"/>
        </w:rPr>
        <w:t>, deve o árbitro dessa causa exercer seu poder instrutório e determinar que a </w:t>
      </w:r>
      <w:r w:rsidRPr="006456BD">
        <w:rPr>
          <w:rFonts w:ascii="Calibri" w:eastAsia="Times New Roman" w:hAnsi="Calibri" w:cs="Calibri"/>
          <w:b/>
          <w:bCs/>
          <w:sz w:val="24"/>
          <w:szCs w:val="24"/>
        </w:rPr>
        <w:t>Subcontratada Prestadora de Serviços</w:t>
      </w:r>
      <w:r w:rsidRPr="006456BD">
        <w:rPr>
          <w:rFonts w:ascii="Calibri" w:eastAsia="Times New Roman" w:hAnsi="Calibri" w:cs="Calibri"/>
          <w:sz w:val="24"/>
          <w:szCs w:val="24"/>
        </w:rPr>
        <w:t> – parte requerida no procedimento arbitral - apresente tais documentos? Seria necessária a intercessão do Poder Judiciário para cumprir eventual ordem nesse sentido?</w:t>
      </w:r>
    </w:p>
    <w:p w14:paraId="1A7467C5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 </w:t>
      </w:r>
    </w:p>
    <w:p w14:paraId="7EBDB6FF" w14:textId="77777777" w:rsidR="006456BD" w:rsidRPr="006456BD" w:rsidRDefault="006456BD" w:rsidP="006456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456BD">
        <w:rPr>
          <w:rFonts w:ascii="Calibri" w:eastAsia="Times New Roman" w:hAnsi="Calibri" w:cs="Calibri"/>
          <w:sz w:val="24"/>
          <w:szCs w:val="24"/>
        </w:rPr>
        <w:t>Justifique todas as suas respostas.</w:t>
      </w:r>
    </w:p>
    <w:p w14:paraId="4F224AF3" w14:textId="77777777" w:rsidR="006456BD" w:rsidRPr="006456BD" w:rsidRDefault="006456BD" w:rsidP="006456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456BD">
        <w:rPr>
          <w:rFonts w:ascii="Calibri" w:eastAsia="Times New Roman" w:hAnsi="Calibri" w:cs="Calibri"/>
          <w:color w:val="000000"/>
        </w:rPr>
        <w:t> </w:t>
      </w:r>
    </w:p>
    <w:p w14:paraId="0DF3AF74" w14:textId="77777777" w:rsidR="00545E5E" w:rsidRDefault="00545E5E"/>
    <w:sectPr w:rsidR="00545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A8"/>
    <w:rsid w:val="00054080"/>
    <w:rsid w:val="00545E5E"/>
    <w:rsid w:val="006456BD"/>
    <w:rsid w:val="009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AEC27-15B9-43B1-BFA2-52685A40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S.</dc:creator>
  <cp:keywords/>
  <dc:description/>
  <cp:lastModifiedBy>Matheus S.</cp:lastModifiedBy>
  <cp:revision>2</cp:revision>
  <dcterms:created xsi:type="dcterms:W3CDTF">2020-06-18T17:14:00Z</dcterms:created>
  <dcterms:modified xsi:type="dcterms:W3CDTF">2020-06-18T17:14:00Z</dcterms:modified>
</cp:coreProperties>
</file>