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EF" w:rsidRDefault="008A6FEF" w:rsidP="008A6FEF">
      <w:pPr>
        <w:shd w:val="clear" w:color="auto" w:fill="FCFCFC"/>
        <w:spacing w:after="0" w:line="240" w:lineRule="auto"/>
      </w:pPr>
      <w:r>
        <w:fldChar w:fldCharType="begin"/>
      </w:r>
      <w:r>
        <w:instrText xml:space="preserve"> HYPERLINK "https://www.forbes.com/sites/jessecolombo/2019/06/30/current-u-s-recession-odds-are-the-same-as-during-the-big-short-heyday/amp/" </w:instrText>
      </w:r>
      <w:r>
        <w:fldChar w:fldCharType="separate"/>
      </w:r>
      <w:r>
        <w:rPr>
          <w:rStyle w:val="Hyperlink"/>
        </w:rPr>
        <w:t>https://www.forbes.com/sites/jessecolombo/2019/06/30/current-u-s-recession-odds-are-the-same-as-during-the-big-short-heyday/amp/</w:t>
      </w:r>
      <w:r>
        <w:fldChar w:fldCharType="end"/>
      </w:r>
    </w:p>
    <w:p w:rsidR="008A6FEF" w:rsidRDefault="008A6FEF" w:rsidP="008A6FEF">
      <w:pPr>
        <w:shd w:val="clear" w:color="auto" w:fill="FCFCFC"/>
        <w:spacing w:after="0" w:line="240" w:lineRule="auto"/>
        <w:rPr>
          <w:rFonts w:ascii="Times New Roman" w:eastAsia="Times New Roman" w:hAnsi="Times New Roman" w:cs="Times New Roman"/>
          <w:color w:val="737373"/>
          <w:spacing w:val="-3"/>
          <w:sz w:val="27"/>
          <w:szCs w:val="27"/>
          <w:lang w:eastAsia="pt-BR"/>
        </w:rPr>
      </w:pPr>
    </w:p>
    <w:p w:rsidR="008A6FEF" w:rsidRDefault="009F3478" w:rsidP="008A6FEF">
      <w:pPr>
        <w:shd w:val="clear" w:color="auto" w:fill="FCFCFC"/>
        <w:spacing w:after="0" w:line="240" w:lineRule="auto"/>
        <w:rPr>
          <w:rFonts w:ascii="Times New Roman" w:eastAsia="Times New Roman" w:hAnsi="Times New Roman" w:cs="Times New Roman"/>
          <w:color w:val="737373"/>
          <w:spacing w:val="-3"/>
          <w:sz w:val="27"/>
          <w:szCs w:val="27"/>
          <w:lang w:val="en-US" w:eastAsia="pt-BR"/>
        </w:rPr>
      </w:pPr>
      <w:r w:rsidRPr="008A6FEF">
        <w:rPr>
          <w:rFonts w:ascii="Arial" w:eastAsia="Times New Roman" w:hAnsi="Arial" w:cs="Arial"/>
          <w:color w:val="333333"/>
          <w:sz w:val="21"/>
          <w:szCs w:val="21"/>
          <w:lang w:val="en-US" w:eastAsia="pt-BR"/>
        </w:rPr>
        <w:t>FORBES</w:t>
      </w:r>
      <w:r w:rsidRPr="008A6FEF">
        <w:rPr>
          <w:rFonts w:ascii="Arial" w:eastAsia="Times New Roman" w:hAnsi="Arial" w:cs="Arial"/>
          <w:color w:val="333333"/>
          <w:sz w:val="21"/>
          <w:szCs w:val="21"/>
          <w:lang w:val="en-US" w:eastAsia="pt-BR"/>
        </w:rPr>
        <w:t xml:space="preserve"> </w:t>
      </w:r>
      <w:r>
        <w:rPr>
          <w:rFonts w:ascii="Arial" w:eastAsia="Times New Roman" w:hAnsi="Arial" w:cs="Arial"/>
          <w:color w:val="333333"/>
          <w:sz w:val="21"/>
          <w:szCs w:val="21"/>
          <w:lang w:val="en-US" w:eastAsia="pt-BR"/>
        </w:rPr>
        <w:tab/>
      </w:r>
      <w:r w:rsidR="008A6FEF" w:rsidRPr="008A6FEF">
        <w:rPr>
          <w:rFonts w:ascii="Times New Roman" w:eastAsia="Times New Roman" w:hAnsi="Times New Roman" w:cs="Times New Roman"/>
          <w:color w:val="737373"/>
          <w:spacing w:val="-3"/>
          <w:sz w:val="27"/>
          <w:szCs w:val="27"/>
          <w:lang w:val="en-US" w:eastAsia="pt-BR"/>
        </w:rPr>
        <w:t>81,493 views|</w:t>
      </w:r>
      <w:r>
        <w:rPr>
          <w:rFonts w:ascii="Times New Roman" w:eastAsia="Times New Roman" w:hAnsi="Times New Roman" w:cs="Times New Roman"/>
          <w:color w:val="737373"/>
          <w:spacing w:val="-3"/>
          <w:sz w:val="27"/>
          <w:szCs w:val="27"/>
          <w:lang w:val="en-US" w:eastAsia="pt-BR"/>
        </w:rPr>
        <w:t xml:space="preserve"> </w:t>
      </w:r>
      <w:r>
        <w:rPr>
          <w:rFonts w:ascii="Times New Roman" w:eastAsia="Times New Roman" w:hAnsi="Times New Roman" w:cs="Times New Roman"/>
          <w:color w:val="737373"/>
          <w:spacing w:val="-3"/>
          <w:sz w:val="27"/>
          <w:szCs w:val="27"/>
          <w:lang w:val="en-US" w:eastAsia="pt-BR"/>
        </w:rPr>
        <w:tab/>
      </w:r>
      <w:r w:rsidR="008A6FEF" w:rsidRPr="008A6FEF">
        <w:rPr>
          <w:rFonts w:ascii="Times New Roman" w:eastAsia="Times New Roman" w:hAnsi="Times New Roman" w:cs="Times New Roman"/>
          <w:color w:val="737373"/>
          <w:spacing w:val="-3"/>
          <w:sz w:val="27"/>
          <w:szCs w:val="27"/>
          <w:lang w:val="en-US" w:eastAsia="pt-BR"/>
        </w:rPr>
        <w:t xml:space="preserve">Jun 30, </w:t>
      </w:r>
      <w:r w:rsidR="008A6FEF" w:rsidRPr="008A6FEF">
        <w:rPr>
          <w:rFonts w:ascii="Times New Roman" w:eastAsia="Times New Roman" w:hAnsi="Times New Roman" w:cs="Times New Roman"/>
          <w:color w:val="737373"/>
          <w:spacing w:val="-3"/>
          <w:sz w:val="27"/>
          <w:szCs w:val="27"/>
          <w:highlight w:val="yellow"/>
          <w:lang w:val="en-US" w:eastAsia="pt-BR"/>
        </w:rPr>
        <w:t>2019</w:t>
      </w:r>
      <w:proofErr w:type="gramStart"/>
      <w:r w:rsidR="008A6FEF" w:rsidRPr="008A6FEF">
        <w:rPr>
          <w:rFonts w:ascii="Times New Roman" w:eastAsia="Times New Roman" w:hAnsi="Times New Roman" w:cs="Times New Roman"/>
          <w:color w:val="737373"/>
          <w:spacing w:val="-3"/>
          <w:sz w:val="27"/>
          <w:szCs w:val="27"/>
          <w:lang w:val="en-US" w:eastAsia="pt-BR"/>
        </w:rPr>
        <w:t>,11:53pm</w:t>
      </w:r>
      <w:proofErr w:type="gramEnd"/>
      <w:r w:rsidR="008A6FEF" w:rsidRPr="008A6FEF">
        <w:rPr>
          <w:rFonts w:ascii="Times New Roman" w:eastAsia="Times New Roman" w:hAnsi="Times New Roman" w:cs="Times New Roman"/>
          <w:color w:val="737373"/>
          <w:spacing w:val="-3"/>
          <w:sz w:val="27"/>
          <w:szCs w:val="27"/>
          <w:lang w:val="en-US" w:eastAsia="pt-BR"/>
        </w:rPr>
        <w:t xml:space="preserve"> EDT</w:t>
      </w:r>
    </w:p>
    <w:p w:rsidR="000E1F22" w:rsidRPr="008A6FEF" w:rsidRDefault="000E1F22" w:rsidP="008A6FEF">
      <w:pPr>
        <w:shd w:val="clear" w:color="auto" w:fill="FCFCFC"/>
        <w:spacing w:after="0" w:line="240" w:lineRule="auto"/>
        <w:rPr>
          <w:rFonts w:ascii="Times New Roman" w:eastAsia="Times New Roman" w:hAnsi="Times New Roman" w:cs="Times New Roman"/>
          <w:color w:val="737373"/>
          <w:spacing w:val="-3"/>
          <w:sz w:val="27"/>
          <w:szCs w:val="27"/>
          <w:lang w:val="en-US" w:eastAsia="pt-BR"/>
        </w:rPr>
      </w:pPr>
      <w:bookmarkStart w:id="0" w:name="_GoBack"/>
      <w:bookmarkEnd w:id="0"/>
    </w:p>
    <w:p w:rsidR="008A6FEF" w:rsidRPr="008A6FEF" w:rsidRDefault="008A6FEF" w:rsidP="008A6FEF">
      <w:pPr>
        <w:shd w:val="clear" w:color="auto" w:fill="FCFCFC"/>
        <w:spacing w:after="0" w:line="240" w:lineRule="auto"/>
        <w:outlineLvl w:val="0"/>
        <w:rPr>
          <w:rFonts w:ascii="Times New Roman" w:eastAsia="Times New Roman" w:hAnsi="Times New Roman" w:cs="Times New Roman"/>
          <w:b/>
          <w:bCs/>
          <w:color w:val="333333"/>
          <w:spacing w:val="-2"/>
          <w:kern w:val="36"/>
          <w:sz w:val="48"/>
          <w:szCs w:val="48"/>
          <w:lang w:val="en-US" w:eastAsia="pt-BR"/>
        </w:rPr>
      </w:pPr>
      <w:r w:rsidRPr="008A6FEF">
        <w:rPr>
          <w:rFonts w:ascii="Times New Roman" w:eastAsia="Times New Roman" w:hAnsi="Times New Roman" w:cs="Times New Roman"/>
          <w:b/>
          <w:bCs/>
          <w:color w:val="333333"/>
          <w:spacing w:val="-2"/>
          <w:kern w:val="36"/>
          <w:sz w:val="48"/>
          <w:szCs w:val="48"/>
          <w:lang w:val="en-US" w:eastAsia="pt-BR"/>
        </w:rPr>
        <w:t xml:space="preserve">Current U.S. Recession Odds Are </w:t>
      </w:r>
      <w:proofErr w:type="gramStart"/>
      <w:r w:rsidRPr="008A6FEF">
        <w:rPr>
          <w:rFonts w:ascii="Times New Roman" w:eastAsia="Times New Roman" w:hAnsi="Times New Roman" w:cs="Times New Roman"/>
          <w:b/>
          <w:bCs/>
          <w:color w:val="333333"/>
          <w:spacing w:val="-2"/>
          <w:kern w:val="36"/>
          <w:sz w:val="48"/>
          <w:szCs w:val="48"/>
          <w:lang w:val="en-US" w:eastAsia="pt-BR"/>
        </w:rPr>
        <w:t>The</w:t>
      </w:r>
      <w:proofErr w:type="gramEnd"/>
      <w:r w:rsidRPr="008A6FEF">
        <w:rPr>
          <w:rFonts w:ascii="Times New Roman" w:eastAsia="Times New Roman" w:hAnsi="Times New Roman" w:cs="Times New Roman"/>
          <w:b/>
          <w:bCs/>
          <w:color w:val="333333"/>
          <w:spacing w:val="-2"/>
          <w:kern w:val="36"/>
          <w:sz w:val="48"/>
          <w:szCs w:val="48"/>
          <w:lang w:val="en-US" w:eastAsia="pt-BR"/>
        </w:rPr>
        <w:t xml:space="preserve"> Same As During 'The Big Short' Heyday</w:t>
      </w:r>
    </w:p>
    <w:p w:rsidR="008A6FEF" w:rsidRPr="008A6FEF" w:rsidRDefault="008A6FEF" w:rsidP="008A6FEF">
      <w:pPr>
        <w:shd w:val="clear" w:color="auto" w:fill="FCFCFC"/>
        <w:spacing w:after="0" w:line="240" w:lineRule="atLeast"/>
        <w:rPr>
          <w:rFonts w:ascii="Arial" w:eastAsia="Times New Roman" w:hAnsi="Arial" w:cs="Arial"/>
          <w:color w:val="737373"/>
          <w:sz w:val="27"/>
          <w:szCs w:val="27"/>
          <w:lang w:val="en-US" w:eastAsia="pt-BR"/>
        </w:rPr>
      </w:pPr>
      <w:hyperlink r:id="rId5" w:history="1">
        <w:r w:rsidRPr="008A6FEF">
          <w:rPr>
            <w:rFonts w:ascii="Arial" w:eastAsia="Times New Roman" w:hAnsi="Arial" w:cs="Arial"/>
            <w:b/>
            <w:bCs/>
            <w:color w:val="333333"/>
            <w:sz w:val="27"/>
            <w:szCs w:val="27"/>
            <w:lang w:val="en-US" w:eastAsia="pt-BR"/>
          </w:rPr>
          <w:t xml:space="preserve">Jesse </w:t>
        </w:r>
        <w:proofErr w:type="spellStart"/>
        <w:r w:rsidRPr="008A6FEF">
          <w:rPr>
            <w:rFonts w:ascii="Arial" w:eastAsia="Times New Roman" w:hAnsi="Arial" w:cs="Arial"/>
            <w:b/>
            <w:bCs/>
            <w:color w:val="333333"/>
            <w:sz w:val="27"/>
            <w:szCs w:val="27"/>
            <w:lang w:val="en-US" w:eastAsia="pt-BR"/>
          </w:rPr>
          <w:t>Colombo</w:t>
        </w:r>
      </w:hyperlink>
      <w:r w:rsidRPr="008A6FEF">
        <w:rPr>
          <w:rFonts w:ascii="Arial" w:eastAsia="Times New Roman" w:hAnsi="Arial" w:cs="Arial"/>
          <w:color w:val="737373"/>
          <w:sz w:val="27"/>
          <w:szCs w:val="27"/>
          <w:lang w:val="en-US" w:eastAsia="pt-BR"/>
        </w:rPr>
        <w:t>Contributor</w:t>
      </w:r>
      <w:proofErr w:type="spellEnd"/>
    </w:p>
    <w:p w:rsidR="008A6FEF" w:rsidRPr="008A6FEF" w:rsidRDefault="008A6FEF" w:rsidP="008A6FEF">
      <w:pPr>
        <w:shd w:val="clear" w:color="auto" w:fill="FCFCFC"/>
        <w:spacing w:after="0" w:line="240" w:lineRule="atLeast"/>
        <w:rPr>
          <w:rFonts w:ascii="Arial" w:eastAsia="Times New Roman" w:hAnsi="Arial" w:cs="Arial"/>
          <w:color w:val="737373"/>
          <w:sz w:val="18"/>
          <w:szCs w:val="18"/>
          <w:lang w:val="en-US" w:eastAsia="pt-BR"/>
        </w:rPr>
      </w:pPr>
      <w:hyperlink r:id="rId6" w:history="1">
        <w:r w:rsidRPr="008A6FEF">
          <w:rPr>
            <w:rFonts w:ascii="Arial" w:eastAsia="Times New Roman" w:hAnsi="Arial" w:cs="Arial"/>
            <w:color w:val="598141"/>
            <w:sz w:val="18"/>
            <w:szCs w:val="18"/>
            <w:lang w:val="en-US" w:eastAsia="pt-BR"/>
          </w:rPr>
          <w:t>Markets</w:t>
        </w:r>
      </w:hyperlink>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The current U.S. economic expansion turned ten-years-old in June and is poised to become the longest U.S. economic expansion in history in July. Considering all of the threats that the economy has faced in the past decade, it’s practically a miracle that the expansion has gone for so long without any hiccups. Unfortunately, there are an increasing </w:t>
      </w:r>
      <w:hyperlink r:id="rId7" w:tgtFrame="_blank" w:history="1">
        <w:r w:rsidRPr="008A6FEF">
          <w:rPr>
            <w:rFonts w:ascii="Times New Roman" w:eastAsia="Times New Roman" w:hAnsi="Times New Roman" w:cs="Times New Roman"/>
            <w:color w:val="003891"/>
            <w:sz w:val="24"/>
            <w:szCs w:val="24"/>
            <w:lang w:val="en-US" w:eastAsia="pt-BR"/>
          </w:rPr>
          <w:t>number of signs</w:t>
        </w:r>
      </w:hyperlink>
      <w:r w:rsidRPr="008A6FEF">
        <w:rPr>
          <w:rFonts w:ascii="Times New Roman" w:eastAsia="Times New Roman" w:hAnsi="Times New Roman" w:cs="Times New Roman"/>
          <w:color w:val="333333"/>
          <w:sz w:val="24"/>
          <w:szCs w:val="24"/>
          <w:lang w:val="en-US" w:eastAsia="pt-BR"/>
        </w:rPr>
        <w:t> that are warning that the expansion is soon coming to end and that a recession is not far away. Particularly alarming is the fact that the New York Fed’s very accurate recession probability model is warning that the current odds of a recession in the next year are the same as they were in July 2007, which is when the subprime debt crisis kicked into high gear.</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The New York Fed’s recession </w:t>
      </w:r>
      <w:hyperlink r:id="rId8" w:tgtFrame="_blank" w:history="1">
        <w:r w:rsidRPr="008A6FEF">
          <w:rPr>
            <w:rFonts w:ascii="Times New Roman" w:eastAsia="Times New Roman" w:hAnsi="Times New Roman" w:cs="Times New Roman"/>
            <w:color w:val="003891"/>
            <w:sz w:val="24"/>
            <w:szCs w:val="24"/>
            <w:lang w:val="en-US" w:eastAsia="pt-BR"/>
          </w:rPr>
          <w:t>probability model</w:t>
        </w:r>
      </w:hyperlink>
      <w:r w:rsidRPr="008A6FEF">
        <w:rPr>
          <w:rFonts w:ascii="Times New Roman" w:eastAsia="Times New Roman" w:hAnsi="Times New Roman" w:cs="Times New Roman"/>
          <w:color w:val="333333"/>
          <w:sz w:val="24"/>
          <w:szCs w:val="24"/>
          <w:lang w:val="en-US" w:eastAsia="pt-BR"/>
        </w:rPr>
        <w:t> is currently warning that there is a 30% probability of a recession in the next 12 months. The last time that recession odds were the same as they are now was in July 2007, which was just five months before the Great Recession officially started in December 2007. July 2007 was also when Bear Stearns’ two subprime hedge funds </w:t>
      </w:r>
      <w:hyperlink r:id="rId9" w:anchor="Start_of_the_crisis_%E2%80%93_two_subprime_mortgage_funds_fail" w:tgtFrame="_blank" w:history="1">
        <w:r w:rsidRPr="008A6FEF">
          <w:rPr>
            <w:rFonts w:ascii="Times New Roman" w:eastAsia="Times New Roman" w:hAnsi="Times New Roman" w:cs="Times New Roman"/>
            <w:color w:val="003891"/>
            <w:sz w:val="24"/>
            <w:szCs w:val="24"/>
            <w:lang w:val="en-US" w:eastAsia="pt-BR"/>
          </w:rPr>
          <w:t>lost nearly all</w:t>
        </w:r>
      </w:hyperlink>
      <w:r w:rsidRPr="008A6FEF">
        <w:rPr>
          <w:rFonts w:ascii="Times New Roman" w:eastAsia="Times New Roman" w:hAnsi="Times New Roman" w:cs="Times New Roman"/>
          <w:color w:val="333333"/>
          <w:sz w:val="24"/>
          <w:szCs w:val="24"/>
          <w:lang w:val="en-US" w:eastAsia="pt-BR"/>
        </w:rPr>
        <w:t> of their value, which ultimately contributed to the investment bank’s demise and the sharp escalation of the U.S. financial crisis.</w:t>
      </w: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lastRenderedPageBreak/>
        <w:drawing>
          <wp:inline distT="0" distB="0" distL="0" distR="0">
            <wp:extent cx="5400040" cy="3607622"/>
            <wp:effectExtent l="0" t="0" r="0" b="0"/>
            <wp:docPr id="18" name="Imagem 18" descr="F:\Google Drive Backup\FAU\Meyer\FAU USP\AUT 5808 Análise de Projetos de Desenvolvimento Urbano e Imobiliário\Textos\Current US recession odds are the same as\NewYorkFedRecessionModelJun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oogle Drive Backup\FAU\Meyer\FAU USP\AUT 5808 Análise de Projetos de Desenvolvimento Urbano e Imobiliário\Textos\Current US recession odds are the same as\NewYorkFedRecessionModelJune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07622"/>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709F4D77" wp14:editId="2A6BCD89">
                <wp:extent cx="304800" cy="304800"/>
                <wp:effectExtent l="0" t="0" r="0" b="0"/>
                <wp:docPr id="14" name="AutoShape 1" descr="New York Fed Recession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ção: New York Fed Recession Mo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N5SmssCAADd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04B8CBA0" wp14:editId="40687E36">
                <wp:extent cx="304800" cy="304800"/>
                <wp:effectExtent l="0" t="0" r="0" b="0"/>
                <wp:docPr id="13" name="AutoShape 2" descr="New York Fed Recession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ção: New York Fed Recession Mo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TypuXMAgAA3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New York Fed Recession Model</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val="en-US" w:eastAsia="pt-BR"/>
        </w:rPr>
        <w:t>JESSE COLOMBO</w:t>
      </w: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Though a 30% probability of a recession in the next 12 months may not seem very high, the reality is that the New York Fed’s model has had a strong tendency to underestimate the probability of recessions in the past three decades. For example, this model only gave a 33% probability of a recession in July 1990, which is when the early 1990s recession started. It only gave a 21% probability of a recession in March 2001, which is when the early-2000s recession started. It also only gave a 39% probability of a recession in December 2007, which is when the Great Recession started.</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The New York Fed’s model has underestimated the probability of recessions in the past three decades because it is skewed by the unusual recessions of the early-1980s that were caused by Fed Chair Paul Volcker’s aggressive interest rate hikes that were intended to end the persistent double-digit inflation at that time. I’ve found that this model gives more accurate estimates of recession probabilities when only data after the early-1980s is considered and normalized so that the highest reading during that time period is equivalent to 100%. This methodology warned that there was an 85% chance of a recession in December 2007, which is when the Great Recession officially started (the standard model only gave a 39% probability). According to this new methodology, there is a </w:t>
      </w:r>
      <w:r w:rsidRPr="008A6FEF">
        <w:rPr>
          <w:rFonts w:ascii="Times New Roman" w:eastAsia="Times New Roman" w:hAnsi="Times New Roman" w:cs="Times New Roman"/>
          <w:i/>
          <w:iCs/>
          <w:color w:val="333333"/>
          <w:sz w:val="24"/>
          <w:szCs w:val="24"/>
          <w:lang w:val="en-US" w:eastAsia="pt-BR"/>
        </w:rPr>
        <w:t>64% chance</w:t>
      </w:r>
      <w:r w:rsidRPr="008A6FEF">
        <w:rPr>
          <w:rFonts w:ascii="Times New Roman" w:eastAsia="Times New Roman" w:hAnsi="Times New Roman" w:cs="Times New Roman"/>
          <w:color w:val="333333"/>
          <w:sz w:val="24"/>
          <w:szCs w:val="24"/>
          <w:lang w:val="en-US" w:eastAsia="pt-BR"/>
        </w:rPr>
        <w:t> of a recession in the next 12 months.</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lastRenderedPageBreak/>
        <w:drawing>
          <wp:inline distT="0" distB="0" distL="0" distR="0">
            <wp:extent cx="5400040" cy="3577242"/>
            <wp:effectExtent l="0" t="0" r="0" b="4445"/>
            <wp:docPr id="19" name="Imagem 19" descr="F:\Google Drive Backup\FAU\Meyer\FAU USP\AUT 5808 Análise de Projetos de Desenvolvimento Urbano e Imobiliário\Textos\Current US recession odds are the same as\NYFedRecessionProbabilityModel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oogle Drive Backup\FAU\Meyer\FAU USP\AUT 5808 Análise de Projetos de Desenvolvimento Urbano e Imobiliário\Textos\Current US recession odds are the same as\NYFedRecessionProbabilityModel19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77242"/>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03BEA33B" wp14:editId="4388B818">
                <wp:extent cx="304800" cy="304800"/>
                <wp:effectExtent l="0" t="0" r="0" b="0"/>
                <wp:docPr id="12" name="AutoShape 3" descr="NY Fed Recession Probability Model (data after 1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ção: NY Fed Recession Probability Model (data after 19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oxLWt0CAAD1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6F0B4A41" wp14:editId="1F2CA224">
                <wp:extent cx="304800" cy="304800"/>
                <wp:effectExtent l="0" t="0" r="0" b="0"/>
                <wp:docPr id="11" name="AutoShape 4" descr="NY Fed Recession Probability Model (data after 1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ção: NY Fed Recession Probability Model (data after 19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MpcVN0CAAD1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xml:space="preserve">NY Fed Recession Probability Model (data </w:t>
      </w:r>
      <w:proofErr w:type="gramStart"/>
      <w:r w:rsidRPr="008A6FEF">
        <w:rPr>
          <w:rFonts w:ascii="Times New Roman" w:eastAsia="Times New Roman" w:hAnsi="Times New Roman" w:cs="Times New Roman"/>
          <w:color w:val="333333"/>
          <w:sz w:val="24"/>
          <w:szCs w:val="24"/>
          <w:lang w:val="en-US" w:eastAsia="pt-BR"/>
        </w:rPr>
        <w:t>after[</w:t>
      </w:r>
      <w:proofErr w:type="gramEnd"/>
      <w:r w:rsidRPr="008A6FEF">
        <w:rPr>
          <w:rFonts w:ascii="Times New Roman" w:eastAsia="Times New Roman" w:hAnsi="Times New Roman" w:cs="Times New Roman"/>
          <w:color w:val="333333"/>
          <w:sz w:val="24"/>
          <w:szCs w:val="24"/>
          <w:lang w:val="en-US" w:eastAsia="pt-BR"/>
        </w:rPr>
        <w:t>+]</w:t>
      </w:r>
      <w:r w:rsidRPr="008A6FEF">
        <w:rPr>
          <w:rFonts w:ascii="Arial" w:eastAsia="Times New Roman" w:hAnsi="Arial" w:cs="Arial"/>
          <w:caps/>
          <w:color w:val="737373"/>
          <w:sz w:val="14"/>
          <w:szCs w:val="14"/>
          <w:lang w:val="en-US" w:eastAsia="pt-BR"/>
        </w:rPr>
        <w:t>JESSE COLOMBO</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xml:space="preserve">The New York Fed’s recession probability model is based on the 10-year and 3-month Treasury yield spread, which is the difference between 10-year and 3-month Treasury rates. During economic expansions, the 10-year Treasury yield is higher than the 3-month Treasury yield. Right before a recession, however, this spread inverts as the 3-month Treasury yield </w:t>
      </w:r>
      <w:proofErr w:type="gramStart"/>
      <w:r w:rsidRPr="008A6FEF">
        <w:rPr>
          <w:rFonts w:ascii="Times New Roman" w:eastAsia="Times New Roman" w:hAnsi="Times New Roman" w:cs="Times New Roman"/>
          <w:color w:val="333333"/>
          <w:sz w:val="24"/>
          <w:szCs w:val="24"/>
          <w:lang w:val="en-US" w:eastAsia="pt-BR"/>
        </w:rPr>
        <w:t>rises</w:t>
      </w:r>
      <w:proofErr w:type="gramEnd"/>
      <w:r w:rsidRPr="008A6FEF">
        <w:rPr>
          <w:rFonts w:ascii="Times New Roman" w:eastAsia="Times New Roman" w:hAnsi="Times New Roman" w:cs="Times New Roman"/>
          <w:color w:val="333333"/>
          <w:sz w:val="24"/>
          <w:szCs w:val="24"/>
          <w:lang w:val="en-US" w:eastAsia="pt-BR"/>
        </w:rPr>
        <w:t xml:space="preserve"> higher than the 10-year Treasury rate – this is called an </w:t>
      </w:r>
      <w:r w:rsidRPr="008A6FEF">
        <w:rPr>
          <w:rFonts w:ascii="Times New Roman" w:eastAsia="Times New Roman" w:hAnsi="Times New Roman" w:cs="Times New Roman"/>
          <w:i/>
          <w:iCs/>
          <w:color w:val="333333"/>
          <w:sz w:val="24"/>
          <w:szCs w:val="24"/>
          <w:lang w:val="en-US" w:eastAsia="pt-BR"/>
        </w:rPr>
        <w:t>inverted yield curve</w:t>
      </w:r>
      <w:r w:rsidRPr="008A6FEF">
        <w:rPr>
          <w:rFonts w:ascii="Times New Roman" w:eastAsia="Times New Roman" w:hAnsi="Times New Roman" w:cs="Times New Roman"/>
          <w:color w:val="333333"/>
          <w:sz w:val="24"/>
          <w:szCs w:val="24"/>
          <w:lang w:val="en-US" w:eastAsia="pt-BR"/>
        </w:rPr>
        <w:t>. As the chart below shows, the yield curve has inverted before all modern recessions. The 10-year and 3-month Treasury spread inverted in May, which warns that a recession is not far off.</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lastRenderedPageBreak/>
        <w:drawing>
          <wp:inline distT="0" distB="0" distL="0" distR="0">
            <wp:extent cx="5400040" cy="3638002"/>
            <wp:effectExtent l="0" t="0" r="0" b="635"/>
            <wp:docPr id="20" name="Imagem 20" descr="F:\Google Drive Backup\FAU\Meyer\FAU USP\AUT 5808 Análise de Projetos de Desenvolvimento Urbano e Imobiliário\Textos\Current US recession odds are the same as\Inversion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oogle Drive Backup\FAU\Meyer\FAU USP\AUT 5808 Análise de Projetos de Desenvolvimento Urbano e Imobiliário\Textos\Current US recession odds are the same as\InversionSpre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638002"/>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0E550298" wp14:editId="6E512794">
                <wp:extent cx="304800" cy="304800"/>
                <wp:effectExtent l="0" t="0" r="0" b="0"/>
                <wp:docPr id="10" name="AutoShape 5" descr="10-year/3-month Treasury yield spr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ção: 10-year/3-month Treasury yield spr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n4x34NECAADm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3A6858F8" wp14:editId="5029F3D7">
                <wp:extent cx="304800" cy="304800"/>
                <wp:effectExtent l="0" t="0" r="0" b="0"/>
                <wp:docPr id="9" name="AutoShape 6" descr="10-year/3-month Treasury yield spr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ção: 10-year/3-month Treasury yield spr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M4nBm0AIAAOU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10-year/3-month Treasury yield spread</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val="en-US" w:eastAsia="pt-BR"/>
        </w:rPr>
        <w:t>JESSE COLOMBO</w:t>
      </w: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xml:space="preserve">I am very concerned that the coming recession will not be a typical, garden-variety recession because an incredible number of new bubbles have formed in the past decade thanks to global central banks’ </w:t>
      </w:r>
      <w:proofErr w:type="spellStart"/>
      <w:r w:rsidRPr="008A6FEF">
        <w:rPr>
          <w:rFonts w:ascii="Times New Roman" w:eastAsia="Times New Roman" w:hAnsi="Times New Roman" w:cs="Times New Roman"/>
          <w:color w:val="333333"/>
          <w:sz w:val="24"/>
          <w:szCs w:val="24"/>
          <w:lang w:val="en-US" w:eastAsia="pt-BR"/>
        </w:rPr>
        <w:t>stimulative</w:t>
      </w:r>
      <w:proofErr w:type="spellEnd"/>
      <w:r w:rsidRPr="008A6FEF">
        <w:rPr>
          <w:rFonts w:ascii="Times New Roman" w:eastAsia="Times New Roman" w:hAnsi="Times New Roman" w:cs="Times New Roman"/>
          <w:color w:val="333333"/>
          <w:sz w:val="24"/>
          <w:szCs w:val="24"/>
          <w:lang w:val="en-US" w:eastAsia="pt-BR"/>
        </w:rPr>
        <w:t xml:space="preserve"> monetary policies. These bubbles are forming in </w:t>
      </w:r>
      <w:hyperlink r:id="rId13" w:tgtFrame="_blank" w:history="1">
        <w:r w:rsidRPr="008A6FEF">
          <w:rPr>
            <w:rFonts w:ascii="Times New Roman" w:eastAsia="Times New Roman" w:hAnsi="Times New Roman" w:cs="Times New Roman"/>
            <w:color w:val="003891"/>
            <w:sz w:val="24"/>
            <w:szCs w:val="24"/>
            <w:lang w:val="en-US" w:eastAsia="pt-BR"/>
          </w:rPr>
          <w:t>global debt</w:t>
        </w:r>
      </w:hyperlink>
      <w:r w:rsidRPr="008A6FEF">
        <w:rPr>
          <w:rFonts w:ascii="Times New Roman" w:eastAsia="Times New Roman" w:hAnsi="Times New Roman" w:cs="Times New Roman"/>
          <w:color w:val="333333"/>
          <w:sz w:val="24"/>
          <w:szCs w:val="24"/>
          <w:lang w:val="en-US" w:eastAsia="pt-BR"/>
        </w:rPr>
        <w:t>, </w:t>
      </w:r>
      <w:hyperlink r:id="rId14" w:tgtFrame="_blank" w:history="1">
        <w:r w:rsidRPr="008A6FEF">
          <w:rPr>
            <w:rFonts w:ascii="Times New Roman" w:eastAsia="Times New Roman" w:hAnsi="Times New Roman" w:cs="Times New Roman"/>
            <w:color w:val="003891"/>
            <w:sz w:val="24"/>
            <w:szCs w:val="24"/>
            <w:lang w:val="en-US" w:eastAsia="pt-BR"/>
          </w:rPr>
          <w:t>China</w:t>
        </w:r>
      </w:hyperlink>
      <w:r w:rsidRPr="008A6FEF">
        <w:rPr>
          <w:rFonts w:ascii="Times New Roman" w:eastAsia="Times New Roman" w:hAnsi="Times New Roman" w:cs="Times New Roman"/>
          <w:color w:val="333333"/>
          <w:sz w:val="24"/>
          <w:szCs w:val="24"/>
          <w:lang w:val="en-US" w:eastAsia="pt-BR"/>
        </w:rPr>
        <w:t>, </w:t>
      </w:r>
      <w:hyperlink r:id="rId15" w:tgtFrame="_blank" w:history="1">
        <w:r w:rsidRPr="008A6FEF">
          <w:rPr>
            <w:rFonts w:ascii="Times New Roman" w:eastAsia="Times New Roman" w:hAnsi="Times New Roman" w:cs="Times New Roman"/>
            <w:color w:val="003891"/>
            <w:sz w:val="24"/>
            <w:szCs w:val="24"/>
            <w:lang w:val="en-US" w:eastAsia="pt-BR"/>
          </w:rPr>
          <w:t>Hong Kong</w:t>
        </w:r>
      </w:hyperlink>
      <w:r w:rsidRPr="008A6FEF">
        <w:rPr>
          <w:rFonts w:ascii="Times New Roman" w:eastAsia="Times New Roman" w:hAnsi="Times New Roman" w:cs="Times New Roman"/>
          <w:color w:val="333333"/>
          <w:sz w:val="24"/>
          <w:szCs w:val="24"/>
          <w:lang w:val="en-US" w:eastAsia="pt-BR"/>
        </w:rPr>
        <w:t>, </w:t>
      </w:r>
      <w:hyperlink r:id="rId16" w:tgtFrame="_blank" w:history="1">
        <w:r w:rsidRPr="008A6FEF">
          <w:rPr>
            <w:rFonts w:ascii="Times New Roman" w:eastAsia="Times New Roman" w:hAnsi="Times New Roman" w:cs="Times New Roman"/>
            <w:color w:val="003891"/>
            <w:sz w:val="24"/>
            <w:szCs w:val="24"/>
            <w:lang w:val="en-US" w:eastAsia="pt-BR"/>
          </w:rPr>
          <w:t>Singapore</w:t>
        </w:r>
      </w:hyperlink>
      <w:r w:rsidRPr="008A6FEF">
        <w:rPr>
          <w:rFonts w:ascii="Times New Roman" w:eastAsia="Times New Roman" w:hAnsi="Times New Roman" w:cs="Times New Roman"/>
          <w:color w:val="333333"/>
          <w:sz w:val="24"/>
          <w:szCs w:val="24"/>
          <w:lang w:val="en-US" w:eastAsia="pt-BR"/>
        </w:rPr>
        <w:t>, </w:t>
      </w:r>
      <w:hyperlink r:id="rId17" w:tgtFrame="_blank" w:history="1">
        <w:r w:rsidRPr="008A6FEF">
          <w:rPr>
            <w:rFonts w:ascii="Times New Roman" w:eastAsia="Times New Roman" w:hAnsi="Times New Roman" w:cs="Times New Roman"/>
            <w:color w:val="003891"/>
            <w:sz w:val="24"/>
            <w:szCs w:val="24"/>
            <w:lang w:val="en-US" w:eastAsia="pt-BR"/>
          </w:rPr>
          <w:t>emerging markets</w:t>
        </w:r>
      </w:hyperlink>
      <w:r w:rsidRPr="008A6FEF">
        <w:rPr>
          <w:rFonts w:ascii="Times New Roman" w:eastAsia="Times New Roman" w:hAnsi="Times New Roman" w:cs="Times New Roman"/>
          <w:color w:val="333333"/>
          <w:sz w:val="24"/>
          <w:szCs w:val="24"/>
          <w:lang w:val="en-US" w:eastAsia="pt-BR"/>
        </w:rPr>
        <w:t>, </w:t>
      </w:r>
      <w:hyperlink r:id="rId18" w:tgtFrame="_blank" w:history="1">
        <w:r w:rsidRPr="008A6FEF">
          <w:rPr>
            <w:rFonts w:ascii="Times New Roman" w:eastAsia="Times New Roman" w:hAnsi="Times New Roman" w:cs="Times New Roman"/>
            <w:color w:val="003891"/>
            <w:sz w:val="24"/>
            <w:szCs w:val="24"/>
            <w:lang w:val="en-US" w:eastAsia="pt-BR"/>
          </w:rPr>
          <w:t>Canada</w:t>
        </w:r>
      </w:hyperlink>
      <w:r w:rsidRPr="008A6FEF">
        <w:rPr>
          <w:rFonts w:ascii="Times New Roman" w:eastAsia="Times New Roman" w:hAnsi="Times New Roman" w:cs="Times New Roman"/>
          <w:color w:val="333333"/>
          <w:sz w:val="24"/>
          <w:szCs w:val="24"/>
          <w:lang w:val="en-US" w:eastAsia="pt-BR"/>
        </w:rPr>
        <w:t>, </w:t>
      </w:r>
      <w:hyperlink r:id="rId19" w:tgtFrame="_blank" w:history="1">
        <w:r w:rsidRPr="008A6FEF">
          <w:rPr>
            <w:rFonts w:ascii="Times New Roman" w:eastAsia="Times New Roman" w:hAnsi="Times New Roman" w:cs="Times New Roman"/>
            <w:color w:val="003891"/>
            <w:sz w:val="24"/>
            <w:szCs w:val="24"/>
            <w:lang w:val="en-US" w:eastAsia="pt-BR"/>
          </w:rPr>
          <w:t>Australia</w:t>
        </w:r>
      </w:hyperlink>
      <w:r w:rsidRPr="008A6FEF">
        <w:rPr>
          <w:rFonts w:ascii="Times New Roman" w:eastAsia="Times New Roman" w:hAnsi="Times New Roman" w:cs="Times New Roman"/>
          <w:color w:val="333333"/>
          <w:sz w:val="24"/>
          <w:szCs w:val="24"/>
          <w:lang w:val="en-US" w:eastAsia="pt-BR"/>
        </w:rPr>
        <w:t>, </w:t>
      </w:r>
      <w:hyperlink r:id="rId20" w:tgtFrame="_blank" w:history="1">
        <w:r w:rsidRPr="008A6FEF">
          <w:rPr>
            <w:rFonts w:ascii="Times New Roman" w:eastAsia="Times New Roman" w:hAnsi="Times New Roman" w:cs="Times New Roman"/>
            <w:color w:val="003891"/>
            <w:sz w:val="24"/>
            <w:szCs w:val="24"/>
            <w:lang w:val="en-US" w:eastAsia="pt-BR"/>
          </w:rPr>
          <w:t>New Zealand</w:t>
        </w:r>
      </w:hyperlink>
      <w:r w:rsidRPr="008A6FEF">
        <w:rPr>
          <w:rFonts w:ascii="Times New Roman" w:eastAsia="Times New Roman" w:hAnsi="Times New Roman" w:cs="Times New Roman"/>
          <w:color w:val="333333"/>
          <w:sz w:val="24"/>
          <w:szCs w:val="24"/>
          <w:lang w:val="en-US" w:eastAsia="pt-BR"/>
        </w:rPr>
        <w:t>, </w:t>
      </w:r>
      <w:hyperlink r:id="rId21" w:tgtFrame="_blank" w:history="1">
        <w:r w:rsidRPr="008A6FEF">
          <w:rPr>
            <w:rFonts w:ascii="Times New Roman" w:eastAsia="Times New Roman" w:hAnsi="Times New Roman" w:cs="Times New Roman"/>
            <w:color w:val="003891"/>
            <w:sz w:val="24"/>
            <w:szCs w:val="24"/>
            <w:lang w:val="en-US" w:eastAsia="pt-BR"/>
          </w:rPr>
          <w:t>European real estate</w:t>
        </w:r>
      </w:hyperlink>
      <w:r w:rsidRPr="008A6FEF">
        <w:rPr>
          <w:rFonts w:ascii="Times New Roman" w:eastAsia="Times New Roman" w:hAnsi="Times New Roman" w:cs="Times New Roman"/>
          <w:color w:val="333333"/>
          <w:sz w:val="24"/>
          <w:szCs w:val="24"/>
          <w:lang w:val="en-US" w:eastAsia="pt-BR"/>
        </w:rPr>
        <w:t>, </w:t>
      </w:r>
      <w:hyperlink r:id="rId22" w:tgtFrame="_blank" w:history="1">
        <w:r w:rsidRPr="008A6FEF">
          <w:rPr>
            <w:rFonts w:ascii="Times New Roman" w:eastAsia="Times New Roman" w:hAnsi="Times New Roman" w:cs="Times New Roman"/>
            <w:color w:val="003891"/>
            <w:sz w:val="24"/>
            <w:szCs w:val="24"/>
            <w:lang w:val="en-US" w:eastAsia="pt-BR"/>
          </w:rPr>
          <w:t>the art market</w:t>
        </w:r>
      </w:hyperlink>
      <w:r w:rsidRPr="008A6FEF">
        <w:rPr>
          <w:rFonts w:ascii="Times New Roman" w:eastAsia="Times New Roman" w:hAnsi="Times New Roman" w:cs="Times New Roman"/>
          <w:color w:val="333333"/>
          <w:sz w:val="24"/>
          <w:szCs w:val="24"/>
          <w:lang w:val="en-US" w:eastAsia="pt-BR"/>
        </w:rPr>
        <w:t>, </w:t>
      </w:r>
      <w:hyperlink r:id="rId23" w:tgtFrame="_blank" w:history="1">
        <w:r w:rsidRPr="008A6FEF">
          <w:rPr>
            <w:rFonts w:ascii="Times New Roman" w:eastAsia="Times New Roman" w:hAnsi="Times New Roman" w:cs="Times New Roman"/>
            <w:color w:val="003891"/>
            <w:sz w:val="24"/>
            <w:szCs w:val="24"/>
            <w:lang w:val="en-US" w:eastAsia="pt-BR"/>
          </w:rPr>
          <w:t>U.S. stocks</w:t>
        </w:r>
      </w:hyperlink>
      <w:r w:rsidRPr="008A6FEF">
        <w:rPr>
          <w:rFonts w:ascii="Times New Roman" w:eastAsia="Times New Roman" w:hAnsi="Times New Roman" w:cs="Times New Roman"/>
          <w:color w:val="333333"/>
          <w:sz w:val="24"/>
          <w:szCs w:val="24"/>
          <w:lang w:val="en-US" w:eastAsia="pt-BR"/>
        </w:rPr>
        <w:t>, </w:t>
      </w:r>
      <w:hyperlink r:id="rId24" w:tgtFrame="_blank" w:history="1">
        <w:r w:rsidRPr="008A6FEF">
          <w:rPr>
            <w:rFonts w:ascii="Times New Roman" w:eastAsia="Times New Roman" w:hAnsi="Times New Roman" w:cs="Times New Roman"/>
            <w:color w:val="003891"/>
            <w:sz w:val="24"/>
            <w:szCs w:val="24"/>
            <w:lang w:val="en-US" w:eastAsia="pt-BR"/>
          </w:rPr>
          <w:t>U.S. household wealth</w:t>
        </w:r>
      </w:hyperlink>
      <w:r w:rsidRPr="008A6FEF">
        <w:rPr>
          <w:rFonts w:ascii="Times New Roman" w:eastAsia="Times New Roman" w:hAnsi="Times New Roman" w:cs="Times New Roman"/>
          <w:color w:val="333333"/>
          <w:sz w:val="24"/>
          <w:szCs w:val="24"/>
          <w:lang w:val="en-US" w:eastAsia="pt-BR"/>
        </w:rPr>
        <w:t>, </w:t>
      </w:r>
      <w:hyperlink r:id="rId25" w:tgtFrame="_blank" w:history="1">
        <w:r w:rsidRPr="008A6FEF">
          <w:rPr>
            <w:rFonts w:ascii="Times New Roman" w:eastAsia="Times New Roman" w:hAnsi="Times New Roman" w:cs="Times New Roman"/>
            <w:color w:val="003891"/>
            <w:sz w:val="24"/>
            <w:szCs w:val="24"/>
            <w:lang w:val="en-US" w:eastAsia="pt-BR"/>
          </w:rPr>
          <w:t>corporate debt</w:t>
        </w:r>
      </w:hyperlink>
      <w:r w:rsidRPr="008A6FEF">
        <w:rPr>
          <w:rFonts w:ascii="Times New Roman" w:eastAsia="Times New Roman" w:hAnsi="Times New Roman" w:cs="Times New Roman"/>
          <w:color w:val="333333"/>
          <w:sz w:val="24"/>
          <w:szCs w:val="24"/>
          <w:lang w:val="en-US" w:eastAsia="pt-BR"/>
        </w:rPr>
        <w:t>, </w:t>
      </w:r>
      <w:hyperlink r:id="rId26" w:tgtFrame="_blank" w:history="1">
        <w:r w:rsidRPr="008A6FEF">
          <w:rPr>
            <w:rFonts w:ascii="Times New Roman" w:eastAsia="Times New Roman" w:hAnsi="Times New Roman" w:cs="Times New Roman"/>
            <w:color w:val="003891"/>
            <w:sz w:val="24"/>
            <w:szCs w:val="24"/>
            <w:lang w:val="en-US" w:eastAsia="pt-BR"/>
          </w:rPr>
          <w:t>leveraged loans</w:t>
        </w:r>
      </w:hyperlink>
      <w:r w:rsidRPr="008A6FEF">
        <w:rPr>
          <w:rFonts w:ascii="Times New Roman" w:eastAsia="Times New Roman" w:hAnsi="Times New Roman" w:cs="Times New Roman"/>
          <w:color w:val="333333"/>
          <w:sz w:val="24"/>
          <w:szCs w:val="24"/>
          <w:lang w:val="en-US" w:eastAsia="pt-BR"/>
        </w:rPr>
        <w:t>, </w:t>
      </w:r>
      <w:hyperlink r:id="rId27" w:tgtFrame="_blank" w:history="1">
        <w:r w:rsidRPr="008A6FEF">
          <w:rPr>
            <w:rFonts w:ascii="Times New Roman" w:eastAsia="Times New Roman" w:hAnsi="Times New Roman" w:cs="Times New Roman"/>
            <w:color w:val="003891"/>
            <w:sz w:val="24"/>
            <w:szCs w:val="24"/>
            <w:lang w:val="en-US" w:eastAsia="pt-BR"/>
          </w:rPr>
          <w:t>U.S. student loans</w:t>
        </w:r>
      </w:hyperlink>
      <w:r w:rsidRPr="008A6FEF">
        <w:rPr>
          <w:rFonts w:ascii="Times New Roman" w:eastAsia="Times New Roman" w:hAnsi="Times New Roman" w:cs="Times New Roman"/>
          <w:color w:val="333333"/>
          <w:sz w:val="24"/>
          <w:szCs w:val="24"/>
          <w:lang w:val="en-US" w:eastAsia="pt-BR"/>
        </w:rPr>
        <w:t>, </w:t>
      </w:r>
      <w:hyperlink r:id="rId28" w:tgtFrame="_blank" w:history="1">
        <w:r w:rsidRPr="008A6FEF">
          <w:rPr>
            <w:rFonts w:ascii="Times New Roman" w:eastAsia="Times New Roman" w:hAnsi="Times New Roman" w:cs="Times New Roman"/>
            <w:color w:val="003891"/>
            <w:sz w:val="24"/>
            <w:szCs w:val="24"/>
            <w:lang w:val="en-US" w:eastAsia="pt-BR"/>
          </w:rPr>
          <w:t>U.S. auto loans</w:t>
        </w:r>
      </w:hyperlink>
      <w:r w:rsidRPr="008A6FEF">
        <w:rPr>
          <w:rFonts w:ascii="Times New Roman" w:eastAsia="Times New Roman" w:hAnsi="Times New Roman" w:cs="Times New Roman"/>
          <w:color w:val="333333"/>
          <w:sz w:val="24"/>
          <w:szCs w:val="24"/>
          <w:lang w:val="en-US" w:eastAsia="pt-BR"/>
        </w:rPr>
        <w:t>, </w:t>
      </w:r>
      <w:hyperlink r:id="rId29" w:tgtFrame="_blank" w:history="1">
        <w:r w:rsidRPr="008A6FEF">
          <w:rPr>
            <w:rFonts w:ascii="Times New Roman" w:eastAsia="Times New Roman" w:hAnsi="Times New Roman" w:cs="Times New Roman"/>
            <w:color w:val="003891"/>
            <w:sz w:val="24"/>
            <w:szCs w:val="24"/>
            <w:lang w:val="en-US" w:eastAsia="pt-BR"/>
          </w:rPr>
          <w:t>tech startups</w:t>
        </w:r>
      </w:hyperlink>
      <w:r w:rsidRPr="008A6FEF">
        <w:rPr>
          <w:rFonts w:ascii="Times New Roman" w:eastAsia="Times New Roman" w:hAnsi="Times New Roman" w:cs="Times New Roman"/>
          <w:color w:val="333333"/>
          <w:sz w:val="24"/>
          <w:szCs w:val="24"/>
          <w:lang w:val="en-US" w:eastAsia="pt-BR"/>
        </w:rPr>
        <w:t>, </w:t>
      </w:r>
      <w:hyperlink r:id="rId30" w:tgtFrame="_blank" w:history="1">
        <w:r w:rsidRPr="008A6FEF">
          <w:rPr>
            <w:rFonts w:ascii="Times New Roman" w:eastAsia="Times New Roman" w:hAnsi="Times New Roman" w:cs="Times New Roman"/>
            <w:color w:val="003891"/>
            <w:sz w:val="24"/>
            <w:szCs w:val="24"/>
            <w:lang w:val="en-US" w:eastAsia="pt-BR"/>
          </w:rPr>
          <w:t>shale energy</w:t>
        </w:r>
      </w:hyperlink>
      <w:r w:rsidRPr="008A6FEF">
        <w:rPr>
          <w:rFonts w:ascii="Times New Roman" w:eastAsia="Times New Roman" w:hAnsi="Times New Roman" w:cs="Times New Roman"/>
          <w:color w:val="333333"/>
          <w:sz w:val="24"/>
          <w:szCs w:val="24"/>
          <w:lang w:val="en-US" w:eastAsia="pt-BR"/>
        </w:rPr>
        <w:t>, </w:t>
      </w:r>
      <w:hyperlink r:id="rId31" w:tgtFrame="_blank" w:history="1">
        <w:r w:rsidRPr="008A6FEF">
          <w:rPr>
            <w:rFonts w:ascii="Times New Roman" w:eastAsia="Times New Roman" w:hAnsi="Times New Roman" w:cs="Times New Roman"/>
            <w:color w:val="003891"/>
            <w:sz w:val="24"/>
            <w:szCs w:val="24"/>
            <w:lang w:val="en-US" w:eastAsia="pt-BR"/>
          </w:rPr>
          <w:t>global skyscraper construction</w:t>
        </w:r>
      </w:hyperlink>
      <w:r w:rsidRPr="008A6FEF">
        <w:rPr>
          <w:rFonts w:ascii="Times New Roman" w:eastAsia="Times New Roman" w:hAnsi="Times New Roman" w:cs="Times New Roman"/>
          <w:color w:val="333333"/>
          <w:sz w:val="24"/>
          <w:szCs w:val="24"/>
          <w:lang w:val="en-US" w:eastAsia="pt-BR"/>
        </w:rPr>
        <w:t>, </w:t>
      </w:r>
      <w:hyperlink r:id="rId32" w:tgtFrame="_blank" w:history="1">
        <w:r w:rsidRPr="008A6FEF">
          <w:rPr>
            <w:rFonts w:ascii="Times New Roman" w:eastAsia="Times New Roman" w:hAnsi="Times New Roman" w:cs="Times New Roman"/>
            <w:color w:val="003891"/>
            <w:sz w:val="24"/>
            <w:szCs w:val="24"/>
            <w:lang w:val="en-US" w:eastAsia="pt-BR"/>
          </w:rPr>
          <w:t>U.S. commercial real estate</w:t>
        </w:r>
      </w:hyperlink>
      <w:r w:rsidRPr="008A6FEF">
        <w:rPr>
          <w:rFonts w:ascii="Times New Roman" w:eastAsia="Times New Roman" w:hAnsi="Times New Roman" w:cs="Times New Roman"/>
          <w:color w:val="333333"/>
          <w:sz w:val="24"/>
          <w:szCs w:val="24"/>
          <w:lang w:val="en-US" w:eastAsia="pt-BR"/>
        </w:rPr>
        <w:t>, </w:t>
      </w:r>
      <w:hyperlink r:id="rId33" w:tgtFrame="_blank" w:history="1">
        <w:r w:rsidRPr="008A6FEF">
          <w:rPr>
            <w:rFonts w:ascii="Times New Roman" w:eastAsia="Times New Roman" w:hAnsi="Times New Roman" w:cs="Times New Roman"/>
            <w:color w:val="003891"/>
            <w:sz w:val="24"/>
            <w:szCs w:val="24"/>
            <w:lang w:val="en-US" w:eastAsia="pt-BR"/>
          </w:rPr>
          <w:t>the U.S. restaurant industry</w:t>
        </w:r>
      </w:hyperlink>
      <w:r w:rsidRPr="008A6FEF">
        <w:rPr>
          <w:rFonts w:ascii="Times New Roman" w:eastAsia="Times New Roman" w:hAnsi="Times New Roman" w:cs="Times New Roman"/>
          <w:color w:val="333333"/>
          <w:sz w:val="24"/>
          <w:szCs w:val="24"/>
          <w:lang w:val="en-US" w:eastAsia="pt-BR"/>
        </w:rPr>
        <w:t>, </w:t>
      </w:r>
      <w:hyperlink r:id="rId34" w:tgtFrame="_blank" w:history="1">
        <w:r w:rsidRPr="008A6FEF">
          <w:rPr>
            <w:rFonts w:ascii="Times New Roman" w:eastAsia="Times New Roman" w:hAnsi="Times New Roman" w:cs="Times New Roman"/>
            <w:color w:val="003891"/>
            <w:sz w:val="24"/>
            <w:szCs w:val="24"/>
            <w:lang w:val="en-US" w:eastAsia="pt-BR"/>
          </w:rPr>
          <w:t>U.S. healthcare</w:t>
        </w:r>
      </w:hyperlink>
      <w:r w:rsidRPr="008A6FEF">
        <w:rPr>
          <w:rFonts w:ascii="Times New Roman" w:eastAsia="Times New Roman" w:hAnsi="Times New Roman" w:cs="Times New Roman"/>
          <w:color w:val="333333"/>
          <w:sz w:val="24"/>
          <w:szCs w:val="24"/>
          <w:lang w:val="en-US" w:eastAsia="pt-BR"/>
        </w:rPr>
        <w:t>, and </w:t>
      </w:r>
      <w:hyperlink r:id="rId35" w:tgtFrame="_blank" w:history="1">
        <w:r w:rsidRPr="008A6FEF">
          <w:rPr>
            <w:rFonts w:ascii="Times New Roman" w:eastAsia="Times New Roman" w:hAnsi="Times New Roman" w:cs="Times New Roman"/>
            <w:color w:val="003891"/>
            <w:sz w:val="24"/>
            <w:szCs w:val="24"/>
            <w:lang w:val="en-US" w:eastAsia="pt-BR"/>
          </w:rPr>
          <w:t>U.S. housing</w:t>
        </w:r>
      </w:hyperlink>
      <w:r w:rsidRPr="008A6FEF">
        <w:rPr>
          <w:rFonts w:ascii="Times New Roman" w:eastAsia="Times New Roman" w:hAnsi="Times New Roman" w:cs="Times New Roman"/>
          <w:color w:val="333333"/>
          <w:sz w:val="24"/>
          <w:szCs w:val="24"/>
          <w:lang w:val="en-US" w:eastAsia="pt-BR"/>
        </w:rPr>
        <w:t xml:space="preserve"> once again. I believe that these bubbles are going to burst violently in the coming recession, which will make the recession much stronger than usual – possibly even worse than </w:t>
      </w:r>
      <w:proofErr w:type="gramStart"/>
      <w:r w:rsidRPr="008A6FEF">
        <w:rPr>
          <w:rFonts w:ascii="Times New Roman" w:eastAsia="Times New Roman" w:hAnsi="Times New Roman" w:cs="Times New Roman"/>
          <w:color w:val="333333"/>
          <w:sz w:val="24"/>
          <w:szCs w:val="24"/>
          <w:lang w:val="en-US" w:eastAsia="pt-BR"/>
        </w:rPr>
        <w:t>’08</w:t>
      </w:r>
      <w:proofErr w:type="gramEnd"/>
      <w:r w:rsidRPr="008A6FEF">
        <w:rPr>
          <w:rFonts w:ascii="Times New Roman" w:eastAsia="Times New Roman" w:hAnsi="Times New Roman" w:cs="Times New Roman"/>
          <w:color w:val="333333"/>
          <w:sz w:val="24"/>
          <w:szCs w:val="24"/>
          <w:lang w:val="en-US" w:eastAsia="pt-BR"/>
        </w:rPr>
        <w:t>.</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One of the bubbles that I am warning about is the U.S. stock market bubble. This bubble has caused the S&amp;P 500 stock index to soar 300% in the past decade:</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lastRenderedPageBreak/>
        <w:drawing>
          <wp:inline distT="0" distB="0" distL="0" distR="0">
            <wp:extent cx="5400040" cy="3729142"/>
            <wp:effectExtent l="0" t="0" r="0" b="5080"/>
            <wp:docPr id="21" name="Imagem 21" descr="F:\Google Drive Backup\FAU\Meyer\FAU USP\AUT 5808 Análise de Projetos de Desenvolvimento Urbano e Imobiliário\Textos\Current US recession odds are the same as\SP500-300PercentG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Google Drive Backup\FAU\Meyer\FAU USP\AUT 5808 Análise de Projetos de Desenvolvimento Urbano e Imobiliário\Textos\Current US recession odds are the same as\SP500-300PercentGain-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3729142"/>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747C5F76" wp14:editId="62672255">
                <wp:extent cx="304800" cy="304800"/>
                <wp:effectExtent l="0" t="0" r="0" b="0"/>
                <wp:docPr id="8" name="AutoShape 7" descr="S&amp;P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ção: S&amp;P 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tQ6ALwCAADL&#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299D0972" wp14:editId="088029D7">
                <wp:extent cx="304800" cy="304800"/>
                <wp:effectExtent l="0" t="0" r="0" b="0"/>
                <wp:docPr id="7" name="AutoShape 8" descr="S&amp;P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ção: S&amp;P 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fhGhB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S&amp;P 500</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val="en-US" w:eastAsia="pt-BR"/>
        </w:rPr>
        <w:t>JESSE COLOMBO</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The S&amp;P 500 rose at a much faster rate than corporate earnings, which means that the U.S. stock market is quite overvalued now. Overvalued stock markets eventually fall to more reasonable valuations again, which results in bear markets. As the cyclically-adjusted price-to-earnings ratio chart below shows, the U.S. stock market is almost as overvalued as it was in the Roaring Twenties right before the 1929 stock market crash and Great Depression.</w:t>
      </w: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lastRenderedPageBreak/>
        <w:drawing>
          <wp:inline distT="0" distB="0" distL="0" distR="0">
            <wp:extent cx="5400040" cy="3189897"/>
            <wp:effectExtent l="0" t="0" r="0" b="0"/>
            <wp:docPr id="22" name="Imagem 22" descr="F:\Google Drive Backup\FAU\Meyer\FAU USP\AUT 5808 Análise de Projetos de Desenvolvimento Urbano e Imobiliário\Textos\Current US recession odds are the same as\CAPE3-1-1024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Google Drive Backup\FAU\Meyer\FAU USP\AUT 5808 Análise de Projetos de Desenvolvimento Urbano e Imobiliário\Textos\Current US recession odds are the same as\CAPE3-1-1024x60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3189897"/>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37D1E543" wp14:editId="0A55121C">
                <wp:extent cx="304800" cy="304800"/>
                <wp:effectExtent l="0" t="0" r="0" b="0"/>
                <wp:docPr id="6" name="AutoShape 9" descr="Cyclically-Adjusted PE Rat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ção: Cyclically-Adjusted PE Rat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V6vB1zQIAANw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7CA47CAF" wp14:editId="4D502E79">
                <wp:extent cx="304800" cy="304800"/>
                <wp:effectExtent l="0" t="0" r="0" b="0"/>
                <wp:docPr id="5" name="AutoShape 10" descr="Cyclically-Adjusted PE Rat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ção: Cyclically-Adjusted PE Rat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W0T284CAADd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Cyclically-Adjusted PE Ratio</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val="en-US" w:eastAsia="pt-BR"/>
        </w:rPr>
        <w:t>JESSE COLOMBO</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Overly inflated stock, bond, and housing prices have resulted in a massive bubble in U.S. household wealth, which is at extremely high levels relative to the GDP. Household wealth experienced surges and subsequent crashes during the dot-com and housing bubbles, so the current bubble is certainly a reason to worry.</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p>
    <w:p w:rsidR="008A6FEF" w:rsidRPr="008A6FEF" w:rsidRDefault="009F3478"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drawing>
          <wp:inline distT="0" distB="0" distL="0" distR="0">
            <wp:extent cx="5400040" cy="3546862"/>
            <wp:effectExtent l="0" t="0" r="0" b="0"/>
            <wp:docPr id="23" name="Imagem 23" descr="F:\Google Drive Backup\FAU\Meyer\FAU USP\AUT 5808 Análise de Projetos de Desenvolvimento Urbano e Imobiliário\Textos\Current US recession odds are the same as\HouseholdNetWorthGD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Google Drive Backup\FAU\Meyer\FAU USP\AUT 5808 Análise de Projetos de Desenvolvimento Urbano e Imobiliário\Textos\Current US recession odds are the same as\HouseholdNetWorthGDP-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3546862"/>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w:lastRenderedPageBreak/>
        <mc:AlternateContent>
          <mc:Choice Requires="wps">
            <w:drawing>
              <wp:inline distT="0" distB="0" distL="0" distR="0" wp14:anchorId="1813BD30" wp14:editId="484D9D20">
                <wp:extent cx="304800" cy="304800"/>
                <wp:effectExtent l="0" t="0" r="0" b="0"/>
                <wp:docPr id="4" name="AutoShape 11" descr="Household Net Worth vs. GD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ção: Household Net Worth vs. GD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&#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jPRFJzQIAANw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6491A16D" wp14:editId="41EAB368">
                <wp:extent cx="304800" cy="304800"/>
                <wp:effectExtent l="0" t="0" r="0" b="0"/>
                <wp:docPr id="3" name="AutoShape 12" descr="Household Net Worth vs. GD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ção: Household Net Worth vs. GD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lnVf6zQIAANw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Household Net Worth vs. GDP</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val="en-US" w:eastAsia="pt-BR"/>
        </w:rPr>
        <w:t>JESSE COLOMBO</w:t>
      </w:r>
    </w:p>
    <w:p w:rsid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To make matters worse, Goldman Sachs’ Bear Market Risk Indicator has been at its highest level since the early-1970s:</w:t>
      </w:r>
    </w:p>
    <w:p w:rsidR="009F3478" w:rsidRDefault="009F3478"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p>
    <w:p w:rsidR="009F3478" w:rsidRPr="008A6FEF" w:rsidRDefault="009F3478"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Pr>
          <w:rFonts w:ascii="Times New Roman" w:eastAsia="Times New Roman" w:hAnsi="Times New Roman" w:cs="Times New Roman"/>
          <w:noProof/>
          <w:color w:val="333333"/>
          <w:sz w:val="24"/>
          <w:szCs w:val="24"/>
          <w:lang w:eastAsia="pt-BR"/>
        </w:rPr>
        <w:drawing>
          <wp:inline distT="0" distB="0" distL="0" distR="0">
            <wp:extent cx="5400040" cy="4822821"/>
            <wp:effectExtent l="0" t="0" r="0" b="0"/>
            <wp:docPr id="25" name="Imagem 25" descr="F:\Google Drive Backup\FAU\Meyer\FAU USP\AUT 5808 Análise de Projetos de Desenvolvimento Urbano e Imobiliário\Textos\Current US recession odds are the same as\GS-Bear-Market-Risk-Indicator-1-1024x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Google Drive Backup\FAU\Meyer\FAU USP\AUT 5808 Análise de Projetos de Desenvolvimento Urbano e Imobiliário\Textos\Current US recession odds are the same as\GS-Bear-Market-Risk-Indicator-1-1024x91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4822821"/>
                    </a:xfrm>
                    <a:prstGeom prst="rect">
                      <a:avLst/>
                    </a:prstGeom>
                    <a:noFill/>
                    <a:ln>
                      <a:noFill/>
                    </a:ln>
                  </pic:spPr>
                </pic:pic>
              </a:graphicData>
            </a:graphic>
          </wp:inline>
        </w:drawing>
      </w:r>
    </w:p>
    <w:p w:rsidR="008A6FEF" w:rsidRPr="008A6FEF" w:rsidRDefault="008A6FEF" w:rsidP="008A6FEF">
      <w:pPr>
        <w:shd w:val="clear" w:color="auto" w:fill="FCFCFC"/>
        <w:spacing w:after="0" w:line="0" w:lineRule="auto"/>
        <w:rPr>
          <w:rFonts w:ascii="Georgia" w:eastAsia="Times New Roman" w:hAnsi="Georgia" w:cs="Times New Roman"/>
          <w:color w:val="333333"/>
          <w:sz w:val="24"/>
          <w:szCs w:val="24"/>
          <w:lang w:eastAsia="pt-BR"/>
        </w:rPr>
      </w:pP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63F16A55" wp14:editId="3F8918A5">
                <wp:extent cx="304800" cy="304800"/>
                <wp:effectExtent l="0" t="0" r="0" b="0"/>
                <wp:docPr id="2" name="AutoShape 13" descr="Goldman Sachs Bear Market Risk Indic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ção: Goldman Sachs Bear Market Risk Indic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40iZJ1gIAAOk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8A6FEF">
        <w:rPr>
          <w:rFonts w:ascii="Georgia" w:eastAsia="Times New Roman" w:hAnsi="Georgia" w:cs="Times New Roman"/>
          <w:noProof/>
          <w:color w:val="333333"/>
          <w:sz w:val="24"/>
          <w:szCs w:val="24"/>
          <w:lang w:eastAsia="pt-BR"/>
        </w:rPr>
        <mc:AlternateContent>
          <mc:Choice Requires="wps">
            <w:drawing>
              <wp:inline distT="0" distB="0" distL="0" distR="0" wp14:anchorId="09833CA6" wp14:editId="0ABA6375">
                <wp:extent cx="304800" cy="304800"/>
                <wp:effectExtent l="0" t="0" r="0" b="0"/>
                <wp:docPr id="1" name="AutoShape 14" descr="Goldman Sachs Bear Market Risk Indic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ção: Goldman Sachs Bear Market Risk Indica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EOhQINQCAADp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8A6FEF" w:rsidRPr="008A6FEF" w:rsidRDefault="008A6FEF" w:rsidP="008A6FEF">
      <w:pPr>
        <w:shd w:val="clear" w:color="auto" w:fill="FCFCFC"/>
        <w:spacing w:after="0" w:line="240" w:lineRule="auto"/>
        <w:ind w:right="120"/>
        <w:rPr>
          <w:rFonts w:ascii="Arial" w:eastAsia="Times New Roman" w:hAnsi="Arial" w:cs="Arial"/>
          <w:color w:val="737373"/>
          <w:sz w:val="18"/>
          <w:szCs w:val="18"/>
          <w:lang w:val="en-US" w:eastAsia="pt-BR"/>
        </w:rPr>
      </w:pPr>
      <w:r w:rsidRPr="008A6FEF">
        <w:rPr>
          <w:rFonts w:ascii="Arial" w:eastAsia="Times New Roman" w:hAnsi="Arial" w:cs="Arial"/>
          <w:color w:val="737373"/>
          <w:sz w:val="18"/>
          <w:szCs w:val="18"/>
          <w:lang w:val="en-US" w:eastAsia="pt-BR"/>
        </w:rPr>
        <w:t>Goldman Sachs Bear Market Risk Indicator</w:t>
      </w:r>
    </w:p>
    <w:p w:rsidR="008A6FEF" w:rsidRPr="008A6FEF" w:rsidRDefault="008A6FEF" w:rsidP="008A6FEF">
      <w:pPr>
        <w:shd w:val="clear" w:color="auto" w:fill="FCFCFC"/>
        <w:spacing w:after="0" w:line="240" w:lineRule="auto"/>
        <w:rPr>
          <w:rFonts w:ascii="Times New Roman" w:eastAsia="Times New Roman" w:hAnsi="Times New Roman" w:cs="Times New Roman"/>
          <w:color w:val="333333"/>
          <w:sz w:val="24"/>
          <w:szCs w:val="24"/>
          <w:lang w:eastAsia="pt-BR"/>
        </w:rPr>
      </w:pPr>
      <w:r w:rsidRPr="008A6FEF">
        <w:rPr>
          <w:rFonts w:ascii="Times New Roman" w:eastAsia="Times New Roman" w:hAnsi="Times New Roman" w:cs="Times New Roman"/>
          <w:color w:val="333333"/>
          <w:sz w:val="24"/>
          <w:szCs w:val="24"/>
          <w:lang w:val="en-US" w:eastAsia="pt-BR"/>
        </w:rPr>
        <w:t> </w:t>
      </w:r>
      <w:r w:rsidRPr="008A6FEF">
        <w:rPr>
          <w:rFonts w:ascii="Arial" w:eastAsia="Times New Roman" w:hAnsi="Arial" w:cs="Arial"/>
          <w:caps/>
          <w:color w:val="737373"/>
          <w:sz w:val="14"/>
          <w:szCs w:val="14"/>
          <w:lang w:eastAsia="pt-BR"/>
        </w:rPr>
        <w:t>GOLDMAN SACHS</w:t>
      </w:r>
    </w:p>
    <w:p w:rsidR="008A6FEF" w:rsidRPr="008A6FEF" w:rsidRDefault="008A6FEF" w:rsidP="008A6FEF">
      <w:pPr>
        <w:shd w:val="clear" w:color="auto" w:fill="FCFCFC"/>
        <w:spacing w:before="100" w:beforeAutospacing="1" w:after="100" w:afterAutospacing="1" w:line="240" w:lineRule="auto"/>
        <w:rPr>
          <w:rFonts w:ascii="Times New Roman" w:eastAsia="Times New Roman" w:hAnsi="Times New Roman" w:cs="Times New Roman"/>
          <w:color w:val="333333"/>
          <w:sz w:val="24"/>
          <w:szCs w:val="24"/>
          <w:lang w:val="en-US" w:eastAsia="pt-BR"/>
        </w:rPr>
      </w:pPr>
      <w:r w:rsidRPr="008A6FEF">
        <w:rPr>
          <w:rFonts w:ascii="Times New Roman" w:eastAsia="Times New Roman" w:hAnsi="Times New Roman" w:cs="Times New Roman"/>
          <w:color w:val="333333"/>
          <w:sz w:val="24"/>
          <w:szCs w:val="24"/>
          <w:lang w:val="en-US" w:eastAsia="pt-BR"/>
        </w:rPr>
        <w:t>To summarize, U.S. recession risk is rising at an alarming rate and there are an incredible number of dangerous new bubbles that are poised to burst in the coming downturn. This is the time for vigilance, not complacency. Central banks have lulled everyone to sleep in the past decade with easy money, but that easy money has created an artificial economy and tremendous distortions that are going to rear their ugly heads very soon.</w:t>
      </w:r>
    </w:p>
    <w:p w:rsidR="008A6FEF" w:rsidRPr="008A6FEF" w:rsidRDefault="008A6FEF" w:rsidP="008A6FEF">
      <w:pPr>
        <w:shd w:val="clear" w:color="auto" w:fill="FCFCFC"/>
        <w:spacing w:after="180" w:line="390" w:lineRule="atLeast"/>
        <w:rPr>
          <w:rFonts w:ascii="Georgia" w:eastAsia="Times New Roman" w:hAnsi="Georgia" w:cs="Times New Roman"/>
          <w:i/>
          <w:iCs/>
          <w:color w:val="333333"/>
          <w:sz w:val="24"/>
          <w:szCs w:val="24"/>
          <w:lang w:val="en-US" w:eastAsia="pt-BR"/>
        </w:rPr>
      </w:pPr>
      <w:hyperlink r:id="rId40" w:tgtFrame="_blank" w:history="1">
        <w:r w:rsidRPr="008A6FEF">
          <w:rPr>
            <w:rFonts w:ascii="Georgia" w:eastAsia="Times New Roman" w:hAnsi="Georgia" w:cs="Times New Roman"/>
            <w:i/>
            <w:iCs/>
            <w:color w:val="003891"/>
            <w:sz w:val="24"/>
            <w:szCs w:val="24"/>
            <w:lang w:val="en-US" w:eastAsia="pt-BR"/>
          </w:rPr>
          <w:t>Get the best of Forbes</w:t>
        </w:r>
      </w:hyperlink>
      <w:r w:rsidRPr="008A6FEF">
        <w:rPr>
          <w:rFonts w:ascii="Georgia" w:eastAsia="Times New Roman" w:hAnsi="Georgia" w:cs="Times New Roman"/>
          <w:i/>
          <w:iCs/>
          <w:color w:val="333333"/>
          <w:sz w:val="24"/>
          <w:szCs w:val="24"/>
          <w:lang w:val="en-US" w:eastAsia="pt-BR"/>
        </w:rPr>
        <w:t> to your inbox with the latest insights from experts across the globe.</w:t>
      </w:r>
    </w:p>
    <w:p w:rsidR="008A6FEF" w:rsidRPr="008A6FEF" w:rsidRDefault="008A6FEF" w:rsidP="008A6FEF">
      <w:pPr>
        <w:shd w:val="clear" w:color="auto" w:fill="FCFCFC"/>
        <w:spacing w:after="0" w:line="240" w:lineRule="auto"/>
        <w:textAlignment w:val="top"/>
        <w:rPr>
          <w:rFonts w:ascii="Times New Roman" w:eastAsia="Times New Roman" w:hAnsi="Times New Roman" w:cs="Times New Roman"/>
          <w:color w:val="333333"/>
          <w:sz w:val="24"/>
          <w:szCs w:val="24"/>
          <w:lang w:eastAsia="pt-BR"/>
        </w:rPr>
      </w:pPr>
      <w:r w:rsidRPr="008A6FEF">
        <w:rPr>
          <w:rFonts w:ascii="Times New Roman" w:eastAsia="Times New Roman" w:hAnsi="Times New Roman" w:cs="Times New Roman"/>
          <w:noProof/>
          <w:color w:val="003891"/>
          <w:sz w:val="24"/>
          <w:szCs w:val="24"/>
          <w:lang w:eastAsia="pt-BR"/>
        </w:rPr>
        <w:lastRenderedPageBreak/>
        <w:drawing>
          <wp:inline distT="0" distB="0" distL="0" distR="0" wp14:anchorId="2B8626FE" wp14:editId="5492AD8C">
            <wp:extent cx="590550" cy="590550"/>
            <wp:effectExtent l="0" t="0" r="0" b="0"/>
            <wp:docPr id="15" name="Imagem 15" descr="https://blogs-images.forbes.com/jessecolombo/files/2018/08/Jesse-Colombo_avatar_1534520141-62x6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logs-images.forbes.com/jessecolombo/files/2018/08/Jesse-Colombo_avatar_1534520141-62x62.jpg">
                      <a:hlinkClick r:id="rId5"/>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A6FEF" w:rsidRPr="008A6FEF" w:rsidRDefault="008A6FEF" w:rsidP="008A6FEF">
      <w:pPr>
        <w:shd w:val="clear" w:color="auto" w:fill="FCFCFC"/>
        <w:spacing w:after="180" w:line="180" w:lineRule="atLeast"/>
        <w:textAlignment w:val="top"/>
        <w:rPr>
          <w:rFonts w:ascii="Times New Roman" w:eastAsia="Times New Roman" w:hAnsi="Times New Roman" w:cs="Times New Roman"/>
          <w:color w:val="333333"/>
          <w:sz w:val="24"/>
          <w:szCs w:val="24"/>
          <w:lang w:val="en-US" w:eastAsia="pt-BR"/>
        </w:rPr>
      </w:pPr>
      <w:hyperlink r:id="rId42" w:history="1">
        <w:r w:rsidRPr="008A6FEF">
          <w:rPr>
            <w:rFonts w:ascii="Times New Roman" w:eastAsia="Times New Roman" w:hAnsi="Times New Roman" w:cs="Times New Roman"/>
            <w:color w:val="333333"/>
            <w:sz w:val="24"/>
            <w:szCs w:val="24"/>
            <w:lang w:val="en-US" w:eastAsia="pt-BR"/>
          </w:rPr>
          <w:t>Jesse Colombo</w:t>
        </w:r>
      </w:hyperlink>
    </w:p>
    <w:p w:rsidR="008A6FEF" w:rsidRPr="008A6FEF" w:rsidRDefault="008A6FEF" w:rsidP="008A6FEF">
      <w:pPr>
        <w:rPr>
          <w:rFonts w:ascii="Arial" w:eastAsia="Times New Roman" w:hAnsi="Arial" w:cs="Arial"/>
          <w:color w:val="333333"/>
          <w:sz w:val="21"/>
          <w:szCs w:val="21"/>
          <w:lang w:val="en-US" w:eastAsia="pt-BR"/>
        </w:rPr>
      </w:pPr>
      <w:r w:rsidRPr="008A6FEF">
        <w:rPr>
          <w:rFonts w:ascii="Arial" w:eastAsia="Times New Roman" w:hAnsi="Arial" w:cs="Arial"/>
          <w:color w:val="333333"/>
          <w:sz w:val="21"/>
          <w:szCs w:val="21"/>
          <w:lang w:val="en-US" w:eastAsia="pt-BR"/>
        </w:rPr>
        <w:t>Jesse Colombo is an economic analyst and Forbes contributor who warns about bubbles and future financial crises.</w:t>
      </w:r>
    </w:p>
    <w:p w:rsidR="008A6FEF" w:rsidRPr="008A6FEF" w:rsidRDefault="008A6FEF" w:rsidP="008A6FEF">
      <w:pPr>
        <w:rPr>
          <w:rFonts w:ascii="Arial" w:eastAsia="Times New Roman" w:hAnsi="Arial" w:cs="Arial"/>
          <w:color w:val="333333"/>
          <w:sz w:val="21"/>
          <w:szCs w:val="21"/>
          <w:lang w:val="en-US" w:eastAsia="pt-BR"/>
        </w:rPr>
      </w:pPr>
      <w:r w:rsidRPr="008A6FEF">
        <w:rPr>
          <w:rFonts w:ascii="Arial" w:eastAsia="Times New Roman" w:hAnsi="Arial" w:cs="Arial"/>
          <w:color w:val="333333"/>
          <w:sz w:val="21"/>
          <w:szCs w:val="21"/>
          <w:lang w:val="en-US" w:eastAsia="pt-BR"/>
        </w:rPr>
        <w:t>In 2008 - at age 22 - he was recognized by The Times of London for warning about the U.S. housing and credit bubble as a university student via a website he built called "stock-market-crash.net."</w:t>
      </w:r>
    </w:p>
    <w:p w:rsidR="00D54762" w:rsidRPr="008A6FEF" w:rsidRDefault="008A6FEF" w:rsidP="008A6FEF">
      <w:pPr>
        <w:rPr>
          <w:lang w:val="en-US"/>
        </w:rPr>
      </w:pPr>
      <w:r w:rsidRPr="008A6FEF">
        <w:rPr>
          <w:rFonts w:ascii="Arial" w:eastAsia="Times New Roman" w:hAnsi="Arial" w:cs="Arial"/>
          <w:color w:val="333333"/>
          <w:sz w:val="21"/>
          <w:szCs w:val="21"/>
          <w:lang w:val="en-US" w:eastAsia="pt-BR"/>
        </w:rPr>
        <w:t>Jesse is now a popular and controversial financial media personality with over 150,000 social media followers and nearly 10 million views per month on all platforms.</w:t>
      </w:r>
    </w:p>
    <w:sectPr w:rsidR="00D54762" w:rsidRPr="008A6F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EF"/>
    <w:rsid w:val="000E1F22"/>
    <w:rsid w:val="008A6FEF"/>
    <w:rsid w:val="009F3478"/>
    <w:rsid w:val="00D54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6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6FEF"/>
    <w:rPr>
      <w:rFonts w:ascii="Tahoma" w:hAnsi="Tahoma" w:cs="Tahoma"/>
      <w:sz w:val="16"/>
      <w:szCs w:val="16"/>
    </w:rPr>
  </w:style>
  <w:style w:type="character" w:styleId="Hyperlink">
    <w:name w:val="Hyperlink"/>
    <w:basedOn w:val="Fontepargpadro"/>
    <w:uiPriority w:val="99"/>
    <w:semiHidden/>
    <w:unhideWhenUsed/>
    <w:rsid w:val="008A6F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A6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6FEF"/>
    <w:rPr>
      <w:rFonts w:ascii="Tahoma" w:hAnsi="Tahoma" w:cs="Tahoma"/>
      <w:sz w:val="16"/>
      <w:szCs w:val="16"/>
    </w:rPr>
  </w:style>
  <w:style w:type="character" w:styleId="Hyperlink">
    <w:name w:val="Hyperlink"/>
    <w:basedOn w:val="Fontepargpadro"/>
    <w:uiPriority w:val="99"/>
    <w:semiHidden/>
    <w:unhideWhenUsed/>
    <w:rsid w:val="008A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7378">
      <w:bodyDiv w:val="1"/>
      <w:marLeft w:val="0"/>
      <w:marRight w:val="0"/>
      <w:marTop w:val="0"/>
      <w:marBottom w:val="0"/>
      <w:divBdr>
        <w:top w:val="none" w:sz="0" w:space="0" w:color="auto"/>
        <w:left w:val="none" w:sz="0" w:space="0" w:color="auto"/>
        <w:bottom w:val="none" w:sz="0" w:space="0" w:color="auto"/>
        <w:right w:val="none" w:sz="0" w:space="0" w:color="auto"/>
      </w:divBdr>
    </w:div>
    <w:div w:id="1764648649">
      <w:bodyDiv w:val="1"/>
      <w:marLeft w:val="0"/>
      <w:marRight w:val="0"/>
      <w:marTop w:val="0"/>
      <w:marBottom w:val="0"/>
      <w:divBdr>
        <w:top w:val="none" w:sz="0" w:space="0" w:color="auto"/>
        <w:left w:val="none" w:sz="0" w:space="0" w:color="auto"/>
        <w:bottom w:val="none" w:sz="0" w:space="0" w:color="auto"/>
        <w:right w:val="none" w:sz="0" w:space="0" w:color="auto"/>
      </w:divBdr>
      <w:divsChild>
        <w:div w:id="73401849">
          <w:marLeft w:val="0"/>
          <w:marRight w:val="0"/>
          <w:marTop w:val="0"/>
          <w:marBottom w:val="0"/>
          <w:divBdr>
            <w:top w:val="none" w:sz="0" w:space="0" w:color="auto"/>
            <w:left w:val="none" w:sz="0" w:space="0" w:color="auto"/>
            <w:bottom w:val="none" w:sz="0" w:space="0" w:color="auto"/>
            <w:right w:val="none" w:sz="0" w:space="0" w:color="auto"/>
          </w:divBdr>
          <w:divsChild>
            <w:div w:id="1451047359">
              <w:marLeft w:val="0"/>
              <w:marRight w:val="0"/>
              <w:marTop w:val="0"/>
              <w:marBottom w:val="0"/>
              <w:divBdr>
                <w:top w:val="none" w:sz="0" w:space="0" w:color="auto"/>
                <w:left w:val="none" w:sz="0" w:space="0" w:color="auto"/>
                <w:bottom w:val="none" w:sz="0" w:space="0" w:color="auto"/>
                <w:right w:val="none" w:sz="0" w:space="0" w:color="auto"/>
              </w:divBdr>
              <w:divsChild>
                <w:div w:id="908223027">
                  <w:marLeft w:val="0"/>
                  <w:marRight w:val="0"/>
                  <w:marTop w:val="0"/>
                  <w:marBottom w:val="0"/>
                  <w:divBdr>
                    <w:top w:val="none" w:sz="0" w:space="0" w:color="auto"/>
                    <w:left w:val="none" w:sz="0" w:space="0" w:color="auto"/>
                    <w:bottom w:val="none" w:sz="0" w:space="0" w:color="auto"/>
                    <w:right w:val="none" w:sz="0" w:space="0" w:color="auto"/>
                  </w:divBdr>
                </w:div>
              </w:divsChild>
            </w:div>
            <w:div w:id="1431437649">
              <w:marLeft w:val="0"/>
              <w:marRight w:val="0"/>
              <w:marTop w:val="0"/>
              <w:marBottom w:val="0"/>
              <w:divBdr>
                <w:top w:val="none" w:sz="0" w:space="0" w:color="auto"/>
                <w:left w:val="none" w:sz="0" w:space="0" w:color="auto"/>
                <w:bottom w:val="none" w:sz="0" w:space="0" w:color="auto"/>
                <w:right w:val="none" w:sz="0" w:space="0" w:color="auto"/>
              </w:divBdr>
              <w:divsChild>
                <w:div w:id="307903231">
                  <w:marLeft w:val="0"/>
                  <w:marRight w:val="0"/>
                  <w:marTop w:val="0"/>
                  <w:marBottom w:val="0"/>
                  <w:divBdr>
                    <w:top w:val="none" w:sz="0" w:space="0" w:color="auto"/>
                    <w:left w:val="none" w:sz="0" w:space="0" w:color="auto"/>
                    <w:bottom w:val="none" w:sz="0" w:space="0" w:color="auto"/>
                    <w:right w:val="none" w:sz="0" w:space="0" w:color="auto"/>
                  </w:divBdr>
                  <w:divsChild>
                    <w:div w:id="289021698">
                      <w:marLeft w:val="0"/>
                      <w:marRight w:val="0"/>
                      <w:marTop w:val="0"/>
                      <w:marBottom w:val="0"/>
                      <w:divBdr>
                        <w:top w:val="none" w:sz="0" w:space="0" w:color="auto"/>
                        <w:left w:val="none" w:sz="0" w:space="0" w:color="auto"/>
                        <w:bottom w:val="none" w:sz="0" w:space="0" w:color="auto"/>
                        <w:right w:val="none" w:sz="0" w:space="0" w:color="auto"/>
                      </w:divBdr>
                      <w:divsChild>
                        <w:div w:id="1755468272">
                          <w:marLeft w:val="0"/>
                          <w:marRight w:val="0"/>
                          <w:marTop w:val="0"/>
                          <w:marBottom w:val="0"/>
                          <w:divBdr>
                            <w:top w:val="none" w:sz="0" w:space="0" w:color="auto"/>
                            <w:left w:val="none" w:sz="0" w:space="0" w:color="auto"/>
                            <w:bottom w:val="none" w:sz="0" w:space="0" w:color="auto"/>
                            <w:right w:val="none" w:sz="0" w:space="0" w:color="auto"/>
                          </w:divBdr>
                        </w:div>
                        <w:div w:id="2051300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52955072">
          <w:marLeft w:val="0"/>
          <w:marRight w:val="0"/>
          <w:marTop w:val="0"/>
          <w:marBottom w:val="0"/>
          <w:divBdr>
            <w:top w:val="none" w:sz="0" w:space="0" w:color="auto"/>
            <w:left w:val="none" w:sz="0" w:space="0" w:color="auto"/>
            <w:bottom w:val="none" w:sz="0" w:space="0" w:color="auto"/>
            <w:right w:val="none" w:sz="0" w:space="0" w:color="auto"/>
          </w:divBdr>
          <w:divsChild>
            <w:div w:id="530727575">
              <w:marLeft w:val="0"/>
              <w:marRight w:val="0"/>
              <w:marTop w:val="0"/>
              <w:marBottom w:val="0"/>
              <w:divBdr>
                <w:top w:val="none" w:sz="0" w:space="0" w:color="auto"/>
                <w:left w:val="none" w:sz="0" w:space="0" w:color="auto"/>
                <w:bottom w:val="none" w:sz="0" w:space="0" w:color="auto"/>
                <w:right w:val="none" w:sz="0" w:space="0" w:color="auto"/>
              </w:divBdr>
            </w:div>
            <w:div w:id="838154371">
              <w:marLeft w:val="0"/>
              <w:marRight w:val="0"/>
              <w:marTop w:val="0"/>
              <w:marBottom w:val="0"/>
              <w:divBdr>
                <w:top w:val="none" w:sz="0" w:space="0" w:color="auto"/>
                <w:left w:val="none" w:sz="0" w:space="0" w:color="auto"/>
                <w:bottom w:val="none" w:sz="0" w:space="0" w:color="auto"/>
                <w:right w:val="none" w:sz="0" w:space="0" w:color="auto"/>
              </w:divBdr>
            </w:div>
            <w:div w:id="192771484">
              <w:marLeft w:val="0"/>
              <w:marRight w:val="0"/>
              <w:marTop w:val="0"/>
              <w:marBottom w:val="0"/>
              <w:divBdr>
                <w:top w:val="none" w:sz="0" w:space="0" w:color="auto"/>
                <w:left w:val="none" w:sz="0" w:space="0" w:color="auto"/>
                <w:bottom w:val="none" w:sz="0" w:space="0" w:color="auto"/>
                <w:right w:val="none" w:sz="0" w:space="0" w:color="auto"/>
              </w:divBdr>
            </w:div>
            <w:div w:id="217520658">
              <w:marLeft w:val="0"/>
              <w:marRight w:val="0"/>
              <w:marTop w:val="0"/>
              <w:marBottom w:val="0"/>
              <w:divBdr>
                <w:top w:val="none" w:sz="0" w:space="0" w:color="auto"/>
                <w:left w:val="none" w:sz="0" w:space="0" w:color="auto"/>
                <w:bottom w:val="none" w:sz="0" w:space="0" w:color="auto"/>
                <w:right w:val="none" w:sz="0" w:space="0" w:color="auto"/>
              </w:divBdr>
            </w:div>
            <w:div w:id="755978054">
              <w:marLeft w:val="0"/>
              <w:marRight w:val="0"/>
              <w:marTop w:val="0"/>
              <w:marBottom w:val="0"/>
              <w:divBdr>
                <w:top w:val="none" w:sz="0" w:space="0" w:color="auto"/>
                <w:left w:val="none" w:sz="0" w:space="0" w:color="auto"/>
                <w:bottom w:val="none" w:sz="0" w:space="0" w:color="auto"/>
                <w:right w:val="none" w:sz="0" w:space="0" w:color="auto"/>
              </w:divBdr>
            </w:div>
            <w:div w:id="1658917507">
              <w:marLeft w:val="0"/>
              <w:marRight w:val="0"/>
              <w:marTop w:val="0"/>
              <w:marBottom w:val="0"/>
              <w:divBdr>
                <w:top w:val="none" w:sz="0" w:space="0" w:color="auto"/>
                <w:left w:val="none" w:sz="0" w:space="0" w:color="auto"/>
                <w:bottom w:val="none" w:sz="0" w:space="0" w:color="auto"/>
                <w:right w:val="none" w:sz="0" w:space="0" w:color="auto"/>
              </w:divBdr>
            </w:div>
            <w:div w:id="1235748908">
              <w:marLeft w:val="0"/>
              <w:marRight w:val="0"/>
              <w:marTop w:val="0"/>
              <w:marBottom w:val="0"/>
              <w:divBdr>
                <w:top w:val="none" w:sz="0" w:space="0" w:color="auto"/>
                <w:left w:val="none" w:sz="0" w:space="0" w:color="auto"/>
                <w:bottom w:val="none" w:sz="0" w:space="0" w:color="auto"/>
                <w:right w:val="none" w:sz="0" w:space="0" w:color="auto"/>
              </w:divBdr>
            </w:div>
            <w:div w:id="2028872002">
              <w:marLeft w:val="0"/>
              <w:marRight w:val="0"/>
              <w:marTop w:val="180"/>
              <w:marBottom w:val="180"/>
              <w:divBdr>
                <w:top w:val="none" w:sz="0" w:space="0" w:color="auto"/>
                <w:left w:val="none" w:sz="0" w:space="0" w:color="auto"/>
                <w:bottom w:val="none" w:sz="0" w:space="0" w:color="auto"/>
                <w:right w:val="none" w:sz="0" w:space="0" w:color="auto"/>
              </w:divBdr>
            </w:div>
            <w:div w:id="884219784">
              <w:marLeft w:val="0"/>
              <w:marRight w:val="0"/>
              <w:marTop w:val="180"/>
              <w:marBottom w:val="0"/>
              <w:divBdr>
                <w:top w:val="none" w:sz="0" w:space="0" w:color="auto"/>
                <w:left w:val="none" w:sz="0" w:space="0" w:color="auto"/>
                <w:bottom w:val="none" w:sz="0" w:space="0" w:color="auto"/>
                <w:right w:val="none" w:sz="0" w:space="0" w:color="auto"/>
              </w:divBdr>
              <w:divsChild>
                <w:div w:id="712080554">
                  <w:marLeft w:val="0"/>
                  <w:marRight w:val="0"/>
                  <w:marTop w:val="0"/>
                  <w:marBottom w:val="0"/>
                  <w:divBdr>
                    <w:top w:val="none" w:sz="0" w:space="0" w:color="auto"/>
                    <w:left w:val="none" w:sz="0" w:space="0" w:color="auto"/>
                    <w:bottom w:val="none" w:sz="0" w:space="0" w:color="auto"/>
                    <w:right w:val="none" w:sz="0" w:space="0" w:color="auto"/>
                  </w:divBdr>
                  <w:divsChild>
                    <w:div w:id="1944920369">
                      <w:marLeft w:val="0"/>
                      <w:marRight w:val="0"/>
                      <w:marTop w:val="0"/>
                      <w:marBottom w:val="180"/>
                      <w:divBdr>
                        <w:top w:val="none" w:sz="0" w:space="0" w:color="auto"/>
                        <w:left w:val="none" w:sz="0" w:space="0" w:color="auto"/>
                        <w:bottom w:val="none" w:sz="0" w:space="0" w:color="auto"/>
                        <w:right w:val="none" w:sz="0" w:space="0" w:color="auto"/>
                      </w:divBdr>
                      <w:divsChild>
                        <w:div w:id="1826621784">
                          <w:marLeft w:val="0"/>
                          <w:marRight w:val="0"/>
                          <w:marTop w:val="0"/>
                          <w:marBottom w:val="0"/>
                          <w:divBdr>
                            <w:top w:val="none" w:sz="0" w:space="0" w:color="auto"/>
                            <w:left w:val="none" w:sz="0" w:space="0" w:color="auto"/>
                            <w:bottom w:val="none" w:sz="0" w:space="0" w:color="auto"/>
                            <w:right w:val="none" w:sz="0" w:space="0" w:color="auto"/>
                          </w:divBdr>
                        </w:div>
                      </w:divsChild>
                    </w:div>
                    <w:div w:id="2024286479">
                      <w:marLeft w:val="0"/>
                      <w:marRight w:val="0"/>
                      <w:marTop w:val="0"/>
                      <w:marBottom w:val="180"/>
                      <w:divBdr>
                        <w:top w:val="none" w:sz="0" w:space="0" w:color="auto"/>
                        <w:left w:val="none" w:sz="0" w:space="0" w:color="auto"/>
                        <w:bottom w:val="none" w:sz="0" w:space="0" w:color="auto"/>
                        <w:right w:val="none" w:sz="0" w:space="0" w:color="auto"/>
                      </w:divBdr>
                      <w:divsChild>
                        <w:div w:id="19182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fed.org/research/capital_markets/ycfaq.html" TargetMode="External"/><Relationship Id="rId13" Type="http://schemas.openxmlformats.org/officeDocument/2006/relationships/hyperlink" Target="https://realinvestmentadvice.com/ballooning-global-debt-will-undo-poverty-improvements/" TargetMode="External"/><Relationship Id="rId18" Type="http://schemas.openxmlformats.org/officeDocument/2006/relationships/hyperlink" Target="https://twitter.com/TheBubbleBubble/status/1129408003923427329" TargetMode="External"/><Relationship Id="rId26" Type="http://schemas.openxmlformats.org/officeDocument/2006/relationships/hyperlink" Target="https://twitter.com/TheBubbleBubble/status/1079175198383984640"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twitter.com/TheBubbleBubble/status/1019964083028877313" TargetMode="External"/><Relationship Id="rId34" Type="http://schemas.openxmlformats.org/officeDocument/2006/relationships/hyperlink" Target="https://twitter.com/TheBubbleBubble/status/920494859231858690" TargetMode="External"/><Relationship Id="rId42" Type="http://schemas.openxmlformats.org/officeDocument/2006/relationships/hyperlink" Target="https://www.forbes.com/sites/jessecolombo/" TargetMode="External"/><Relationship Id="rId7" Type="http://schemas.openxmlformats.org/officeDocument/2006/relationships/hyperlink" Target="https://www.zerohedge.com/news/2019-06-13/here-are-recession-warning-signs-watch" TargetMode="External"/><Relationship Id="rId12" Type="http://schemas.openxmlformats.org/officeDocument/2006/relationships/image" Target="media/image3.jpeg"/><Relationship Id="rId17" Type="http://schemas.openxmlformats.org/officeDocument/2006/relationships/hyperlink" Target="https://twitter.com/TheBubbleBubble/status/1044244514397974528" TargetMode="External"/><Relationship Id="rId25" Type="http://schemas.openxmlformats.org/officeDocument/2006/relationships/hyperlink" Target="https://realinvestmentadvice.com/risks-are-rising-in-global-corporate-debt/" TargetMode="External"/><Relationship Id="rId33" Type="http://schemas.openxmlformats.org/officeDocument/2006/relationships/hyperlink" Target="https://twitter.com/TheBubbleBubble/status/1120708885931802624" TargetMode="External"/><Relationship Id="rId38"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twitter.com/TheBubbleBubble/status/1032308653318127618" TargetMode="External"/><Relationship Id="rId20" Type="http://schemas.openxmlformats.org/officeDocument/2006/relationships/hyperlink" Target="https://twitter.com/TheBubbleBubble/status/939695045485170688" TargetMode="External"/><Relationship Id="rId29" Type="http://schemas.openxmlformats.org/officeDocument/2006/relationships/hyperlink" Target="https://realinvestmentadvice.com/how-tech-unicorns-are-just-like-chinas-ghost-cities/" TargetMode="External"/><Relationship Id="rId4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forbes.com/markets" TargetMode="External"/><Relationship Id="rId11" Type="http://schemas.openxmlformats.org/officeDocument/2006/relationships/image" Target="media/image2.jpeg"/><Relationship Id="rId24" Type="http://schemas.openxmlformats.org/officeDocument/2006/relationships/hyperlink" Target="https://www.youtube.com/watch?v=AcucJm9liws" TargetMode="External"/><Relationship Id="rId32" Type="http://schemas.openxmlformats.org/officeDocument/2006/relationships/hyperlink" Target="https://realinvestmentadvice.com/why-u-s-commercial-real-estate-is-another-dangerous-bubble-in-the-making/" TargetMode="External"/><Relationship Id="rId37" Type="http://schemas.openxmlformats.org/officeDocument/2006/relationships/image" Target="media/image5.png"/><Relationship Id="rId40" Type="http://schemas.openxmlformats.org/officeDocument/2006/relationships/hyperlink" Target="https://account.forbes.com/?utm_source=amp-article" TargetMode="External"/><Relationship Id="rId5" Type="http://schemas.openxmlformats.org/officeDocument/2006/relationships/hyperlink" Target="https://www.forbes.com/sites/jessecolombo/" TargetMode="External"/><Relationship Id="rId15" Type="http://schemas.openxmlformats.org/officeDocument/2006/relationships/hyperlink" Target="https://realinvestmentadvice.com/the-trade-war-is-threatening-to-pop-hong-kongs-property-bubble/" TargetMode="External"/><Relationship Id="rId23" Type="http://schemas.openxmlformats.org/officeDocument/2006/relationships/hyperlink" Target="https://realinvestmentadvice.com/where-is-inflation-hiding-in-asset-prices/" TargetMode="External"/><Relationship Id="rId28" Type="http://schemas.openxmlformats.org/officeDocument/2006/relationships/hyperlink" Target="https://realinvestmentadvice.com/the-automobile-bust-is-upon-us/" TargetMode="External"/><Relationship Id="rId36"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twitter.com/TheBubbleBubble/status/1128847502751535105" TargetMode="External"/><Relationship Id="rId31" Type="http://schemas.openxmlformats.org/officeDocument/2006/relationships/hyperlink" Target="https://twitter.com/TheBubbleBubble/status/111347424149887795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ear_Stearns" TargetMode="External"/><Relationship Id="rId14" Type="http://schemas.openxmlformats.org/officeDocument/2006/relationships/hyperlink" Target="https://realinvestmentadvice.com/china-continues-to-pile-debt-on-top-of-more-debt/" TargetMode="External"/><Relationship Id="rId22" Type="http://schemas.openxmlformats.org/officeDocument/2006/relationships/hyperlink" Target="https://realinvestmentadvice.com/record-setting-art-sales-confirm-global-liquidity-bubble/" TargetMode="External"/><Relationship Id="rId27" Type="http://schemas.openxmlformats.org/officeDocument/2006/relationships/hyperlink" Target="https://realinvestmentadvice.com/u-s-student-loan-delinquencies-are-surging/" TargetMode="External"/><Relationship Id="rId30" Type="http://schemas.openxmlformats.org/officeDocument/2006/relationships/hyperlink" Target="https://twitter.com/TheBubbleBubble/status/1134136621803200513" TargetMode="External"/><Relationship Id="rId35" Type="http://schemas.openxmlformats.org/officeDocument/2006/relationships/hyperlink" Target="https://realinvestmentadvice.com/housing-bubble-2-0-americas-housing-market-up-49-since-2012/" TargetMode="External"/><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1544</Words>
  <Characters>8339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João</cp:lastModifiedBy>
  <cp:revision>2</cp:revision>
  <dcterms:created xsi:type="dcterms:W3CDTF">2020-05-17T23:20:00Z</dcterms:created>
  <dcterms:modified xsi:type="dcterms:W3CDTF">2020-05-17T23:38:00Z</dcterms:modified>
</cp:coreProperties>
</file>