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1012" w14:textId="7E9BB224" w:rsidR="00C420F8" w:rsidRDefault="008002AF" w:rsidP="00B568CE">
      <w:pPr>
        <w:pStyle w:val="Standard"/>
        <w:spacing w:line="360" w:lineRule="auto"/>
        <w:jc w:val="center"/>
        <w:rPr>
          <w:rFonts w:cs="Times New Roman"/>
          <w:b/>
        </w:rPr>
      </w:pPr>
      <w:bookmarkStart w:id="0" w:name="_GoBack"/>
      <w:bookmarkEnd w:id="0"/>
      <w:r>
        <w:rPr>
          <w:rFonts w:cs="Times New Roman"/>
          <w:b/>
        </w:rPr>
        <w:t>A INVERSÃO DO ÔNUS DA PROVA NAS DISPUTAS QUE ENVOLVEM A LEI GERAL DE PROTEÇÃO DE DADOS BRASILEIRA</w:t>
      </w:r>
    </w:p>
    <w:p w14:paraId="6BD0BEB1" w14:textId="77777777" w:rsidR="00511ABC" w:rsidRPr="00023DF0" w:rsidRDefault="00511ABC" w:rsidP="00023DF0">
      <w:pPr>
        <w:spacing w:line="360" w:lineRule="auto"/>
        <w:jc w:val="both"/>
        <w:rPr>
          <w:rFonts w:eastAsia="Calibri" w:cs="Times New Roman"/>
          <w:b/>
        </w:rPr>
      </w:pPr>
    </w:p>
    <w:p w14:paraId="50CFAA7A" w14:textId="1910F5C3" w:rsidR="00E72E42" w:rsidRDefault="00E72E42" w:rsidP="00D353CB">
      <w:pPr>
        <w:spacing w:line="360" w:lineRule="auto"/>
        <w:ind w:left="1134"/>
        <w:jc w:val="both"/>
        <w:rPr>
          <w:rFonts w:eastAsia="Calibri" w:cs="Times New Roman"/>
        </w:rPr>
      </w:pPr>
      <w:r w:rsidRPr="005C4C4C">
        <w:rPr>
          <w:rFonts w:eastAsia="Calibri" w:cs="Times New Roman"/>
          <w:b/>
        </w:rPr>
        <w:t>Francisco de Mesquita Laux</w:t>
      </w:r>
      <w:r>
        <w:rPr>
          <w:rFonts w:eastAsia="Calibri" w:cs="Times New Roman"/>
        </w:rPr>
        <w:t xml:space="preserve">. Doutorando e </w:t>
      </w:r>
      <w:r w:rsidR="009811F1">
        <w:rPr>
          <w:rFonts w:eastAsia="Calibri" w:cs="Times New Roman"/>
        </w:rPr>
        <w:t>M</w:t>
      </w:r>
      <w:r>
        <w:rPr>
          <w:rFonts w:eastAsia="Calibri" w:cs="Times New Roman"/>
        </w:rPr>
        <w:t xml:space="preserve">estre em </w:t>
      </w:r>
      <w:r w:rsidR="009811F1">
        <w:rPr>
          <w:rFonts w:eastAsia="Calibri" w:cs="Times New Roman"/>
        </w:rPr>
        <w:t>D</w:t>
      </w:r>
      <w:r>
        <w:rPr>
          <w:rFonts w:eastAsia="Calibri" w:cs="Times New Roman"/>
        </w:rPr>
        <w:t xml:space="preserve">ireito </w:t>
      </w:r>
      <w:r w:rsidR="009811F1">
        <w:rPr>
          <w:rFonts w:eastAsia="Calibri" w:cs="Times New Roman"/>
        </w:rPr>
        <w:t>P</w:t>
      </w:r>
      <w:r>
        <w:rPr>
          <w:rFonts w:eastAsia="Calibri" w:cs="Times New Roman"/>
        </w:rPr>
        <w:t>rocessual pela</w:t>
      </w:r>
      <w:r w:rsidR="008002AF">
        <w:rPr>
          <w:rFonts w:eastAsia="Calibri" w:cs="Times New Roman"/>
        </w:rPr>
        <w:t xml:space="preserve"> Faculdade de Direito da</w:t>
      </w:r>
      <w:r>
        <w:rPr>
          <w:rFonts w:eastAsia="Calibri" w:cs="Times New Roman"/>
        </w:rPr>
        <w:t xml:space="preserve"> Universidade de São Paulo (USP). </w:t>
      </w:r>
      <w:r w:rsidR="00571764">
        <w:rPr>
          <w:rFonts w:eastAsia="Calibri" w:cs="Times New Roman"/>
        </w:rPr>
        <w:t>Vice-Diretor</w:t>
      </w:r>
      <w:r w:rsidR="009811F1">
        <w:rPr>
          <w:rFonts w:eastAsia="Calibri" w:cs="Times New Roman"/>
        </w:rPr>
        <w:t xml:space="preserve"> de Processo e Tecnologia e </w:t>
      </w:r>
      <w:r>
        <w:rPr>
          <w:rFonts w:eastAsia="Calibri" w:cs="Times New Roman"/>
        </w:rPr>
        <w:t>Membro do Instituto Brasileiro de Direito Processual (IBDP)</w:t>
      </w:r>
      <w:r w:rsidR="009811F1">
        <w:rPr>
          <w:rFonts w:eastAsia="Calibri" w:cs="Times New Roman"/>
        </w:rPr>
        <w:t>. Membro d</w:t>
      </w:r>
      <w:r w:rsidR="008002AF">
        <w:rPr>
          <w:rFonts w:eastAsia="Calibri" w:cs="Times New Roman"/>
        </w:rPr>
        <w:t>a Comissão de Direito Processual Civil da Ordem dos Advogados do Brasil – Seccional de Santa Catarina (OAB/SC).</w:t>
      </w:r>
      <w:r>
        <w:rPr>
          <w:rFonts w:eastAsia="Calibri" w:cs="Times New Roman"/>
        </w:rPr>
        <w:t xml:space="preserve"> </w:t>
      </w:r>
      <w:r w:rsidR="008002AF">
        <w:rPr>
          <w:rFonts w:eastAsia="Calibri" w:cs="Times New Roman"/>
        </w:rPr>
        <w:t>Professor e</w:t>
      </w:r>
      <w:r>
        <w:rPr>
          <w:rFonts w:eastAsia="Calibri" w:cs="Times New Roman"/>
        </w:rPr>
        <w:t xml:space="preserve"> Advogado.</w:t>
      </w:r>
    </w:p>
    <w:p w14:paraId="3AB0FD33" w14:textId="32EE72AF" w:rsidR="00D91E80" w:rsidRDefault="00D91E80" w:rsidP="00D353CB">
      <w:pPr>
        <w:spacing w:line="360" w:lineRule="auto"/>
        <w:ind w:left="1134"/>
        <w:jc w:val="both"/>
        <w:rPr>
          <w:rFonts w:eastAsia="Calibri" w:cs="Times New Roman"/>
        </w:rPr>
      </w:pPr>
    </w:p>
    <w:sdt>
      <w:sdtPr>
        <w:id w:val="937565771"/>
        <w:docPartObj>
          <w:docPartGallery w:val="Table of Contents"/>
          <w:docPartUnique/>
        </w:docPartObj>
      </w:sdtPr>
      <w:sdtEndPr>
        <w:rPr>
          <w:rFonts w:ascii="Times New Roman" w:eastAsia="Lucida Sans Unicode" w:hAnsi="Times New Roman" w:cs="Tahoma"/>
          <w:color w:val="auto"/>
          <w:kern w:val="3"/>
          <w:sz w:val="24"/>
          <w:szCs w:val="24"/>
          <w:lang w:eastAsia="pt-BR"/>
        </w:rPr>
      </w:sdtEndPr>
      <w:sdtContent>
        <w:p w14:paraId="29DECDD8" w14:textId="6FFD132E" w:rsidR="00D91E80" w:rsidRDefault="00D91E80" w:rsidP="00A2278D">
          <w:pPr>
            <w:pStyle w:val="CabealhodoSumrio"/>
            <w:spacing w:before="0"/>
            <w:jc w:val="center"/>
            <w:rPr>
              <w:rFonts w:ascii="Times New Roman" w:hAnsi="Times New Roman" w:cs="Times New Roman"/>
              <w:color w:val="auto"/>
            </w:rPr>
          </w:pPr>
          <w:r w:rsidRPr="00A2278D">
            <w:rPr>
              <w:rFonts w:ascii="Times New Roman" w:hAnsi="Times New Roman" w:cs="Times New Roman"/>
              <w:color w:val="auto"/>
            </w:rPr>
            <w:t>Sumário</w:t>
          </w:r>
        </w:p>
        <w:p w14:paraId="5AD5AEFD" w14:textId="77777777" w:rsidR="00A2278D" w:rsidRPr="00A2278D" w:rsidRDefault="00A2278D" w:rsidP="00A2278D">
          <w:pPr>
            <w:rPr>
              <w:lang w:eastAsia="en-US"/>
            </w:rPr>
          </w:pPr>
        </w:p>
        <w:p w14:paraId="28C32130" w14:textId="2602DA7C" w:rsidR="00D91E80" w:rsidRDefault="00D91E80">
          <w:pPr>
            <w:pStyle w:val="Sumrio1"/>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30583395" w:history="1">
            <w:r w:rsidRPr="00A24F56">
              <w:rPr>
                <w:rStyle w:val="Hyperlink"/>
                <w:rFonts w:cs="Times New Roman"/>
                <w:b/>
                <w:bCs/>
                <w:noProof/>
              </w:rPr>
              <w:t>INTRODUÇÃO</w:t>
            </w:r>
            <w:r>
              <w:rPr>
                <w:noProof/>
                <w:webHidden/>
              </w:rPr>
              <w:tab/>
            </w:r>
            <w:r>
              <w:rPr>
                <w:noProof/>
                <w:webHidden/>
              </w:rPr>
              <w:fldChar w:fldCharType="begin"/>
            </w:r>
            <w:r>
              <w:rPr>
                <w:noProof/>
                <w:webHidden/>
              </w:rPr>
              <w:instrText xml:space="preserve"> PAGEREF _Toc30583395 \h </w:instrText>
            </w:r>
            <w:r>
              <w:rPr>
                <w:noProof/>
                <w:webHidden/>
              </w:rPr>
            </w:r>
            <w:r>
              <w:rPr>
                <w:noProof/>
                <w:webHidden/>
              </w:rPr>
              <w:fldChar w:fldCharType="separate"/>
            </w:r>
            <w:r>
              <w:rPr>
                <w:noProof/>
                <w:webHidden/>
              </w:rPr>
              <w:t>1</w:t>
            </w:r>
            <w:r>
              <w:rPr>
                <w:noProof/>
                <w:webHidden/>
              </w:rPr>
              <w:fldChar w:fldCharType="end"/>
            </w:r>
          </w:hyperlink>
        </w:p>
        <w:p w14:paraId="60DCEC1A" w14:textId="7011694B" w:rsidR="00D91E80" w:rsidRDefault="00D91E80">
          <w:pPr>
            <w:pStyle w:val="Sumrio1"/>
            <w:rPr>
              <w:rFonts w:asciiTheme="minorHAnsi" w:eastAsiaTheme="minorEastAsia" w:hAnsiTheme="minorHAnsi" w:cstheme="minorBidi"/>
              <w:noProof/>
              <w:kern w:val="0"/>
              <w:sz w:val="22"/>
              <w:szCs w:val="22"/>
            </w:rPr>
          </w:pPr>
          <w:hyperlink w:anchor="_Toc30583396" w:history="1">
            <w:r w:rsidRPr="00A24F56">
              <w:rPr>
                <w:rStyle w:val="Hyperlink"/>
                <w:rFonts w:cs="Times New Roman"/>
                <w:b/>
                <w:bCs/>
                <w:noProof/>
              </w:rPr>
              <w:t>1. A DEFINIÇÃO DE PROVA EM DIREITO PROCESSUAL</w:t>
            </w:r>
            <w:r>
              <w:rPr>
                <w:noProof/>
                <w:webHidden/>
              </w:rPr>
              <w:tab/>
            </w:r>
            <w:r>
              <w:rPr>
                <w:noProof/>
                <w:webHidden/>
              </w:rPr>
              <w:fldChar w:fldCharType="begin"/>
            </w:r>
            <w:r>
              <w:rPr>
                <w:noProof/>
                <w:webHidden/>
              </w:rPr>
              <w:instrText xml:space="preserve"> PAGEREF _Toc30583396 \h </w:instrText>
            </w:r>
            <w:r>
              <w:rPr>
                <w:noProof/>
                <w:webHidden/>
              </w:rPr>
            </w:r>
            <w:r>
              <w:rPr>
                <w:noProof/>
                <w:webHidden/>
              </w:rPr>
              <w:fldChar w:fldCharType="separate"/>
            </w:r>
            <w:r>
              <w:rPr>
                <w:noProof/>
                <w:webHidden/>
              </w:rPr>
              <w:t>2</w:t>
            </w:r>
            <w:r>
              <w:rPr>
                <w:noProof/>
                <w:webHidden/>
              </w:rPr>
              <w:fldChar w:fldCharType="end"/>
            </w:r>
          </w:hyperlink>
        </w:p>
        <w:p w14:paraId="165A8E18" w14:textId="5E88D270" w:rsidR="00D91E80" w:rsidRDefault="00D91E80">
          <w:pPr>
            <w:pStyle w:val="Sumrio1"/>
            <w:rPr>
              <w:rFonts w:asciiTheme="minorHAnsi" w:eastAsiaTheme="minorEastAsia" w:hAnsiTheme="minorHAnsi" w:cstheme="minorBidi"/>
              <w:noProof/>
              <w:kern w:val="0"/>
              <w:sz w:val="22"/>
              <w:szCs w:val="22"/>
            </w:rPr>
          </w:pPr>
          <w:hyperlink w:anchor="_Toc30583397" w:history="1">
            <w:r w:rsidRPr="00A24F56">
              <w:rPr>
                <w:rStyle w:val="Hyperlink"/>
                <w:rFonts w:cs="Times New Roman"/>
                <w:b/>
                <w:bCs/>
                <w:noProof/>
              </w:rPr>
              <w:t>2. O ÔNUS DA PROVA</w:t>
            </w:r>
            <w:r>
              <w:rPr>
                <w:noProof/>
                <w:webHidden/>
              </w:rPr>
              <w:tab/>
            </w:r>
            <w:r>
              <w:rPr>
                <w:noProof/>
                <w:webHidden/>
              </w:rPr>
              <w:fldChar w:fldCharType="begin"/>
            </w:r>
            <w:r>
              <w:rPr>
                <w:noProof/>
                <w:webHidden/>
              </w:rPr>
              <w:instrText xml:space="preserve"> PAGEREF _Toc30583397 \h </w:instrText>
            </w:r>
            <w:r>
              <w:rPr>
                <w:noProof/>
                <w:webHidden/>
              </w:rPr>
            </w:r>
            <w:r>
              <w:rPr>
                <w:noProof/>
                <w:webHidden/>
              </w:rPr>
              <w:fldChar w:fldCharType="separate"/>
            </w:r>
            <w:r>
              <w:rPr>
                <w:noProof/>
                <w:webHidden/>
              </w:rPr>
              <w:t>3</w:t>
            </w:r>
            <w:r>
              <w:rPr>
                <w:noProof/>
                <w:webHidden/>
              </w:rPr>
              <w:fldChar w:fldCharType="end"/>
            </w:r>
          </w:hyperlink>
        </w:p>
        <w:p w14:paraId="2B09F0BB" w14:textId="237D7D57" w:rsidR="00D91E80" w:rsidRDefault="00D91E80">
          <w:pPr>
            <w:pStyle w:val="Sumrio1"/>
            <w:rPr>
              <w:rFonts w:asciiTheme="minorHAnsi" w:eastAsiaTheme="minorEastAsia" w:hAnsiTheme="minorHAnsi" w:cstheme="minorBidi"/>
              <w:noProof/>
              <w:kern w:val="0"/>
              <w:sz w:val="22"/>
              <w:szCs w:val="22"/>
            </w:rPr>
          </w:pPr>
          <w:hyperlink w:anchor="_Toc30583398" w:history="1">
            <w:r w:rsidRPr="00A24F56">
              <w:rPr>
                <w:rStyle w:val="Hyperlink"/>
                <w:rFonts w:cs="Times New Roman"/>
                <w:b/>
                <w:bCs/>
                <w:noProof/>
              </w:rPr>
              <w:t>3. A INVERSÃO DE ÔNUS PRESCRITA PELA LGPD</w:t>
            </w:r>
            <w:r>
              <w:rPr>
                <w:noProof/>
                <w:webHidden/>
              </w:rPr>
              <w:tab/>
            </w:r>
            <w:r>
              <w:rPr>
                <w:noProof/>
                <w:webHidden/>
              </w:rPr>
              <w:fldChar w:fldCharType="begin"/>
            </w:r>
            <w:r>
              <w:rPr>
                <w:noProof/>
                <w:webHidden/>
              </w:rPr>
              <w:instrText xml:space="preserve"> PAGEREF _Toc30583398 \h </w:instrText>
            </w:r>
            <w:r>
              <w:rPr>
                <w:noProof/>
                <w:webHidden/>
              </w:rPr>
            </w:r>
            <w:r>
              <w:rPr>
                <w:noProof/>
                <w:webHidden/>
              </w:rPr>
              <w:fldChar w:fldCharType="separate"/>
            </w:r>
            <w:r>
              <w:rPr>
                <w:noProof/>
                <w:webHidden/>
              </w:rPr>
              <w:t>4</w:t>
            </w:r>
            <w:r>
              <w:rPr>
                <w:noProof/>
                <w:webHidden/>
              </w:rPr>
              <w:fldChar w:fldCharType="end"/>
            </w:r>
          </w:hyperlink>
        </w:p>
        <w:p w14:paraId="376510BF" w14:textId="3C04A83C" w:rsidR="00D91E80" w:rsidRDefault="00D91E80">
          <w:pPr>
            <w:pStyle w:val="Sumrio1"/>
            <w:rPr>
              <w:rFonts w:asciiTheme="minorHAnsi" w:eastAsiaTheme="minorEastAsia" w:hAnsiTheme="minorHAnsi" w:cstheme="minorBidi"/>
              <w:noProof/>
              <w:kern w:val="0"/>
              <w:sz w:val="22"/>
              <w:szCs w:val="22"/>
            </w:rPr>
          </w:pPr>
          <w:hyperlink w:anchor="_Toc30583399" w:history="1">
            <w:r w:rsidRPr="00A24F56">
              <w:rPr>
                <w:rStyle w:val="Hyperlink"/>
                <w:rFonts w:cs="Times New Roman"/>
                <w:b/>
                <w:bCs/>
                <w:noProof/>
              </w:rPr>
              <w:t>4. A INVERSÃO DA LGPD TRATA DE ÔNUS IMPERFEITO</w:t>
            </w:r>
            <w:r>
              <w:rPr>
                <w:noProof/>
                <w:webHidden/>
              </w:rPr>
              <w:tab/>
            </w:r>
            <w:r>
              <w:rPr>
                <w:noProof/>
                <w:webHidden/>
              </w:rPr>
              <w:fldChar w:fldCharType="begin"/>
            </w:r>
            <w:r>
              <w:rPr>
                <w:noProof/>
                <w:webHidden/>
              </w:rPr>
              <w:instrText xml:space="preserve"> PAGEREF _Toc30583399 \h </w:instrText>
            </w:r>
            <w:r>
              <w:rPr>
                <w:noProof/>
                <w:webHidden/>
              </w:rPr>
            </w:r>
            <w:r>
              <w:rPr>
                <w:noProof/>
                <w:webHidden/>
              </w:rPr>
              <w:fldChar w:fldCharType="separate"/>
            </w:r>
            <w:r>
              <w:rPr>
                <w:noProof/>
                <w:webHidden/>
              </w:rPr>
              <w:t>5</w:t>
            </w:r>
            <w:r>
              <w:rPr>
                <w:noProof/>
                <w:webHidden/>
              </w:rPr>
              <w:fldChar w:fldCharType="end"/>
            </w:r>
          </w:hyperlink>
        </w:p>
        <w:p w14:paraId="3B404EEC" w14:textId="29368B79" w:rsidR="00D91E80" w:rsidRDefault="00D91E80">
          <w:pPr>
            <w:pStyle w:val="Sumrio1"/>
            <w:rPr>
              <w:rFonts w:asciiTheme="minorHAnsi" w:eastAsiaTheme="minorEastAsia" w:hAnsiTheme="minorHAnsi" w:cstheme="minorBidi"/>
              <w:noProof/>
              <w:kern w:val="0"/>
              <w:sz w:val="22"/>
              <w:szCs w:val="22"/>
            </w:rPr>
          </w:pPr>
          <w:hyperlink w:anchor="_Toc30583400" w:history="1">
            <w:r w:rsidRPr="00A24F56">
              <w:rPr>
                <w:rStyle w:val="Hyperlink"/>
                <w:rFonts w:cs="Times New Roman"/>
                <w:b/>
                <w:bCs/>
                <w:noProof/>
              </w:rPr>
              <w:t>5. O MOMENTO DE INVERSÃO DO ÔNUS DA PROVA</w:t>
            </w:r>
            <w:r>
              <w:rPr>
                <w:noProof/>
                <w:webHidden/>
              </w:rPr>
              <w:tab/>
            </w:r>
            <w:r>
              <w:rPr>
                <w:noProof/>
                <w:webHidden/>
              </w:rPr>
              <w:fldChar w:fldCharType="begin"/>
            </w:r>
            <w:r>
              <w:rPr>
                <w:noProof/>
                <w:webHidden/>
              </w:rPr>
              <w:instrText xml:space="preserve"> PAGEREF _Toc30583400 \h </w:instrText>
            </w:r>
            <w:r>
              <w:rPr>
                <w:noProof/>
                <w:webHidden/>
              </w:rPr>
            </w:r>
            <w:r>
              <w:rPr>
                <w:noProof/>
                <w:webHidden/>
              </w:rPr>
              <w:fldChar w:fldCharType="separate"/>
            </w:r>
            <w:r>
              <w:rPr>
                <w:noProof/>
                <w:webHidden/>
              </w:rPr>
              <w:t>5</w:t>
            </w:r>
            <w:r>
              <w:rPr>
                <w:noProof/>
                <w:webHidden/>
              </w:rPr>
              <w:fldChar w:fldCharType="end"/>
            </w:r>
          </w:hyperlink>
        </w:p>
        <w:p w14:paraId="2D207DEA" w14:textId="50CB1C3A" w:rsidR="00D91E80" w:rsidRDefault="00D91E80">
          <w:pPr>
            <w:pStyle w:val="Sumrio1"/>
            <w:rPr>
              <w:rFonts w:asciiTheme="minorHAnsi" w:eastAsiaTheme="minorEastAsia" w:hAnsiTheme="minorHAnsi" w:cstheme="minorBidi"/>
              <w:noProof/>
              <w:kern w:val="0"/>
              <w:sz w:val="22"/>
              <w:szCs w:val="22"/>
            </w:rPr>
          </w:pPr>
          <w:hyperlink w:anchor="_Toc30583401" w:history="1">
            <w:r w:rsidRPr="00A24F56">
              <w:rPr>
                <w:rStyle w:val="Hyperlink"/>
                <w:rFonts w:cs="Times New Roman"/>
                <w:b/>
                <w:bCs/>
                <w:noProof/>
              </w:rPr>
              <w:t>6. AS HIPÓTESES DE INVERSÃO: CUMULAÇÃO DE REQUISITOS?</w:t>
            </w:r>
            <w:r>
              <w:rPr>
                <w:noProof/>
                <w:webHidden/>
              </w:rPr>
              <w:tab/>
            </w:r>
            <w:r>
              <w:rPr>
                <w:noProof/>
                <w:webHidden/>
              </w:rPr>
              <w:fldChar w:fldCharType="begin"/>
            </w:r>
            <w:r>
              <w:rPr>
                <w:noProof/>
                <w:webHidden/>
              </w:rPr>
              <w:instrText xml:space="preserve"> PAGEREF _Toc30583401 \h </w:instrText>
            </w:r>
            <w:r>
              <w:rPr>
                <w:noProof/>
                <w:webHidden/>
              </w:rPr>
            </w:r>
            <w:r>
              <w:rPr>
                <w:noProof/>
                <w:webHidden/>
              </w:rPr>
              <w:fldChar w:fldCharType="separate"/>
            </w:r>
            <w:r>
              <w:rPr>
                <w:noProof/>
                <w:webHidden/>
              </w:rPr>
              <w:t>6</w:t>
            </w:r>
            <w:r>
              <w:rPr>
                <w:noProof/>
                <w:webHidden/>
              </w:rPr>
              <w:fldChar w:fldCharType="end"/>
            </w:r>
          </w:hyperlink>
        </w:p>
        <w:p w14:paraId="528B4D1A" w14:textId="2E49FFF7" w:rsidR="00D91E80" w:rsidRDefault="00D91E80">
          <w:pPr>
            <w:pStyle w:val="Sumrio1"/>
            <w:rPr>
              <w:rFonts w:asciiTheme="minorHAnsi" w:eastAsiaTheme="minorEastAsia" w:hAnsiTheme="minorHAnsi" w:cstheme="minorBidi"/>
              <w:noProof/>
              <w:kern w:val="0"/>
              <w:sz w:val="22"/>
              <w:szCs w:val="22"/>
            </w:rPr>
          </w:pPr>
          <w:hyperlink w:anchor="_Toc30583402" w:history="1">
            <w:r w:rsidRPr="00A24F56">
              <w:rPr>
                <w:rStyle w:val="Hyperlink"/>
                <w:rFonts w:cs="Times New Roman"/>
                <w:b/>
                <w:bCs/>
                <w:noProof/>
              </w:rPr>
              <w:t>REFERÊNCIAS BIBLIOGRÁFICAS</w:t>
            </w:r>
            <w:r>
              <w:rPr>
                <w:noProof/>
                <w:webHidden/>
              </w:rPr>
              <w:tab/>
            </w:r>
            <w:r>
              <w:rPr>
                <w:noProof/>
                <w:webHidden/>
              </w:rPr>
              <w:fldChar w:fldCharType="begin"/>
            </w:r>
            <w:r>
              <w:rPr>
                <w:noProof/>
                <w:webHidden/>
              </w:rPr>
              <w:instrText xml:space="preserve"> PAGEREF _Toc30583402 \h </w:instrText>
            </w:r>
            <w:r>
              <w:rPr>
                <w:noProof/>
                <w:webHidden/>
              </w:rPr>
            </w:r>
            <w:r>
              <w:rPr>
                <w:noProof/>
                <w:webHidden/>
              </w:rPr>
              <w:fldChar w:fldCharType="separate"/>
            </w:r>
            <w:r>
              <w:rPr>
                <w:noProof/>
                <w:webHidden/>
              </w:rPr>
              <w:t>9</w:t>
            </w:r>
            <w:r>
              <w:rPr>
                <w:noProof/>
                <w:webHidden/>
              </w:rPr>
              <w:fldChar w:fldCharType="end"/>
            </w:r>
          </w:hyperlink>
        </w:p>
        <w:p w14:paraId="638BB188" w14:textId="4519C925" w:rsidR="00D91E80" w:rsidRDefault="00D91E80">
          <w:r>
            <w:rPr>
              <w:b/>
              <w:bCs/>
            </w:rPr>
            <w:fldChar w:fldCharType="end"/>
          </w:r>
        </w:p>
      </w:sdtContent>
    </w:sdt>
    <w:p w14:paraId="00B25F4C" w14:textId="77777777" w:rsidR="00D91E80" w:rsidRDefault="00D91E80" w:rsidP="00D353CB">
      <w:pPr>
        <w:spacing w:line="360" w:lineRule="auto"/>
        <w:ind w:left="1134"/>
        <w:jc w:val="both"/>
        <w:rPr>
          <w:rFonts w:eastAsia="Calibri" w:cs="Times New Roman"/>
        </w:rPr>
      </w:pPr>
    </w:p>
    <w:p w14:paraId="19D63234" w14:textId="60863324" w:rsidR="00DC2A3A" w:rsidRPr="00D353CB" w:rsidRDefault="00DC2A3A" w:rsidP="00D91E80">
      <w:pPr>
        <w:pStyle w:val="Standard"/>
        <w:spacing w:line="360" w:lineRule="auto"/>
        <w:ind w:firstLine="851"/>
        <w:jc w:val="both"/>
        <w:outlineLvl w:val="0"/>
        <w:rPr>
          <w:rFonts w:cs="Times New Roman"/>
          <w:b/>
          <w:bCs/>
        </w:rPr>
      </w:pPr>
      <w:bookmarkStart w:id="1" w:name="_Toc30583395"/>
      <w:r w:rsidRPr="00D353CB">
        <w:rPr>
          <w:rFonts w:cs="Times New Roman"/>
          <w:b/>
          <w:bCs/>
        </w:rPr>
        <w:t>INTRODUÇÃO</w:t>
      </w:r>
      <w:bookmarkEnd w:id="1"/>
    </w:p>
    <w:p w14:paraId="4A006865" w14:textId="77777777" w:rsidR="00DC2A3A" w:rsidRDefault="00DC2A3A" w:rsidP="00D353CB">
      <w:pPr>
        <w:pStyle w:val="Standard"/>
        <w:spacing w:line="360" w:lineRule="auto"/>
        <w:ind w:firstLine="851"/>
        <w:jc w:val="both"/>
        <w:rPr>
          <w:rFonts w:cs="Times New Roman"/>
        </w:rPr>
      </w:pPr>
    </w:p>
    <w:p w14:paraId="08D6BC68" w14:textId="2EBAA95F" w:rsidR="008002AF" w:rsidRDefault="008002AF" w:rsidP="00D353CB">
      <w:pPr>
        <w:pStyle w:val="Standard"/>
        <w:spacing w:line="360" w:lineRule="auto"/>
        <w:ind w:firstLine="851"/>
        <w:jc w:val="both"/>
        <w:rPr>
          <w:rFonts w:cs="Times New Roman"/>
        </w:rPr>
      </w:pPr>
      <w:r>
        <w:rPr>
          <w:rFonts w:cs="Times New Roman"/>
        </w:rPr>
        <w:t xml:space="preserve">A </w:t>
      </w:r>
      <w:r w:rsidR="00AC1189">
        <w:rPr>
          <w:rFonts w:cs="Times New Roman"/>
        </w:rPr>
        <w:t xml:space="preserve">correta </w:t>
      </w:r>
      <w:r>
        <w:rPr>
          <w:rFonts w:cs="Times New Roman"/>
        </w:rPr>
        <w:t xml:space="preserve">aplicação do direito em processos judiciais tem </w:t>
      </w:r>
      <w:r w:rsidR="00AC1189">
        <w:rPr>
          <w:rFonts w:cs="Times New Roman"/>
        </w:rPr>
        <w:t>como pressuposto definir,</w:t>
      </w:r>
      <w:r>
        <w:rPr>
          <w:rFonts w:cs="Times New Roman"/>
        </w:rPr>
        <w:t xml:space="preserve"> com precisão</w:t>
      </w:r>
      <w:r w:rsidR="00AC1189">
        <w:rPr>
          <w:rFonts w:cs="Times New Roman"/>
        </w:rPr>
        <w:t xml:space="preserve">, </w:t>
      </w:r>
      <w:r>
        <w:rPr>
          <w:rFonts w:cs="Times New Roman"/>
        </w:rPr>
        <w:t>os fatos que envolvem a disputa</w:t>
      </w:r>
      <w:r w:rsidR="00A526BA">
        <w:rPr>
          <w:rStyle w:val="Refdenotaderodap"/>
          <w:rFonts w:cs="Times New Roman"/>
        </w:rPr>
        <w:footnoteReference w:id="1"/>
      </w:r>
      <w:r w:rsidR="00A526BA">
        <w:rPr>
          <w:rFonts w:cs="Times New Roman"/>
        </w:rPr>
        <w:t xml:space="preserve">. </w:t>
      </w:r>
      <w:r>
        <w:rPr>
          <w:rFonts w:cs="Times New Roman"/>
        </w:rPr>
        <w:t xml:space="preserve">Justiça e Judiciário são elementos de uma equação maior, que envolve o empenho das partes e do Estado na tutela dos interesses em disputa, e isso se revela, em grande medida, quando examinada a distribuição de ônus em determinada disputa. </w:t>
      </w:r>
    </w:p>
    <w:p w14:paraId="4F00F8FD" w14:textId="29222920" w:rsidR="00AC1189" w:rsidRDefault="00DC2A3A" w:rsidP="00D353CB">
      <w:pPr>
        <w:pStyle w:val="Standard"/>
        <w:spacing w:line="360" w:lineRule="auto"/>
        <w:ind w:firstLine="851"/>
        <w:jc w:val="both"/>
        <w:rPr>
          <w:rFonts w:cs="Times New Roman"/>
        </w:rPr>
      </w:pPr>
      <w:r>
        <w:rPr>
          <w:rFonts w:cs="Times New Roman"/>
        </w:rPr>
        <w:t>Deve-se esclarecer, sob esse contexto, que a</w:t>
      </w:r>
      <w:r w:rsidR="00FB5F0C">
        <w:rPr>
          <w:rFonts w:cs="Times New Roman"/>
        </w:rPr>
        <w:t xml:space="preserve"> ideia de ônus é antiga – tem conexão direta com a noção de relação jurídica processual e das posições ativas e passivas a ela atinentes; ou seja, com o próprio estabelecimento do direito processual enquanto ciência </w:t>
      </w:r>
      <w:r w:rsidR="00FB5F0C">
        <w:rPr>
          <w:rFonts w:cs="Times New Roman"/>
        </w:rPr>
        <w:lastRenderedPageBreak/>
        <w:t xml:space="preserve">autônoma. A parte interessada tem o ônus de interpor o recurso cabível contra uma decisão que a prejudica </w:t>
      </w:r>
      <w:r w:rsidR="00FB5F0C" w:rsidRPr="00FB5F0C">
        <w:rPr>
          <w:rFonts w:cs="Times New Roman"/>
          <w:i/>
          <w:iCs/>
        </w:rPr>
        <w:t>sob pena</w:t>
      </w:r>
      <w:r w:rsidR="00FB5F0C">
        <w:rPr>
          <w:rFonts w:cs="Times New Roman"/>
        </w:rPr>
        <w:t xml:space="preserve"> de sofrer os efeitos decorrentes do trânsito em julgado. Há, aqui, uma presença bastante clara de ônus enquanto imperativo do interesse próprio, i. é, de um obstáculo que deve ser superado pela parte para que não sofra algum resultado prejudicial daquela omissão</w:t>
      </w:r>
      <w:r w:rsidR="00FB5F0C">
        <w:rPr>
          <w:rStyle w:val="Refdenotaderodap"/>
          <w:rFonts w:cs="Times New Roman"/>
        </w:rPr>
        <w:footnoteReference w:id="2"/>
      </w:r>
      <w:r w:rsidR="00FB5F0C">
        <w:rPr>
          <w:rFonts w:cs="Times New Roman"/>
        </w:rPr>
        <w:t>.</w:t>
      </w:r>
    </w:p>
    <w:p w14:paraId="67669848" w14:textId="4E8DABFE" w:rsidR="00DC2A3A" w:rsidRPr="00DC2A3A" w:rsidRDefault="00DC2A3A" w:rsidP="00026031">
      <w:pPr>
        <w:pStyle w:val="Standard"/>
        <w:spacing w:line="360" w:lineRule="auto"/>
        <w:ind w:firstLine="851"/>
        <w:jc w:val="both"/>
        <w:rPr>
          <w:rFonts w:cs="Times New Roman"/>
        </w:rPr>
      </w:pPr>
      <w:r>
        <w:rPr>
          <w:rFonts w:cs="Times New Roman"/>
        </w:rPr>
        <w:t xml:space="preserve">A definição de um ônus processual vinculado ao tema da prova passou a alcançar considerável atenção com a entrada em vigor do Código de Defesa do Consumidor. A revisitação do tema é atualmente necessária por conta da promulgação da Lei Geral de Proteção de Dados </w:t>
      </w:r>
      <w:r w:rsidR="00D91E80">
        <w:rPr>
          <w:rFonts w:cs="Times New Roman"/>
        </w:rPr>
        <w:t>b</w:t>
      </w:r>
      <w:r>
        <w:rPr>
          <w:rFonts w:cs="Times New Roman"/>
        </w:rPr>
        <w:t xml:space="preserve">rasileira, que conta com uma disposição específica no sentido de </w:t>
      </w:r>
      <w:r w:rsidRPr="00DC2A3A">
        <w:rPr>
          <w:rFonts w:cs="Times New Roman"/>
          <w:i/>
          <w:iCs/>
        </w:rPr>
        <w:t>inverter</w:t>
      </w:r>
      <w:r>
        <w:rPr>
          <w:rFonts w:cs="Times New Roman"/>
          <w:i/>
          <w:iCs/>
        </w:rPr>
        <w:t xml:space="preserve"> </w:t>
      </w:r>
      <w:r>
        <w:rPr>
          <w:rFonts w:cs="Times New Roman"/>
        </w:rPr>
        <w:t>a distribuição deste ônus em disputas que envolvam o ressarcimento de danos causados pelo exercício de atividade de tratamento de dados pessoais (art. 42, § 2º). Estabelecer o conteúdo, sentido e alcance do referido dispositivo é o objetivo do presente ensaio.</w:t>
      </w:r>
    </w:p>
    <w:p w14:paraId="4DD713BE" w14:textId="77777777" w:rsidR="00DC2A3A" w:rsidRDefault="00DC2A3A" w:rsidP="00026031">
      <w:pPr>
        <w:pStyle w:val="Standard"/>
        <w:spacing w:line="360" w:lineRule="auto"/>
        <w:ind w:firstLine="851"/>
        <w:jc w:val="both"/>
        <w:rPr>
          <w:rFonts w:cs="Times New Roman"/>
        </w:rPr>
      </w:pPr>
    </w:p>
    <w:p w14:paraId="31D3E758" w14:textId="15451DC8" w:rsidR="00DC2A3A" w:rsidRPr="00D353CB" w:rsidRDefault="00D91E80" w:rsidP="00D91E80">
      <w:pPr>
        <w:pStyle w:val="Standard"/>
        <w:spacing w:line="360" w:lineRule="auto"/>
        <w:ind w:firstLine="851"/>
        <w:jc w:val="both"/>
        <w:outlineLvl w:val="0"/>
        <w:rPr>
          <w:rFonts w:cs="Times New Roman"/>
          <w:b/>
          <w:bCs/>
        </w:rPr>
      </w:pPr>
      <w:bookmarkStart w:id="2" w:name="_Toc30583396"/>
      <w:r>
        <w:rPr>
          <w:rFonts w:cs="Times New Roman"/>
          <w:b/>
          <w:bCs/>
        </w:rPr>
        <w:t>1</w:t>
      </w:r>
      <w:r w:rsidR="00D353CB" w:rsidRPr="00D353CB">
        <w:rPr>
          <w:rFonts w:cs="Times New Roman"/>
          <w:b/>
          <w:bCs/>
        </w:rPr>
        <w:t xml:space="preserve">. </w:t>
      </w:r>
      <w:r w:rsidR="009C25BB">
        <w:rPr>
          <w:rFonts w:cs="Times New Roman"/>
          <w:b/>
          <w:bCs/>
        </w:rPr>
        <w:t>A DEFINIÇÃO DE</w:t>
      </w:r>
      <w:r w:rsidR="00D353CB" w:rsidRPr="00D353CB">
        <w:rPr>
          <w:rFonts w:cs="Times New Roman"/>
          <w:b/>
          <w:bCs/>
        </w:rPr>
        <w:t xml:space="preserve"> PROVA EM DIREITO PROCESSUAL</w:t>
      </w:r>
      <w:bookmarkEnd w:id="2"/>
    </w:p>
    <w:p w14:paraId="375EC35A" w14:textId="77777777" w:rsidR="00DC2A3A" w:rsidRDefault="00DC2A3A" w:rsidP="00026031">
      <w:pPr>
        <w:pStyle w:val="Standard"/>
        <w:spacing w:line="360" w:lineRule="auto"/>
        <w:ind w:firstLine="851"/>
        <w:jc w:val="both"/>
        <w:rPr>
          <w:rFonts w:cs="Times New Roman"/>
        </w:rPr>
      </w:pPr>
    </w:p>
    <w:p w14:paraId="1BC0E0B7" w14:textId="7E1734EA" w:rsidR="00A526BA" w:rsidRDefault="009C25BB" w:rsidP="00026031">
      <w:pPr>
        <w:pStyle w:val="Standard"/>
        <w:spacing w:line="360" w:lineRule="auto"/>
        <w:ind w:firstLine="851"/>
        <w:jc w:val="both"/>
        <w:rPr>
          <w:rFonts w:cs="Times New Roman"/>
        </w:rPr>
      </w:pPr>
      <w:r>
        <w:rPr>
          <w:rFonts w:cs="Times New Roman"/>
        </w:rPr>
        <w:t xml:space="preserve">O vocábulo </w:t>
      </w:r>
      <w:r w:rsidRPr="009C25BB">
        <w:rPr>
          <w:rFonts w:cs="Times New Roman"/>
          <w:i/>
          <w:iCs/>
        </w:rPr>
        <w:t>prova</w:t>
      </w:r>
      <w:r>
        <w:rPr>
          <w:rFonts w:cs="Times New Roman"/>
        </w:rPr>
        <w:t>, para fins de direito processual, contém mais de um significado. Pode definir</w:t>
      </w:r>
      <w:r w:rsidR="00174118">
        <w:rPr>
          <w:rFonts w:cs="Times New Roman"/>
        </w:rPr>
        <w:t xml:space="preserve"> </w:t>
      </w:r>
      <w:r w:rsidR="00174118" w:rsidRPr="00EA6B1D">
        <w:rPr>
          <w:rFonts w:cs="Times New Roman"/>
          <w:i/>
        </w:rPr>
        <w:t>demonstração</w:t>
      </w:r>
      <w:r w:rsidR="00174118">
        <w:rPr>
          <w:rFonts w:cs="Times New Roman"/>
        </w:rPr>
        <w:t>,</w:t>
      </w:r>
      <w:r w:rsidR="00E167B0">
        <w:rPr>
          <w:rFonts w:cs="Times New Roman"/>
        </w:rPr>
        <w:t xml:space="preserve"> </w:t>
      </w:r>
      <w:r w:rsidR="00E167B0" w:rsidRPr="00E167B0">
        <w:rPr>
          <w:rFonts w:cs="Times New Roman"/>
          <w:i/>
        </w:rPr>
        <w:t>experimentação</w:t>
      </w:r>
      <w:r w:rsidR="00E167B0">
        <w:rPr>
          <w:rFonts w:cs="Times New Roman"/>
        </w:rPr>
        <w:t xml:space="preserve"> ou </w:t>
      </w:r>
      <w:r w:rsidR="00E167B0" w:rsidRPr="00E167B0">
        <w:rPr>
          <w:rFonts w:cs="Times New Roman"/>
          <w:i/>
        </w:rPr>
        <w:t>desafio</w:t>
      </w:r>
      <w:r>
        <w:rPr>
          <w:rFonts w:cs="Times New Roman"/>
        </w:rPr>
        <w:t>.</w:t>
      </w:r>
      <w:r w:rsidR="00174118">
        <w:rPr>
          <w:rFonts w:cs="Times New Roman"/>
        </w:rPr>
        <w:t xml:space="preserve"> </w:t>
      </w:r>
      <w:r>
        <w:rPr>
          <w:rFonts w:cs="Times New Roman"/>
        </w:rPr>
        <w:t>O</w:t>
      </w:r>
      <w:r w:rsidR="00E167B0">
        <w:rPr>
          <w:rFonts w:cs="Times New Roman"/>
        </w:rPr>
        <w:t xml:space="preserve"> ato de </w:t>
      </w:r>
      <w:r w:rsidR="00174118">
        <w:rPr>
          <w:rFonts w:cs="Times New Roman"/>
        </w:rPr>
        <w:t>provar</w:t>
      </w:r>
      <w:r w:rsidR="00E167B0">
        <w:rPr>
          <w:rFonts w:cs="Times New Roman"/>
        </w:rPr>
        <w:t>, por sua vez, pode ser exercitado também com base nesses três aspectos.</w:t>
      </w:r>
      <w:r w:rsidR="00A526BA">
        <w:rPr>
          <w:rFonts w:cs="Times New Roman"/>
        </w:rPr>
        <w:t xml:space="preserve"> </w:t>
      </w:r>
    </w:p>
    <w:p w14:paraId="517993D0" w14:textId="683607A2" w:rsidR="00E167B0" w:rsidRDefault="00A526BA" w:rsidP="00026031">
      <w:pPr>
        <w:pStyle w:val="Standard"/>
        <w:spacing w:line="360" w:lineRule="auto"/>
        <w:ind w:firstLine="851"/>
        <w:jc w:val="both"/>
        <w:rPr>
          <w:rFonts w:cs="Times New Roman"/>
        </w:rPr>
      </w:pPr>
      <w:r w:rsidRPr="00AE1245">
        <w:rPr>
          <w:rFonts w:cs="Times New Roman"/>
          <w:i/>
        </w:rPr>
        <w:t xml:space="preserve">Provar </w:t>
      </w:r>
      <w:r w:rsidR="00BE2FA2">
        <w:rPr>
          <w:rFonts w:cs="Times New Roman"/>
        </w:rPr>
        <w:t>será</w:t>
      </w:r>
      <w:r w:rsidRPr="00AE1245">
        <w:rPr>
          <w:rFonts w:cs="Times New Roman"/>
          <w:i/>
        </w:rPr>
        <w:t xml:space="preserve"> demonstrar</w:t>
      </w:r>
      <w:r>
        <w:rPr>
          <w:rFonts w:cs="Times New Roman"/>
        </w:rPr>
        <w:t xml:space="preserve"> quando se afirma</w:t>
      </w:r>
      <w:r w:rsidR="00BE2FA2">
        <w:rPr>
          <w:rFonts w:cs="Times New Roman"/>
        </w:rPr>
        <w:t>r</w:t>
      </w:r>
      <w:r>
        <w:rPr>
          <w:rFonts w:cs="Times New Roman"/>
        </w:rPr>
        <w:t xml:space="preserve"> que a inf</w:t>
      </w:r>
      <w:r w:rsidR="00F67F69">
        <w:rPr>
          <w:rFonts w:cs="Times New Roman"/>
        </w:rPr>
        <w:t xml:space="preserve">ormação </w:t>
      </w:r>
      <w:r w:rsidR="00D91E80">
        <w:rPr>
          <w:rFonts w:cs="Times New Roman"/>
        </w:rPr>
        <w:t>é</w:t>
      </w:r>
      <w:r w:rsidR="00F67F69">
        <w:rPr>
          <w:rFonts w:cs="Times New Roman"/>
        </w:rPr>
        <w:t xml:space="preserve"> necessária para confirmação de</w:t>
      </w:r>
      <w:r>
        <w:rPr>
          <w:rFonts w:cs="Times New Roman"/>
        </w:rPr>
        <w:t xml:space="preserve"> determinadas asserções</w:t>
      </w:r>
      <w:r w:rsidR="00F67F69">
        <w:rPr>
          <w:rFonts w:cs="Times New Roman"/>
        </w:rPr>
        <w:t>, ou enunciados,</w:t>
      </w:r>
      <w:r>
        <w:rPr>
          <w:rFonts w:cs="Times New Roman"/>
        </w:rPr>
        <w:t xml:space="preserve"> a respeito de fatos. Nessa acepção, “provar significa apresentar elementos de informação idôneos para decidir se a afirmação ou negação de um fato é verdadeira</w:t>
      </w:r>
      <w:r>
        <w:rPr>
          <w:rStyle w:val="Refdenotaderodap"/>
          <w:rFonts w:cs="Times New Roman"/>
        </w:rPr>
        <w:footnoteReference w:id="3"/>
      </w:r>
      <w:r>
        <w:rPr>
          <w:rFonts w:cs="Times New Roman"/>
        </w:rPr>
        <w:t>”. Uma afirmação será verdadeira, sob essa perspectiva, quando existam razões (</w:t>
      </w:r>
      <w:r w:rsidR="003F74FD">
        <w:rPr>
          <w:rFonts w:cs="Times New Roman"/>
        </w:rPr>
        <w:t xml:space="preserve">elementos de </w:t>
      </w:r>
      <w:r>
        <w:rPr>
          <w:rFonts w:cs="Times New Roman"/>
        </w:rPr>
        <w:t>prova) suficientes para sustentá-la.</w:t>
      </w:r>
    </w:p>
    <w:p w14:paraId="40286968" w14:textId="35BD8F18" w:rsidR="00E167B0" w:rsidRDefault="00AE1245" w:rsidP="00026031">
      <w:pPr>
        <w:pStyle w:val="Standard"/>
        <w:spacing w:line="360" w:lineRule="auto"/>
        <w:ind w:firstLine="851"/>
        <w:jc w:val="both"/>
        <w:rPr>
          <w:rFonts w:cs="Times New Roman"/>
        </w:rPr>
      </w:pPr>
      <w:r w:rsidRPr="00D42B6A">
        <w:rPr>
          <w:rFonts w:cs="Times New Roman"/>
          <w:i/>
        </w:rPr>
        <w:t>Provar</w:t>
      </w:r>
      <w:r>
        <w:rPr>
          <w:rFonts w:cs="Times New Roman"/>
        </w:rPr>
        <w:t xml:space="preserve">, por sua vez, </w:t>
      </w:r>
      <w:r w:rsidR="00E448CB">
        <w:rPr>
          <w:rFonts w:cs="Times New Roman"/>
        </w:rPr>
        <w:t>significará</w:t>
      </w:r>
      <w:r>
        <w:rPr>
          <w:rFonts w:cs="Times New Roman"/>
        </w:rPr>
        <w:t xml:space="preserve"> </w:t>
      </w:r>
      <w:r w:rsidRPr="00D42B6A">
        <w:rPr>
          <w:rFonts w:cs="Times New Roman"/>
          <w:i/>
        </w:rPr>
        <w:t>experimentar</w:t>
      </w:r>
      <w:r>
        <w:rPr>
          <w:rFonts w:cs="Times New Roman"/>
        </w:rPr>
        <w:t xml:space="preserve"> quando indicar “uma atividade ou </w:t>
      </w:r>
      <w:r>
        <w:rPr>
          <w:rFonts w:cs="Times New Roman"/>
        </w:rPr>
        <w:lastRenderedPageBreak/>
        <w:t>procedimento destinado a verificar a correção de uma hipótese ou afirmação</w:t>
      </w:r>
      <w:r>
        <w:rPr>
          <w:rStyle w:val="Refdenotaderodap"/>
          <w:rFonts w:cs="Times New Roman"/>
        </w:rPr>
        <w:footnoteReference w:id="4"/>
      </w:r>
      <w:r>
        <w:rPr>
          <w:rFonts w:cs="Times New Roman"/>
        </w:rPr>
        <w:t xml:space="preserve">”. A atividade probatória com esse significado pode ser retratada principalmente quando utilizados mecanismos processuais voltados à verificação de hipóteses – tal como ocorre, por exemplo, no âmbito do inquérito e, em certa medida, </w:t>
      </w:r>
      <w:r w:rsidR="003F74FD">
        <w:rPr>
          <w:rFonts w:cs="Times New Roman"/>
        </w:rPr>
        <w:t>quando admitida a</w:t>
      </w:r>
      <w:r>
        <w:rPr>
          <w:rFonts w:cs="Times New Roman"/>
        </w:rPr>
        <w:t xml:space="preserve"> </w:t>
      </w:r>
      <w:r w:rsidR="009248C5">
        <w:rPr>
          <w:rFonts w:cs="Times New Roman"/>
        </w:rPr>
        <w:t>possibilidade</w:t>
      </w:r>
      <w:r>
        <w:rPr>
          <w:rFonts w:cs="Times New Roman"/>
        </w:rPr>
        <w:t xml:space="preserve"> de antecipação da prova prevista pelo art. 381, III, do CPC, </w:t>
      </w:r>
      <w:r w:rsidR="003F74FD">
        <w:rPr>
          <w:rFonts w:cs="Times New Roman"/>
        </w:rPr>
        <w:t>que a permite</w:t>
      </w:r>
      <w:r>
        <w:rPr>
          <w:rFonts w:cs="Times New Roman"/>
        </w:rPr>
        <w:t xml:space="preserve"> </w:t>
      </w:r>
      <w:r w:rsidR="00D42B6A">
        <w:rPr>
          <w:rFonts w:cs="Times New Roman"/>
        </w:rPr>
        <w:t>quando “o prévio conhecimento dos fatos possa justificar ou evitar o ajuizamento de ação”.</w:t>
      </w:r>
    </w:p>
    <w:p w14:paraId="69608243" w14:textId="77777777" w:rsidR="00D42B6A" w:rsidRDefault="00D42B6A" w:rsidP="00026031">
      <w:pPr>
        <w:pStyle w:val="Standard"/>
        <w:spacing w:line="360" w:lineRule="auto"/>
        <w:ind w:firstLine="851"/>
        <w:jc w:val="both"/>
        <w:rPr>
          <w:rFonts w:cs="Times New Roman"/>
        </w:rPr>
      </w:pPr>
      <w:r w:rsidRPr="00E556B9">
        <w:rPr>
          <w:rFonts w:cs="Times New Roman"/>
          <w:i/>
        </w:rPr>
        <w:t>Provar</w:t>
      </w:r>
      <w:r>
        <w:rPr>
          <w:rFonts w:cs="Times New Roman"/>
        </w:rPr>
        <w:t xml:space="preserve">, por fim, será </w:t>
      </w:r>
      <w:r w:rsidRPr="00E556B9">
        <w:rPr>
          <w:rFonts w:cs="Times New Roman"/>
          <w:i/>
        </w:rPr>
        <w:t>desafiar</w:t>
      </w:r>
      <w:r>
        <w:rPr>
          <w:rFonts w:cs="Times New Roman"/>
        </w:rPr>
        <w:t xml:space="preserve"> quando indicar “um obstáculo que deve ser superado como condição para se obter o reconhecimento de certas qualidades ou aptidões</w:t>
      </w:r>
      <w:r w:rsidR="00E556B9">
        <w:rPr>
          <w:rStyle w:val="Refdenotaderodap"/>
          <w:rFonts w:cs="Times New Roman"/>
        </w:rPr>
        <w:footnoteReference w:id="5"/>
      </w:r>
      <w:r>
        <w:rPr>
          <w:rFonts w:cs="Times New Roman"/>
        </w:rPr>
        <w:t>”.</w:t>
      </w:r>
      <w:r w:rsidR="00E556B9">
        <w:rPr>
          <w:rFonts w:cs="Times New Roman"/>
        </w:rPr>
        <w:t xml:space="preserve"> É o que ocorre, de certo modo, quando, ao valorar a prova, o julga</w:t>
      </w:r>
      <w:r w:rsidR="00D26C3D">
        <w:rPr>
          <w:rFonts w:cs="Times New Roman"/>
        </w:rPr>
        <w:t>dor considera que o demandante s</w:t>
      </w:r>
      <w:r w:rsidR="00E556B9">
        <w:rPr>
          <w:rFonts w:cs="Times New Roman"/>
        </w:rPr>
        <w:t xml:space="preserve">e desincumbiu do ônus (da tarefa, do obstáculo) de comprovar o fato constitutivo de sua demanda. </w:t>
      </w:r>
    </w:p>
    <w:p w14:paraId="3672291F" w14:textId="7AA3186E" w:rsidR="00E556B9" w:rsidRDefault="00E556B9" w:rsidP="00026031">
      <w:pPr>
        <w:pStyle w:val="Standard"/>
        <w:spacing w:line="360" w:lineRule="auto"/>
        <w:ind w:firstLine="851"/>
        <w:jc w:val="both"/>
        <w:rPr>
          <w:rFonts w:cs="Times New Roman"/>
        </w:rPr>
      </w:pPr>
    </w:p>
    <w:p w14:paraId="5DED33B6" w14:textId="2B5FAFAE" w:rsidR="00BE2FA2" w:rsidRPr="00026031" w:rsidRDefault="00D91E80" w:rsidP="00D91E80">
      <w:pPr>
        <w:pStyle w:val="Standard"/>
        <w:spacing w:line="360" w:lineRule="auto"/>
        <w:ind w:firstLine="851"/>
        <w:jc w:val="both"/>
        <w:outlineLvl w:val="0"/>
        <w:rPr>
          <w:rFonts w:cs="Times New Roman"/>
          <w:b/>
          <w:bCs/>
        </w:rPr>
      </w:pPr>
      <w:bookmarkStart w:id="3" w:name="_Toc30583397"/>
      <w:r>
        <w:rPr>
          <w:rFonts w:cs="Times New Roman"/>
          <w:b/>
          <w:bCs/>
        </w:rPr>
        <w:t>2</w:t>
      </w:r>
      <w:r w:rsidR="00BE2FA2" w:rsidRPr="00026031">
        <w:rPr>
          <w:rFonts w:cs="Times New Roman"/>
          <w:b/>
          <w:bCs/>
        </w:rPr>
        <w:t>. O ÔNUS DA PROVA</w:t>
      </w:r>
      <w:bookmarkEnd w:id="3"/>
    </w:p>
    <w:p w14:paraId="5C47E860" w14:textId="7036805F" w:rsidR="00BE2FA2" w:rsidRDefault="00BE2FA2" w:rsidP="00026031">
      <w:pPr>
        <w:pStyle w:val="Standard"/>
        <w:spacing w:line="360" w:lineRule="auto"/>
        <w:ind w:firstLine="851"/>
        <w:jc w:val="both"/>
        <w:rPr>
          <w:rFonts w:cs="Times New Roman"/>
        </w:rPr>
      </w:pPr>
    </w:p>
    <w:p w14:paraId="23973E43" w14:textId="23AE548A" w:rsidR="002C2339" w:rsidRDefault="003F4F01" w:rsidP="00026031">
      <w:pPr>
        <w:pStyle w:val="Standard"/>
        <w:spacing w:line="360" w:lineRule="auto"/>
        <w:ind w:firstLine="851"/>
        <w:jc w:val="both"/>
        <w:rPr>
          <w:rFonts w:cs="Times New Roman"/>
        </w:rPr>
      </w:pPr>
      <w:r>
        <w:rPr>
          <w:rFonts w:cs="Times New Roman"/>
        </w:rPr>
        <w:t>Para ser bem-sucedido, o autor deve demonstrar a ocorrência do fato constitutivo da sua demanda. Esse é o desafio essencial imposto ao polo ativo de um processo judicial. O réu, por sua vez, poderá negar o fato constitutivo exposto pelo autor (defesa direta) ou, ainda, sustentar a existência de fato impeditivo, modificativo ou extintivo da demanda (defesa indireta)</w:t>
      </w:r>
      <w:r w:rsidR="00026031">
        <w:rPr>
          <w:rStyle w:val="Refdenotaderodap"/>
          <w:rFonts w:cs="Times New Roman"/>
        </w:rPr>
        <w:footnoteReference w:id="6"/>
      </w:r>
      <w:r>
        <w:rPr>
          <w:rFonts w:cs="Times New Roman"/>
        </w:rPr>
        <w:t xml:space="preserve">. A regra geral de distribuição de ônus da prova, prevista pelo art. 373 do CPC/2015, </w:t>
      </w:r>
      <w:r w:rsidR="00D91E80">
        <w:rPr>
          <w:rFonts w:cs="Times New Roman"/>
        </w:rPr>
        <w:t>dispõe</w:t>
      </w:r>
      <w:r>
        <w:rPr>
          <w:rFonts w:cs="Times New Roman"/>
        </w:rPr>
        <w:t xml:space="preserve"> que caberá ao autor comprovar o fato constitutivo da sua demanda, enquanto ficará a cargo do réu demonstrar a ocorrência de eventuais fatos impeditivos, </w:t>
      </w:r>
      <w:r w:rsidR="002C2339">
        <w:rPr>
          <w:rFonts w:cs="Times New Roman"/>
        </w:rPr>
        <w:t>modificativos ou extintivos da pretensão autoral</w:t>
      </w:r>
      <w:r>
        <w:rPr>
          <w:rFonts w:cs="Times New Roman"/>
        </w:rPr>
        <w:t>.</w:t>
      </w:r>
      <w:r w:rsidR="002C2339">
        <w:rPr>
          <w:rFonts w:cs="Times New Roman"/>
        </w:rPr>
        <w:t xml:space="preserve"> </w:t>
      </w:r>
    </w:p>
    <w:p w14:paraId="75E7A7F5" w14:textId="125BC362" w:rsidR="00BE2FA2" w:rsidRDefault="002C2339" w:rsidP="00026031">
      <w:pPr>
        <w:pStyle w:val="Standard"/>
        <w:spacing w:line="360" w:lineRule="auto"/>
        <w:ind w:firstLine="851"/>
        <w:jc w:val="both"/>
        <w:rPr>
          <w:rFonts w:cs="Times New Roman"/>
        </w:rPr>
      </w:pPr>
      <w:r>
        <w:rPr>
          <w:rFonts w:cs="Times New Roman"/>
        </w:rPr>
        <w:t xml:space="preserve">A distribuição de ônus probatórios pode ser exemplificada da seguinte maneira, tendo como base a hipótese do art. 42 da LGPD: (i) </w:t>
      </w:r>
      <w:r w:rsidR="00BB5B80">
        <w:rPr>
          <w:rFonts w:cs="Times New Roman"/>
        </w:rPr>
        <w:t xml:space="preserve">o autor deverá demonstrar a ocorrência </w:t>
      </w:r>
      <w:r w:rsidR="00BB5B80">
        <w:rPr>
          <w:rFonts w:cs="Times New Roman"/>
        </w:rPr>
        <w:lastRenderedPageBreak/>
        <w:t>do fato constitutivo, ou seja: o autor A tem direito ao ressarcimento de danos patrimoniais e morais (pedido) porque o réu R violou a lei no exercício de atividade de tratamento de dados (causa de pedir/fato constitutivo); (</w:t>
      </w:r>
      <w:proofErr w:type="spellStart"/>
      <w:r w:rsidR="00BB5B80">
        <w:rPr>
          <w:rFonts w:cs="Times New Roman"/>
        </w:rPr>
        <w:t>ii</w:t>
      </w:r>
      <w:proofErr w:type="spellEnd"/>
      <w:r w:rsidR="00BB5B80">
        <w:rPr>
          <w:rFonts w:cs="Times New Roman"/>
        </w:rPr>
        <w:t>) o réu poderá, por sua vez, (</w:t>
      </w:r>
      <w:proofErr w:type="spellStart"/>
      <w:r w:rsidR="00BB5B80">
        <w:rPr>
          <w:rFonts w:cs="Times New Roman"/>
        </w:rPr>
        <w:t>ii.i</w:t>
      </w:r>
      <w:proofErr w:type="spellEnd"/>
      <w:r w:rsidR="00BB5B80">
        <w:rPr>
          <w:rFonts w:cs="Times New Roman"/>
        </w:rPr>
        <w:t xml:space="preserve">) negar o fato constitutivo, transformando-o em </w:t>
      </w:r>
      <w:r w:rsidR="00BB5B80" w:rsidRPr="00BB5B80">
        <w:rPr>
          <w:rFonts w:cs="Times New Roman"/>
          <w:i/>
          <w:iCs/>
        </w:rPr>
        <w:t>questão</w:t>
      </w:r>
      <w:r w:rsidR="00BB5B80">
        <w:rPr>
          <w:rFonts w:cs="Times New Roman"/>
        </w:rPr>
        <w:t xml:space="preserve"> e impondo ao autor o encargo de provar o que alegou</w:t>
      </w:r>
      <w:r w:rsidR="00026031">
        <w:rPr>
          <w:rStyle w:val="Refdenotaderodap"/>
          <w:rFonts w:cs="Times New Roman"/>
        </w:rPr>
        <w:footnoteReference w:id="7"/>
      </w:r>
      <w:r w:rsidR="00BB5B80">
        <w:rPr>
          <w:rFonts w:cs="Times New Roman"/>
        </w:rPr>
        <w:t>, ou (</w:t>
      </w:r>
      <w:proofErr w:type="spellStart"/>
      <w:r w:rsidR="00BB5B80">
        <w:rPr>
          <w:rFonts w:cs="Times New Roman"/>
        </w:rPr>
        <w:t>ii.ii</w:t>
      </w:r>
      <w:proofErr w:type="spellEnd"/>
      <w:r w:rsidR="00BB5B80">
        <w:rPr>
          <w:rFonts w:cs="Times New Roman"/>
        </w:rPr>
        <w:t xml:space="preserve">) descrever a existência de situações que impedem, modificam ou, ainda, extinguem o direito do autor. A alegação de tais fatos, por </w:t>
      </w:r>
      <w:r w:rsidR="00BB5B80" w:rsidRPr="00026031">
        <w:rPr>
          <w:rFonts w:cs="Times New Roman"/>
          <w:i/>
          <w:iCs/>
        </w:rPr>
        <w:t>alargar o objeto de conhecimento</w:t>
      </w:r>
      <w:r w:rsidR="00BB5B80">
        <w:rPr>
          <w:rFonts w:cs="Times New Roman"/>
        </w:rPr>
        <w:t xml:space="preserve"> do juiz, deve ser objeto de produção probatória, cabendo ao réu, por lei, ultrapassar o ônus de demonstrar a ocorrência de tais situações. </w:t>
      </w:r>
      <w:r w:rsidR="003F4F01">
        <w:rPr>
          <w:rFonts w:cs="Times New Roman"/>
        </w:rPr>
        <w:t xml:space="preserve">  </w:t>
      </w:r>
    </w:p>
    <w:p w14:paraId="0A1B0255" w14:textId="5A6DD821" w:rsidR="00BE2FA2" w:rsidRDefault="00BE2FA2" w:rsidP="00026031">
      <w:pPr>
        <w:pStyle w:val="Standard"/>
        <w:spacing w:line="360" w:lineRule="auto"/>
        <w:ind w:firstLine="851"/>
        <w:jc w:val="both"/>
        <w:rPr>
          <w:rFonts w:cs="Times New Roman"/>
        </w:rPr>
      </w:pPr>
    </w:p>
    <w:p w14:paraId="43094480" w14:textId="01DF8DF8" w:rsidR="00BE2FA2" w:rsidRPr="00F32854" w:rsidRDefault="00D91E80" w:rsidP="00D91E80">
      <w:pPr>
        <w:pStyle w:val="Standard"/>
        <w:spacing w:line="360" w:lineRule="auto"/>
        <w:ind w:firstLine="851"/>
        <w:jc w:val="both"/>
        <w:outlineLvl w:val="0"/>
        <w:rPr>
          <w:rFonts w:cs="Times New Roman"/>
          <w:b/>
          <w:bCs/>
        </w:rPr>
      </w:pPr>
      <w:bookmarkStart w:id="4" w:name="_Toc30583398"/>
      <w:r>
        <w:rPr>
          <w:rFonts w:cs="Times New Roman"/>
          <w:b/>
          <w:bCs/>
        </w:rPr>
        <w:t>3</w:t>
      </w:r>
      <w:r w:rsidR="00026031" w:rsidRPr="00F32854">
        <w:rPr>
          <w:rFonts w:cs="Times New Roman"/>
          <w:b/>
          <w:bCs/>
        </w:rPr>
        <w:t>. A INVERSÃO DE ÔNUS PRESCRITA PELA LGPD</w:t>
      </w:r>
      <w:bookmarkEnd w:id="4"/>
    </w:p>
    <w:p w14:paraId="15568D2D" w14:textId="05841E57" w:rsidR="00BE2FA2" w:rsidRDefault="00BE2FA2" w:rsidP="00F32854">
      <w:pPr>
        <w:pStyle w:val="Standard"/>
        <w:spacing w:line="360" w:lineRule="auto"/>
        <w:ind w:firstLine="851"/>
        <w:jc w:val="both"/>
        <w:rPr>
          <w:rFonts w:cs="Times New Roman"/>
        </w:rPr>
      </w:pPr>
    </w:p>
    <w:p w14:paraId="1DEC50C5" w14:textId="77777777" w:rsidR="0005019F" w:rsidRDefault="0005019F" w:rsidP="00F32854">
      <w:pPr>
        <w:pStyle w:val="Standard"/>
        <w:spacing w:line="360" w:lineRule="auto"/>
        <w:ind w:firstLine="851"/>
        <w:jc w:val="both"/>
        <w:rPr>
          <w:rFonts w:cs="Times New Roman"/>
        </w:rPr>
      </w:pPr>
      <w:r>
        <w:rPr>
          <w:rFonts w:cs="Times New Roman"/>
        </w:rPr>
        <w:t>O art. 42, § 2º, da LGPD, prevê que “o</w:t>
      </w:r>
      <w:r w:rsidRPr="0005019F">
        <w:rPr>
          <w:rFonts w:cs="Times New Roman"/>
        </w:rPr>
        <w:t xml:space="preserve"> juiz, no processo civil, poderá inverter o ônus da prova a favor do titular dos dados quando, a seu juízo, for verossímil a alegação, houver hipossuficiência para fins de produção de prova ou quando a produção de prova pelo titular resultar-lhe excessivamente onerosa</w:t>
      </w:r>
      <w:r>
        <w:rPr>
          <w:rFonts w:cs="Times New Roman"/>
        </w:rPr>
        <w:t>”</w:t>
      </w:r>
      <w:r w:rsidRPr="0005019F">
        <w:rPr>
          <w:rFonts w:cs="Times New Roman"/>
        </w:rPr>
        <w:t>.</w:t>
      </w:r>
      <w:r>
        <w:rPr>
          <w:rFonts w:cs="Times New Roman"/>
        </w:rPr>
        <w:t xml:space="preserve"> </w:t>
      </w:r>
    </w:p>
    <w:p w14:paraId="4006BB41" w14:textId="7E8AF9C7" w:rsidR="0005019F" w:rsidRDefault="0005019F" w:rsidP="0005019F">
      <w:pPr>
        <w:pStyle w:val="Standard"/>
        <w:spacing w:line="360" w:lineRule="auto"/>
        <w:ind w:firstLine="851"/>
        <w:jc w:val="both"/>
        <w:rPr>
          <w:rFonts w:cs="Times New Roman"/>
        </w:rPr>
      </w:pPr>
      <w:r>
        <w:rPr>
          <w:rFonts w:cs="Times New Roman"/>
        </w:rPr>
        <w:t>Isso significar dizer que, ocorridas as hipóteses de aplicação da lei em referência, o ônus da prova será redistribuído no processo da seguinte maneira: (i)</w:t>
      </w:r>
      <w:r w:rsidRPr="0005019F">
        <w:rPr>
          <w:rFonts w:cs="Times New Roman"/>
        </w:rPr>
        <w:t xml:space="preserve"> </w:t>
      </w:r>
      <w:r>
        <w:rPr>
          <w:rFonts w:cs="Times New Roman"/>
        </w:rPr>
        <w:t>continuará cabendo ao autor descrever o fato constitutivo</w:t>
      </w:r>
      <w:r w:rsidR="00825F0B">
        <w:rPr>
          <w:rFonts w:cs="Times New Roman"/>
        </w:rPr>
        <w:t xml:space="preserve"> da demanda, ou seja, denunciar a ocorrência de violação da lei </w:t>
      </w:r>
      <w:r>
        <w:rPr>
          <w:rFonts w:cs="Times New Roman"/>
        </w:rPr>
        <w:t>no exercício de atividade de tratamento de dados; (</w:t>
      </w:r>
      <w:proofErr w:type="spellStart"/>
      <w:r>
        <w:rPr>
          <w:rFonts w:cs="Times New Roman"/>
        </w:rPr>
        <w:t>ii</w:t>
      </w:r>
      <w:proofErr w:type="spellEnd"/>
      <w:r>
        <w:rPr>
          <w:rFonts w:cs="Times New Roman"/>
        </w:rPr>
        <w:t>) o réu poderá</w:t>
      </w:r>
      <w:r w:rsidR="00825F0B">
        <w:rPr>
          <w:rFonts w:cs="Times New Roman"/>
        </w:rPr>
        <w:t>, em defesa</w:t>
      </w:r>
      <w:r>
        <w:rPr>
          <w:rFonts w:cs="Times New Roman"/>
        </w:rPr>
        <w:t>, (</w:t>
      </w:r>
      <w:proofErr w:type="spellStart"/>
      <w:r>
        <w:rPr>
          <w:rFonts w:cs="Times New Roman"/>
        </w:rPr>
        <w:t>ii.i</w:t>
      </w:r>
      <w:proofErr w:type="spellEnd"/>
      <w:r>
        <w:rPr>
          <w:rFonts w:cs="Times New Roman"/>
        </w:rPr>
        <w:t xml:space="preserve">) negar o fato constitutivo, </w:t>
      </w:r>
      <w:r w:rsidR="00825F0B">
        <w:rPr>
          <w:rFonts w:cs="Times New Roman"/>
        </w:rPr>
        <w:t xml:space="preserve">cabendo a ele próprio, nessa circunstância, o encargo de provar a inocorrência da violação descrita pela petição inicial (se o réu não superar esse desafio, a demanda </w:t>
      </w:r>
      <w:r w:rsidR="00825F0B" w:rsidRPr="00825F0B">
        <w:rPr>
          <w:rFonts w:cs="Times New Roman"/>
          <w:i/>
          <w:iCs/>
        </w:rPr>
        <w:t>provavelmente</w:t>
      </w:r>
      <w:r w:rsidR="00825F0B">
        <w:rPr>
          <w:rFonts w:cs="Times New Roman"/>
        </w:rPr>
        <w:t xml:space="preserve"> será procedente)</w:t>
      </w:r>
      <w:r>
        <w:rPr>
          <w:rFonts w:cs="Times New Roman"/>
        </w:rPr>
        <w:t>, ou (</w:t>
      </w:r>
      <w:proofErr w:type="spellStart"/>
      <w:r>
        <w:rPr>
          <w:rFonts w:cs="Times New Roman"/>
        </w:rPr>
        <w:t>ii.ii</w:t>
      </w:r>
      <w:proofErr w:type="spellEnd"/>
      <w:r>
        <w:rPr>
          <w:rFonts w:cs="Times New Roman"/>
        </w:rPr>
        <w:t>) descrever a existência de situações que impedem, modificam ou, ainda, extinguem o direito do autor.</w:t>
      </w:r>
      <w:r w:rsidR="00825F0B">
        <w:rPr>
          <w:rFonts w:cs="Times New Roman"/>
        </w:rPr>
        <w:t xml:space="preserve"> Aqui, não há alteração na regra geral</w:t>
      </w:r>
      <w:r>
        <w:rPr>
          <w:rFonts w:cs="Times New Roman"/>
        </w:rPr>
        <w:t xml:space="preserve">.   </w:t>
      </w:r>
    </w:p>
    <w:p w14:paraId="0B963158" w14:textId="48EA3CDE" w:rsidR="00630780" w:rsidRDefault="00630780" w:rsidP="0005019F">
      <w:pPr>
        <w:pStyle w:val="Standard"/>
        <w:spacing w:line="360" w:lineRule="auto"/>
        <w:ind w:firstLine="851"/>
        <w:jc w:val="both"/>
        <w:rPr>
          <w:rFonts w:cs="Times New Roman"/>
        </w:rPr>
      </w:pPr>
      <w:r>
        <w:rPr>
          <w:rFonts w:cs="Times New Roman"/>
        </w:rPr>
        <w:t xml:space="preserve">Como se percebe, e a doutrina já teve a oportunidade de atestar, “os fenômenos de inversão do ônus da prova são mais complexos do que o nome insinua. Todas as causas de inversão atuam num primeiro momento sobre o objeto da prova e não sobre as regras de distribuição do ônus de provar. Atuam sobre o objeto, excluindo dele o fato afirmado – p. </w:t>
      </w:r>
      <w:r>
        <w:rPr>
          <w:rFonts w:cs="Times New Roman"/>
        </w:rPr>
        <w:lastRenderedPageBreak/>
        <w:t>ex., porque presumido em lei. A prova desse fato não precisará ser feita e, consequentemente, ninguém terá o ônus de fazê-la. A parte contrária recebe, isso sim, o ônus de provar a sua própria alegação – ou seja, de provar a negativa do fato presumido ou os fatos integrantes de uma versão colidente com os fatos presumidos</w:t>
      </w:r>
      <w:r>
        <w:rPr>
          <w:rStyle w:val="Refdenotaderodap"/>
          <w:rFonts w:cs="Times New Roman"/>
        </w:rPr>
        <w:footnoteReference w:id="8"/>
      </w:r>
      <w:r>
        <w:rPr>
          <w:rFonts w:cs="Times New Roman"/>
        </w:rPr>
        <w:t>”.</w:t>
      </w:r>
    </w:p>
    <w:p w14:paraId="0E292EBE" w14:textId="77777777" w:rsidR="00D91E80" w:rsidRDefault="00D91E80" w:rsidP="00F32854">
      <w:pPr>
        <w:pStyle w:val="Standard"/>
        <w:spacing w:line="360" w:lineRule="auto"/>
        <w:ind w:firstLine="851"/>
        <w:jc w:val="both"/>
        <w:rPr>
          <w:rFonts w:cs="Times New Roman"/>
          <w:b/>
          <w:bCs/>
        </w:rPr>
      </w:pPr>
    </w:p>
    <w:p w14:paraId="0AB2384E" w14:textId="1950B4DB" w:rsidR="00BE2FA2" w:rsidRDefault="00D91E80" w:rsidP="00D91E80">
      <w:pPr>
        <w:pStyle w:val="Standard"/>
        <w:spacing w:line="360" w:lineRule="auto"/>
        <w:ind w:firstLine="851"/>
        <w:jc w:val="both"/>
        <w:outlineLvl w:val="0"/>
        <w:rPr>
          <w:rFonts w:cs="Times New Roman"/>
          <w:b/>
          <w:bCs/>
        </w:rPr>
      </w:pPr>
      <w:bookmarkStart w:id="5" w:name="_Toc30583399"/>
      <w:r>
        <w:rPr>
          <w:rFonts w:cs="Times New Roman"/>
          <w:b/>
          <w:bCs/>
        </w:rPr>
        <w:t>4</w:t>
      </w:r>
      <w:r w:rsidR="00F32854" w:rsidRPr="00F32854">
        <w:rPr>
          <w:rFonts w:cs="Times New Roman"/>
          <w:b/>
          <w:bCs/>
        </w:rPr>
        <w:t>. A INVERSÃO DA LGPD TRATA DE ÔNUS IMPERFEITO</w:t>
      </w:r>
      <w:bookmarkEnd w:id="5"/>
    </w:p>
    <w:p w14:paraId="6FA5704E" w14:textId="209B8BF2" w:rsidR="00F32854" w:rsidRDefault="00F32854" w:rsidP="00F32854">
      <w:pPr>
        <w:pStyle w:val="Standard"/>
        <w:spacing w:line="360" w:lineRule="auto"/>
        <w:ind w:firstLine="851"/>
        <w:jc w:val="both"/>
        <w:rPr>
          <w:rFonts w:cs="Times New Roman"/>
          <w:b/>
          <w:bCs/>
        </w:rPr>
      </w:pPr>
    </w:p>
    <w:p w14:paraId="0A5479FD" w14:textId="424BC69C" w:rsidR="00825F0B" w:rsidRPr="00825F0B" w:rsidRDefault="00825F0B" w:rsidP="00F32854">
      <w:pPr>
        <w:pStyle w:val="Standard"/>
        <w:spacing w:line="360" w:lineRule="auto"/>
        <w:ind w:firstLine="851"/>
        <w:jc w:val="both"/>
        <w:rPr>
          <w:rFonts w:cs="Times New Roman"/>
        </w:rPr>
      </w:pPr>
      <w:r>
        <w:rPr>
          <w:rFonts w:cs="Times New Roman"/>
        </w:rPr>
        <w:t xml:space="preserve">Ônus vinculados à prova serão sempre </w:t>
      </w:r>
      <w:r w:rsidRPr="00825F0B">
        <w:rPr>
          <w:rFonts w:cs="Times New Roman"/>
          <w:i/>
          <w:iCs/>
        </w:rPr>
        <w:t>imperfeitos</w:t>
      </w:r>
      <w:r w:rsidR="00E45985">
        <w:rPr>
          <w:rStyle w:val="Refdenotaderodap"/>
          <w:rFonts w:cs="Times New Roman"/>
          <w:i/>
          <w:iCs/>
        </w:rPr>
        <w:footnoteReference w:id="9"/>
      </w:r>
      <w:r>
        <w:rPr>
          <w:rFonts w:cs="Times New Roman"/>
        </w:rPr>
        <w:t xml:space="preserve">, ou seja, o seu desatendimento irá </w:t>
      </w:r>
      <w:r w:rsidR="00E45985">
        <w:rPr>
          <w:rFonts w:cs="Times New Roman"/>
        </w:rPr>
        <w:t>ocasionar</w:t>
      </w:r>
      <w:r>
        <w:rPr>
          <w:rFonts w:cs="Times New Roman"/>
        </w:rPr>
        <w:t xml:space="preserve"> uma </w:t>
      </w:r>
      <w:r w:rsidRPr="00825F0B">
        <w:rPr>
          <w:rFonts w:cs="Times New Roman"/>
          <w:i/>
          <w:iCs/>
        </w:rPr>
        <w:t>probabilidade</w:t>
      </w:r>
      <w:r>
        <w:rPr>
          <w:rFonts w:cs="Times New Roman"/>
        </w:rPr>
        <w:t xml:space="preserve"> de insucesso naquele processo específico.</w:t>
      </w:r>
      <w:r w:rsidR="00E45985">
        <w:rPr>
          <w:rFonts w:cs="Times New Roman"/>
        </w:rPr>
        <w:t xml:space="preserve"> Por isso é que se afirmou no item anterior que se o réu não superar o desafio de comprovar a inocorrência de violação, “a demanda provavelmente será procedente”. Isso se deve ao fato, já atestado pela doutrina, de que “a não produção de uma prova não gerará necessariamente consequências negativas a quem incumbia tal encargo. Não significa que será derrotado no processo. Afinal, é possível que o juiz determine ou a parte contrária requeira a produção de tal prova, cujo resultado seja favorável justamente àquele sujeito que a deixou de produzir. Ou, ainda, que o julgador se convença de que a parte desidiosa tem razão, à luz do contexto probatório existente nos autos</w:t>
      </w:r>
      <w:r w:rsidR="00E45985">
        <w:rPr>
          <w:rStyle w:val="Refdenotaderodap"/>
          <w:rFonts w:cs="Times New Roman"/>
        </w:rPr>
        <w:footnoteReference w:id="10"/>
      </w:r>
      <w:r w:rsidR="00E45985">
        <w:rPr>
          <w:rFonts w:cs="Times New Roman"/>
        </w:rPr>
        <w:t xml:space="preserve">”. </w:t>
      </w:r>
    </w:p>
    <w:p w14:paraId="435D3024" w14:textId="77777777" w:rsidR="00825F0B" w:rsidRDefault="00825F0B" w:rsidP="00F32854">
      <w:pPr>
        <w:pStyle w:val="Standard"/>
        <w:spacing w:line="360" w:lineRule="auto"/>
        <w:ind w:firstLine="851"/>
        <w:jc w:val="both"/>
        <w:rPr>
          <w:rFonts w:cs="Times New Roman"/>
          <w:b/>
          <w:bCs/>
        </w:rPr>
      </w:pPr>
    </w:p>
    <w:p w14:paraId="754AD3DE" w14:textId="7DBF0E21" w:rsidR="00F32854" w:rsidRPr="00F32854" w:rsidRDefault="00D91E80" w:rsidP="00D91E80">
      <w:pPr>
        <w:pStyle w:val="Standard"/>
        <w:spacing w:line="360" w:lineRule="auto"/>
        <w:ind w:firstLine="851"/>
        <w:jc w:val="both"/>
        <w:outlineLvl w:val="0"/>
        <w:rPr>
          <w:rFonts w:cs="Times New Roman"/>
          <w:b/>
          <w:bCs/>
        </w:rPr>
      </w:pPr>
      <w:bookmarkStart w:id="7" w:name="_Toc30583400"/>
      <w:r>
        <w:rPr>
          <w:rFonts w:cs="Times New Roman"/>
          <w:b/>
          <w:bCs/>
        </w:rPr>
        <w:t>5</w:t>
      </w:r>
      <w:r w:rsidR="00F32854">
        <w:rPr>
          <w:rFonts w:cs="Times New Roman"/>
          <w:b/>
          <w:bCs/>
        </w:rPr>
        <w:t>. O MOMENTO DE INVERSÃO DO ÔNUS DA PROVA</w:t>
      </w:r>
      <w:bookmarkEnd w:id="7"/>
    </w:p>
    <w:p w14:paraId="36D26FCB" w14:textId="47CE013B" w:rsidR="00F32854" w:rsidRDefault="00F32854" w:rsidP="00F32854">
      <w:pPr>
        <w:pStyle w:val="Standard"/>
        <w:spacing w:line="360" w:lineRule="auto"/>
        <w:ind w:firstLine="851"/>
        <w:jc w:val="both"/>
        <w:rPr>
          <w:rFonts w:cs="Times New Roman"/>
          <w:b/>
          <w:bCs/>
        </w:rPr>
      </w:pPr>
    </w:p>
    <w:p w14:paraId="701ACCB4" w14:textId="4E9E1783" w:rsidR="00B26934" w:rsidRDefault="009D4A30" w:rsidP="00F32854">
      <w:pPr>
        <w:pStyle w:val="Standard"/>
        <w:spacing w:line="360" w:lineRule="auto"/>
        <w:ind w:firstLine="851"/>
        <w:jc w:val="both"/>
        <w:rPr>
          <w:rFonts w:cs="Times New Roman"/>
        </w:rPr>
      </w:pPr>
      <w:r w:rsidRPr="009D4A30">
        <w:rPr>
          <w:rFonts w:cs="Times New Roman"/>
        </w:rPr>
        <w:t>A inversão do ônus da prova é, certamente, uma regra de julgamento</w:t>
      </w:r>
      <w:r>
        <w:rPr>
          <w:rFonts w:cs="Times New Roman"/>
        </w:rPr>
        <w:t xml:space="preserve"> – dirigida, portanto, ao juiz</w:t>
      </w:r>
      <w:r w:rsidRPr="009D4A30">
        <w:rPr>
          <w:rFonts w:cs="Times New Roman"/>
        </w:rPr>
        <w:t>.</w:t>
      </w:r>
      <w:r>
        <w:rPr>
          <w:rFonts w:cs="Times New Roman"/>
        </w:rPr>
        <w:t xml:space="preserve"> Isso significar dizer que as partes têm o encargo produzir todas as provas que considerarem necessárias, de acordo com os ônus estabelecidos pela lei, inclusive as hipóteses de inversão.</w:t>
      </w:r>
      <w:r w:rsidR="00B26934">
        <w:rPr>
          <w:rFonts w:cs="Times New Roman"/>
        </w:rPr>
        <w:t xml:space="preserve"> Esse item objetivo não exclui o aspecto subjetivo do ato de inversão, vinculado ao estabelecimento, pelo juiz, de normas de conduta previsíveis</w:t>
      </w:r>
      <w:r w:rsidR="00D91E80">
        <w:rPr>
          <w:rFonts w:cs="Times New Roman"/>
        </w:rPr>
        <w:t>,</w:t>
      </w:r>
      <w:r w:rsidR="00B26934">
        <w:rPr>
          <w:rFonts w:cs="Times New Roman"/>
        </w:rPr>
        <w:t xml:space="preserve"> dirigidas às parte</w:t>
      </w:r>
      <w:r w:rsidR="00D91E80">
        <w:rPr>
          <w:rFonts w:cs="Times New Roman"/>
        </w:rPr>
        <w:t>s durante a evolução do processo</w:t>
      </w:r>
      <w:r w:rsidR="00B26934">
        <w:rPr>
          <w:rFonts w:cs="Times New Roman"/>
        </w:rPr>
        <w:t xml:space="preserve">. </w:t>
      </w:r>
    </w:p>
    <w:p w14:paraId="45120282" w14:textId="727F72AE" w:rsidR="009D4A30" w:rsidRPr="009D4A30" w:rsidRDefault="00B26934" w:rsidP="00F32854">
      <w:pPr>
        <w:pStyle w:val="Standard"/>
        <w:spacing w:line="360" w:lineRule="auto"/>
        <w:ind w:firstLine="851"/>
        <w:jc w:val="both"/>
        <w:rPr>
          <w:rFonts w:cs="Times New Roman"/>
        </w:rPr>
      </w:pPr>
      <w:r>
        <w:rPr>
          <w:rFonts w:cs="Times New Roman"/>
        </w:rPr>
        <w:t xml:space="preserve">Daí porque o art. 373, § 1º, do CPC, descreve que a parte onerada pela redistribuição </w:t>
      </w:r>
      <w:r>
        <w:rPr>
          <w:rFonts w:cs="Times New Roman"/>
        </w:rPr>
        <w:lastRenderedPageBreak/>
        <w:t>do encargo probatório deverá ter a “oportunidade de se desincumbir do ônus que lhe foi atribuído”. Embora o trecho não seja repetido pela regra de inversão inserta na LGPD, sua aplicação é recomendável, principalmente porque o STJ vem decidindo, seguidamente, no sentido de que a inversão do ônus da prova “deve ocorrer preferencialmente na fase de saneamento do processo ou, pelo menos, assegurando-se à parte a quem não incumbia inicialmente o encargo, a reabertura de oportunidade para apresentação de provas</w:t>
      </w:r>
      <w:r>
        <w:rPr>
          <w:rStyle w:val="Refdenotaderodap"/>
          <w:rFonts w:cs="Times New Roman"/>
        </w:rPr>
        <w:footnoteReference w:id="11"/>
      </w:r>
      <w:r>
        <w:rPr>
          <w:rFonts w:cs="Times New Roman"/>
        </w:rPr>
        <w:t>”.</w:t>
      </w:r>
    </w:p>
    <w:p w14:paraId="48967F00" w14:textId="77777777" w:rsidR="009D4A30" w:rsidRPr="00F32854" w:rsidRDefault="009D4A30" w:rsidP="00F32854">
      <w:pPr>
        <w:pStyle w:val="Standard"/>
        <w:spacing w:line="360" w:lineRule="auto"/>
        <w:ind w:firstLine="851"/>
        <w:jc w:val="both"/>
        <w:rPr>
          <w:rFonts w:cs="Times New Roman"/>
          <w:b/>
          <w:bCs/>
        </w:rPr>
      </w:pPr>
    </w:p>
    <w:p w14:paraId="1C121D84" w14:textId="51E633B0" w:rsidR="00F32854" w:rsidRDefault="00D91E80" w:rsidP="00D91E80">
      <w:pPr>
        <w:pStyle w:val="Standard"/>
        <w:spacing w:line="360" w:lineRule="auto"/>
        <w:ind w:firstLine="851"/>
        <w:jc w:val="both"/>
        <w:outlineLvl w:val="0"/>
        <w:rPr>
          <w:rFonts w:cs="Times New Roman"/>
          <w:b/>
          <w:bCs/>
        </w:rPr>
      </w:pPr>
      <w:bookmarkStart w:id="8" w:name="_Toc30583401"/>
      <w:r>
        <w:rPr>
          <w:rFonts w:cs="Times New Roman"/>
          <w:b/>
          <w:bCs/>
        </w:rPr>
        <w:t>6</w:t>
      </w:r>
      <w:r w:rsidR="00F32854" w:rsidRPr="00F32854">
        <w:rPr>
          <w:rFonts w:cs="Times New Roman"/>
          <w:b/>
          <w:bCs/>
        </w:rPr>
        <w:t>. AS HIPÓTESES DE INVERSÃO: CUMULAÇÃO DE REQUISITOS?</w:t>
      </w:r>
      <w:bookmarkEnd w:id="8"/>
    </w:p>
    <w:p w14:paraId="51FAC9D7" w14:textId="188E8288" w:rsidR="00F32854" w:rsidRDefault="00F32854" w:rsidP="00F32854">
      <w:pPr>
        <w:pStyle w:val="Standard"/>
        <w:spacing w:line="360" w:lineRule="auto"/>
        <w:ind w:firstLine="851"/>
        <w:jc w:val="both"/>
        <w:rPr>
          <w:rFonts w:cs="Times New Roman"/>
          <w:b/>
          <w:bCs/>
        </w:rPr>
      </w:pPr>
    </w:p>
    <w:p w14:paraId="73BFA543" w14:textId="495C9C8A" w:rsidR="00630780" w:rsidRDefault="00630780" w:rsidP="00630780">
      <w:pPr>
        <w:pStyle w:val="Standard"/>
        <w:spacing w:line="360" w:lineRule="auto"/>
        <w:ind w:firstLine="851"/>
        <w:jc w:val="both"/>
        <w:rPr>
          <w:rFonts w:cs="Times New Roman"/>
        </w:rPr>
      </w:pPr>
      <w:r>
        <w:rPr>
          <w:rFonts w:cs="Times New Roman"/>
        </w:rPr>
        <w:t xml:space="preserve">Conforme visto anteriormente, o art. 42, § 2º, da LGPD, prevê que o juiz </w:t>
      </w:r>
      <w:r w:rsidR="00D91E80">
        <w:rPr>
          <w:rFonts w:cs="Times New Roman"/>
        </w:rPr>
        <w:t>deverá</w:t>
      </w:r>
      <w:r>
        <w:rPr>
          <w:rFonts w:cs="Times New Roman"/>
        </w:rPr>
        <w:t xml:space="preserve"> inverter o ônus da prova quando “</w:t>
      </w:r>
      <w:r w:rsidRPr="0005019F">
        <w:rPr>
          <w:rFonts w:cs="Times New Roman"/>
        </w:rPr>
        <w:t>for verossímil a alegação, houver hipossuficiência para fins de produção de prova ou quando a produção de prova pelo titular resultar-lhe excessivamente onerosa</w:t>
      </w:r>
      <w:r>
        <w:rPr>
          <w:rFonts w:cs="Times New Roman"/>
        </w:rPr>
        <w:t>”</w:t>
      </w:r>
      <w:r w:rsidRPr="0005019F">
        <w:rPr>
          <w:rFonts w:cs="Times New Roman"/>
        </w:rPr>
        <w:t>.</w:t>
      </w:r>
      <w:r>
        <w:rPr>
          <w:rFonts w:cs="Times New Roman"/>
        </w:rPr>
        <w:t xml:space="preserve"> Deve-se, nesse contexto, analisar especificamente as hipóteses de inversão.</w:t>
      </w:r>
    </w:p>
    <w:p w14:paraId="13143F63" w14:textId="3040ACF0" w:rsidR="00A148FA" w:rsidRDefault="00D0716B" w:rsidP="00630780">
      <w:pPr>
        <w:pStyle w:val="Standard"/>
        <w:spacing w:line="360" w:lineRule="auto"/>
        <w:ind w:firstLine="851"/>
        <w:jc w:val="both"/>
        <w:rPr>
          <w:rFonts w:cs="Times New Roman"/>
        </w:rPr>
      </w:pPr>
      <w:r>
        <w:rPr>
          <w:rFonts w:cs="Times New Roman"/>
        </w:rPr>
        <w:t>A verossimilhança das alegações é extraída a partir da noção de probabilidade de que o enunciado fático trazido pela parte tenha ocorrido. Se provável, especificamente em termos daquilo que usualmente ocorre, então se está diante de enunciado verossímil.</w:t>
      </w:r>
      <w:r w:rsidR="00A148FA">
        <w:rPr>
          <w:rFonts w:cs="Times New Roman"/>
        </w:rPr>
        <w:t xml:space="preserve"> É nesse contexto que a doutrina descreve que “a verossimilhança se assenta em um juízo de probabilidade, que resulta, por seu turno, da análise dos motivos que lhe são favoráveis (convergentes) e dos que lhe são desfavoráveis (divergentes)</w:t>
      </w:r>
      <w:r w:rsidR="00A148FA">
        <w:rPr>
          <w:rStyle w:val="Refdenotaderodap"/>
          <w:rFonts w:cs="Times New Roman"/>
        </w:rPr>
        <w:footnoteReference w:id="12"/>
      </w:r>
      <w:r w:rsidR="00A148FA">
        <w:rPr>
          <w:rFonts w:cs="Times New Roman"/>
        </w:rPr>
        <w:t>”. Maior a convergência de motivos, maior a probabilidade. Maior a divergência, menor a probabilidade.</w:t>
      </w:r>
    </w:p>
    <w:p w14:paraId="01D060D2" w14:textId="0AD06ACC" w:rsidR="00D0716B" w:rsidRDefault="00511ABC" w:rsidP="00630780">
      <w:pPr>
        <w:pStyle w:val="Standard"/>
        <w:spacing w:line="360" w:lineRule="auto"/>
        <w:ind w:firstLine="851"/>
        <w:jc w:val="both"/>
        <w:rPr>
          <w:rFonts w:cs="Times New Roman"/>
        </w:rPr>
      </w:pPr>
      <w:r>
        <w:rPr>
          <w:rFonts w:cs="Times New Roman"/>
        </w:rPr>
        <w:t xml:space="preserve">De fato, o conceito daquilo que se entende por </w:t>
      </w:r>
      <w:r w:rsidRPr="00511ABC">
        <w:rPr>
          <w:rFonts w:cs="Times New Roman"/>
          <w:i/>
          <w:iCs/>
        </w:rPr>
        <w:t>configuração de verossimilhança</w:t>
      </w:r>
      <w:r>
        <w:rPr>
          <w:rFonts w:cs="Times New Roman"/>
        </w:rPr>
        <w:t xml:space="preserve">, ao menos no Brasil, é um tanto aberto, subjetivo – algo que poderia ser influenciado pela doutrina dos standards da prova. No caso da inversão de ônus probatório, especialmente em situações de dificuldade técnica para obtenção, é difícil imaginar uma imposição de encargo muito considerável a quem promove o pedido judicial. Na situação específica de violação da lei de proteção de dados, o juízo de probabilidade do direito possivelmente será realizado a partir da análise de prova indiciária, vinculada a aspectos difusos (p. ex.: uma invasão em </w:t>
      </w:r>
      <w:r>
        <w:rPr>
          <w:rFonts w:cs="Times New Roman"/>
        </w:rPr>
        <w:lastRenderedPageBreak/>
        <w:t xml:space="preserve">massa dos terminais do controlador), ou de uma situação que efetivamente ocorreu com terceiros em condição semelhante a do demandante. </w:t>
      </w:r>
    </w:p>
    <w:p w14:paraId="0AD6232D" w14:textId="45830060" w:rsidR="00630780" w:rsidRDefault="00677476" w:rsidP="00630780">
      <w:pPr>
        <w:pStyle w:val="Standard"/>
        <w:spacing w:line="360" w:lineRule="auto"/>
        <w:ind w:firstLine="851"/>
        <w:jc w:val="both"/>
        <w:rPr>
          <w:rFonts w:cs="Times New Roman"/>
        </w:rPr>
      </w:pPr>
      <w:r w:rsidRPr="00727364">
        <w:rPr>
          <w:rFonts w:cs="Times New Roman"/>
        </w:rPr>
        <w:t>A hipossuficiência para fins de produção de prova</w:t>
      </w:r>
      <w:r w:rsidR="00727364">
        <w:rPr>
          <w:rFonts w:cs="Times New Roman"/>
        </w:rPr>
        <w:t xml:space="preserve"> tem importante conexão com a ideia de vulnerabilidade informacional, há anos presente na jurisprudência do STJ relacionada com disputas de consumo e vinculada à ideia de controle de informações pelo fornecedor</w:t>
      </w:r>
      <w:r w:rsidR="00727364">
        <w:rPr>
          <w:rStyle w:val="Refdenotaderodap"/>
          <w:rFonts w:cs="Times New Roman"/>
        </w:rPr>
        <w:footnoteReference w:id="13"/>
      </w:r>
      <w:r w:rsidR="00727364">
        <w:rPr>
          <w:rFonts w:cs="Times New Roman"/>
        </w:rPr>
        <w:t xml:space="preserve">. No caso da LGPD, embora não exista necessariamente uma relação de consumo, é evidente que o controlador de dados pessoais possui acesso a uma quantidade maior de informações que o próprio titular, especialmente em termos de eventual violação praticada </w:t>
      </w:r>
      <w:r w:rsidR="00511ABC">
        <w:rPr>
          <w:rFonts w:cs="Times New Roman"/>
        </w:rPr>
        <w:t xml:space="preserve">por aquele ou </w:t>
      </w:r>
      <w:r w:rsidR="00727364">
        <w:rPr>
          <w:rFonts w:cs="Times New Roman"/>
        </w:rPr>
        <w:t>por operadores. Essa desigualdade</w:t>
      </w:r>
      <w:r w:rsidR="00511ABC">
        <w:rPr>
          <w:rFonts w:cs="Times New Roman"/>
        </w:rPr>
        <w:t>, aliada à verossimilhança daquilo que se alega,</w:t>
      </w:r>
      <w:r w:rsidR="00727364">
        <w:rPr>
          <w:rFonts w:cs="Times New Roman"/>
        </w:rPr>
        <w:t xml:space="preserve"> é que possibilita a inversão de ônus probatório em casos qu</w:t>
      </w:r>
      <w:r w:rsidR="00511ABC">
        <w:rPr>
          <w:rFonts w:cs="Times New Roman"/>
        </w:rPr>
        <w:t>e envolvam o</w:t>
      </w:r>
      <w:r w:rsidR="00727364">
        <w:rPr>
          <w:rFonts w:cs="Times New Roman"/>
        </w:rPr>
        <w:t xml:space="preserve"> debate a respeito de eventual violação à lei de tratamento de dados.</w:t>
      </w:r>
    </w:p>
    <w:p w14:paraId="366F21EE" w14:textId="78416B55" w:rsidR="00727364" w:rsidRDefault="00A148FA" w:rsidP="00630780">
      <w:pPr>
        <w:pStyle w:val="Standard"/>
        <w:spacing w:line="360" w:lineRule="auto"/>
        <w:ind w:firstLine="851"/>
        <w:jc w:val="both"/>
        <w:rPr>
          <w:rFonts w:cs="Times New Roman"/>
        </w:rPr>
      </w:pPr>
      <w:r>
        <w:rPr>
          <w:rFonts w:cs="Times New Roman"/>
        </w:rPr>
        <w:t>Há, ainda, a hipótese de onerosidade excessiva na produção da prova que, aliada à verossimilhança das alegações, pode gerar um ambiente de inversão de ônus. Aqui, é importante verificar se a inversão não irá tão somente transferir a onerosidade excessiva de uma parte para a outra. É importante, portanto, que o julgador exerça um juízo não somente de verossimilhança das alegações de mérito, mas também de probabilidade de que, de fato, a outra parte tem efetivas condições de produzir a prova especificada de maneira menos trabalhosa.</w:t>
      </w:r>
    </w:p>
    <w:p w14:paraId="00BF87B4" w14:textId="6E940660" w:rsidR="00C324C0" w:rsidRDefault="00C324C0" w:rsidP="00630780">
      <w:pPr>
        <w:pStyle w:val="Standard"/>
        <w:spacing w:line="360" w:lineRule="auto"/>
        <w:ind w:firstLine="851"/>
        <w:jc w:val="both"/>
        <w:rPr>
          <w:rFonts w:cs="Times New Roman"/>
        </w:rPr>
      </w:pPr>
      <w:r>
        <w:rPr>
          <w:rFonts w:cs="Times New Roman"/>
        </w:rPr>
        <w:t xml:space="preserve">A leitura das hipóteses acima elencadas permite constatar que o ensaio defende a existência de cumulação </w:t>
      </w:r>
      <w:r w:rsidR="004B4F60">
        <w:rPr>
          <w:rFonts w:cs="Times New Roman"/>
        </w:rPr>
        <w:t>parcial de requisitos para a inversão de ônus prevista pela LGPD. Ou seja, a vírgula presente no dispositivo tem o significado de adição: para inverter o ônus, deve existir verossimilhança “e” vulnerabilidade, ou verossimilhança “e” onerosidade excessiva.</w:t>
      </w:r>
    </w:p>
    <w:p w14:paraId="32DC7BFC" w14:textId="531FA878" w:rsidR="00627A6B" w:rsidRDefault="004B4F60" w:rsidP="00630780">
      <w:pPr>
        <w:pStyle w:val="Standard"/>
        <w:spacing w:line="360" w:lineRule="auto"/>
        <w:ind w:firstLine="851"/>
        <w:jc w:val="both"/>
        <w:rPr>
          <w:rFonts w:cs="Times New Roman"/>
        </w:rPr>
      </w:pPr>
      <w:r>
        <w:rPr>
          <w:rFonts w:cs="Times New Roman"/>
        </w:rPr>
        <w:t xml:space="preserve">Com o devido respeito a entendimentos diversos que possivelmente surgirão na doutrina, é importante destacar que o tema da prova tem íntima conexão com o direito material. Afinal, é a partir da análise da prova que se verifica a probabilidade de ocorrência de enunciados fáticos descritos no processo judicial. Não há, portanto, uma separação estanque entre os institutos. </w:t>
      </w:r>
      <w:r w:rsidR="00627A6B">
        <w:rPr>
          <w:rFonts w:cs="Times New Roman"/>
        </w:rPr>
        <w:t xml:space="preserve">Isso fica bastante claro quando, por exemplo, o art. 382 do CPC </w:t>
      </w:r>
      <w:r w:rsidR="00627A6B">
        <w:rPr>
          <w:rFonts w:cs="Times New Roman"/>
        </w:rPr>
        <w:lastRenderedPageBreak/>
        <w:t>– que trata de antecipação da prova – prescreve que o requerente “mencionará com precisão os fatos sobre os quais a prova há de recair”. Além disso, a legislação processual civil também dispõe que “o juiz indeferirá, em decisão fundamentada, as diligências inúteis ou meramente protelatórias”.</w:t>
      </w:r>
    </w:p>
    <w:p w14:paraId="3FC5847D" w14:textId="68FE405B" w:rsidR="004B4F60" w:rsidRDefault="00627A6B" w:rsidP="00630780">
      <w:pPr>
        <w:pStyle w:val="Standard"/>
        <w:spacing w:line="360" w:lineRule="auto"/>
        <w:ind w:firstLine="851"/>
        <w:jc w:val="both"/>
        <w:rPr>
          <w:rFonts w:cs="Times New Roman"/>
        </w:rPr>
      </w:pPr>
      <w:r>
        <w:rPr>
          <w:rFonts w:cs="Times New Roman"/>
        </w:rPr>
        <w:t xml:space="preserve">Diante desse contexto, verifica-se que </w:t>
      </w:r>
      <w:r w:rsidRPr="00627A6B">
        <w:rPr>
          <w:rFonts w:cs="Times New Roman"/>
          <w:i/>
          <w:iCs/>
        </w:rPr>
        <w:t>mencionar com precisão os fatos</w:t>
      </w:r>
      <w:r>
        <w:rPr>
          <w:rFonts w:cs="Times New Roman"/>
        </w:rPr>
        <w:t xml:space="preserve"> específicos significa, para fins de direito processual, estabelecer a finalidade da prova e qual a sua relação com aquilo a ser exigido no processo voltado à declaração do direito material. Se o direito material a ser concretizado não está bem estabelecido e fundamentado, não há que se falar em análise de vulnerabilidade ou onerosidade na produção de uma prova, porque impertinente e irrelevante ao deslinde da demanda.</w:t>
      </w:r>
    </w:p>
    <w:p w14:paraId="5CAB5D31" w14:textId="372C884B" w:rsidR="0080126E" w:rsidRDefault="00627A6B" w:rsidP="0080126E">
      <w:pPr>
        <w:pStyle w:val="Standard"/>
        <w:spacing w:after="120" w:line="360" w:lineRule="auto"/>
        <w:ind w:firstLine="851"/>
        <w:jc w:val="both"/>
        <w:rPr>
          <w:rFonts w:cs="Times New Roman"/>
        </w:rPr>
      </w:pPr>
      <w:r>
        <w:rPr>
          <w:rFonts w:cs="Times New Roman"/>
        </w:rPr>
        <w:t xml:space="preserve">Pertinência e relevância, aliás, são conceitos há muito tempo consolidados em direito processual. </w:t>
      </w:r>
      <w:r w:rsidR="0080126E">
        <w:rPr>
          <w:rFonts w:cs="Times New Roman"/>
        </w:rPr>
        <w:t>A doutrina já teve a oportunidade de afirmar, nesse contexto, que</w:t>
      </w:r>
      <w:r w:rsidR="0080126E">
        <w:rPr>
          <w:rFonts w:cs="Times New Roman"/>
        </w:rPr>
        <w:t xml:space="preserve"> “fatos relevantes são aqueles cujo reconhecimento seja capaz de influir nos julgamentos a proferir no processo”. Fato irrelevante, nesse contexto, ocorre quando, “com ele ou sem ele, a decisão será a mesma</w:t>
      </w:r>
      <w:r w:rsidR="0080126E">
        <w:rPr>
          <w:rStyle w:val="Refdenotaderodap"/>
          <w:rFonts w:cs="Times New Roman"/>
        </w:rPr>
        <w:footnoteReference w:id="14"/>
      </w:r>
      <w:r w:rsidR="0080126E">
        <w:rPr>
          <w:rFonts w:cs="Times New Roman"/>
        </w:rPr>
        <w:t>”.</w:t>
      </w:r>
      <w:r w:rsidR="0080126E">
        <w:rPr>
          <w:rFonts w:cs="Times New Roman"/>
        </w:rPr>
        <w:t xml:space="preserve"> </w:t>
      </w:r>
      <w:r w:rsidR="0080126E">
        <w:rPr>
          <w:rFonts w:cs="Times New Roman"/>
        </w:rPr>
        <w:t>Há</w:t>
      </w:r>
      <w:r w:rsidR="0080126E">
        <w:rPr>
          <w:rFonts w:cs="Times New Roman"/>
        </w:rPr>
        <w:t>, ainda,</w:t>
      </w:r>
      <w:r w:rsidR="0080126E">
        <w:rPr>
          <w:rFonts w:cs="Times New Roman"/>
        </w:rPr>
        <w:t xml:space="preserve"> um movimento doutrinário em evolução no sentido de que as ideias de pertinência e relevância têm vinculação e são de possível conceituação a partir da análise da prova sob a perspectiva de sua conexão com os fatos controvertidos na demanda. Tal critério, tributário dos conceitos de </w:t>
      </w:r>
      <w:proofErr w:type="spellStart"/>
      <w:r w:rsidR="0080126E" w:rsidRPr="002A7CCE">
        <w:rPr>
          <w:rFonts w:cs="Times New Roman"/>
          <w:i/>
        </w:rPr>
        <w:t>materiality</w:t>
      </w:r>
      <w:proofErr w:type="spellEnd"/>
      <w:r w:rsidR="0080126E">
        <w:rPr>
          <w:rFonts w:cs="Times New Roman"/>
        </w:rPr>
        <w:t xml:space="preserve"> e </w:t>
      </w:r>
      <w:proofErr w:type="spellStart"/>
      <w:r w:rsidR="0080126E" w:rsidRPr="002A7CCE">
        <w:rPr>
          <w:rFonts w:cs="Times New Roman"/>
          <w:i/>
        </w:rPr>
        <w:t>relevancy</w:t>
      </w:r>
      <w:proofErr w:type="spellEnd"/>
      <w:r w:rsidR="0080126E">
        <w:rPr>
          <w:rFonts w:cs="Times New Roman"/>
        </w:rPr>
        <w:t xml:space="preserve"> advindos da doutrina de </w:t>
      </w:r>
      <w:r w:rsidR="0080126E" w:rsidRPr="002640C0">
        <w:rPr>
          <w:rFonts w:cs="Times New Roman"/>
          <w:i/>
        </w:rPr>
        <w:t xml:space="preserve">common </w:t>
      </w:r>
      <w:proofErr w:type="spellStart"/>
      <w:r w:rsidR="0080126E" w:rsidRPr="002640C0">
        <w:rPr>
          <w:rFonts w:cs="Times New Roman"/>
          <w:i/>
        </w:rPr>
        <w:t>law</w:t>
      </w:r>
      <w:proofErr w:type="spellEnd"/>
      <w:r w:rsidR="0080126E">
        <w:rPr>
          <w:rFonts w:cs="Times New Roman"/>
        </w:rPr>
        <w:t>, pode ser sintetizado nos seguintes termos: (i) a prova é pertinente quando há vinculação entre o meio de prova a ser admitido e os enunciados fáticos controvertidos no processo; (</w:t>
      </w:r>
      <w:proofErr w:type="spellStart"/>
      <w:r w:rsidR="0080126E">
        <w:rPr>
          <w:rFonts w:cs="Times New Roman"/>
        </w:rPr>
        <w:t>ii</w:t>
      </w:r>
      <w:proofErr w:type="spellEnd"/>
      <w:r w:rsidR="0080126E">
        <w:rPr>
          <w:rFonts w:cs="Times New Roman"/>
        </w:rPr>
        <w:t>) a prova, por sua vez, será relevante quando possível, a partir da sua produção, demonstrar assertiva relacionada a outro fato que, por inferência lógica, influenciar na verificação de ocorrência, ou não, do fato principal</w:t>
      </w:r>
      <w:r w:rsidR="0080126E">
        <w:rPr>
          <w:rStyle w:val="Refdenotaderodap"/>
          <w:rFonts w:cs="Times New Roman"/>
        </w:rPr>
        <w:footnoteReference w:id="15"/>
      </w:r>
      <w:r w:rsidR="0080126E">
        <w:rPr>
          <w:rFonts w:cs="Times New Roman"/>
        </w:rPr>
        <w:t xml:space="preserve">. </w:t>
      </w:r>
    </w:p>
    <w:p w14:paraId="7CF7D15A" w14:textId="5C3932BD" w:rsidR="00627A6B" w:rsidRPr="00727364" w:rsidRDefault="0080126E" w:rsidP="00630780">
      <w:pPr>
        <w:pStyle w:val="Standard"/>
        <w:spacing w:line="360" w:lineRule="auto"/>
        <w:ind w:firstLine="851"/>
        <w:jc w:val="both"/>
        <w:rPr>
          <w:rFonts w:cs="Times New Roman"/>
        </w:rPr>
      </w:pPr>
      <w:r>
        <w:rPr>
          <w:rFonts w:cs="Times New Roman"/>
        </w:rPr>
        <w:t xml:space="preserve">Os argumentos são suficientes para demonstrar que exames de direito probatório – que incluem, obviamente, o juízo de inversão de ônus – não podem se descolar </w:t>
      </w:r>
      <w:r w:rsidR="00DB50D2">
        <w:rPr>
          <w:rFonts w:cs="Times New Roman"/>
        </w:rPr>
        <w:t>dos fatos controvertidos e do direito material em disputa. O juízo de verossimilhança, portanto, sempre deverá estar presente</w:t>
      </w:r>
      <w:r w:rsidR="00DB50D2">
        <w:rPr>
          <w:rStyle w:val="Refdenotaderodap"/>
          <w:rFonts w:cs="Times New Roman"/>
        </w:rPr>
        <w:footnoteReference w:id="16"/>
      </w:r>
      <w:r w:rsidR="00DB50D2">
        <w:rPr>
          <w:rFonts w:cs="Times New Roman"/>
        </w:rPr>
        <w:t xml:space="preserve">. </w:t>
      </w:r>
    </w:p>
    <w:p w14:paraId="56DC5E76" w14:textId="77777777" w:rsidR="007E0897" w:rsidRDefault="007E0897" w:rsidP="00F32854">
      <w:pPr>
        <w:pStyle w:val="Standard"/>
        <w:spacing w:line="360" w:lineRule="auto"/>
        <w:ind w:firstLine="851"/>
        <w:jc w:val="both"/>
        <w:rPr>
          <w:rFonts w:cs="Times New Roman"/>
          <w:b/>
          <w:bCs/>
        </w:rPr>
      </w:pPr>
    </w:p>
    <w:p w14:paraId="2796A5C0" w14:textId="6AFC6D2E" w:rsidR="00F32854" w:rsidRPr="00F32854" w:rsidRDefault="00F32854" w:rsidP="00D91E80">
      <w:pPr>
        <w:pStyle w:val="Standard"/>
        <w:spacing w:line="360" w:lineRule="auto"/>
        <w:ind w:firstLine="851"/>
        <w:jc w:val="both"/>
        <w:outlineLvl w:val="0"/>
        <w:rPr>
          <w:rFonts w:cs="Times New Roman"/>
          <w:b/>
          <w:bCs/>
        </w:rPr>
      </w:pPr>
      <w:bookmarkStart w:id="11" w:name="_Toc30583402"/>
      <w:r>
        <w:rPr>
          <w:rFonts w:cs="Times New Roman"/>
          <w:b/>
          <w:bCs/>
        </w:rPr>
        <w:t>REFERÊNCIAS BIBLIOGRÁFICAS</w:t>
      </w:r>
      <w:bookmarkEnd w:id="11"/>
    </w:p>
    <w:p w14:paraId="6C5F18C8" w14:textId="14870717" w:rsidR="00BE2FA2" w:rsidRDefault="00BE2FA2" w:rsidP="00115D48">
      <w:pPr>
        <w:pStyle w:val="Standard"/>
        <w:spacing w:after="120" w:line="360" w:lineRule="auto"/>
        <w:ind w:firstLine="851"/>
        <w:jc w:val="both"/>
        <w:rPr>
          <w:rFonts w:cs="Times New Roman"/>
        </w:rPr>
      </w:pPr>
    </w:p>
    <w:p w14:paraId="42D00EFA" w14:textId="77777777" w:rsidR="00140736" w:rsidRPr="00140736" w:rsidRDefault="00140736" w:rsidP="00140736">
      <w:pPr>
        <w:pStyle w:val="Standard"/>
        <w:spacing w:after="120" w:line="360" w:lineRule="auto"/>
        <w:jc w:val="both"/>
        <w:rPr>
          <w:rFonts w:cs="Times New Roman"/>
        </w:rPr>
      </w:pPr>
      <w:r w:rsidRPr="00140736">
        <w:rPr>
          <w:rFonts w:cs="Times New Roman"/>
        </w:rPr>
        <w:t xml:space="preserve">AMARAL, Paulo </w:t>
      </w:r>
      <w:proofErr w:type="spellStart"/>
      <w:r w:rsidRPr="00140736">
        <w:rPr>
          <w:rFonts w:cs="Times New Roman"/>
        </w:rPr>
        <w:t>Osternack</w:t>
      </w:r>
      <w:proofErr w:type="spellEnd"/>
      <w:r w:rsidRPr="00140736">
        <w:rPr>
          <w:rFonts w:cs="Times New Roman"/>
        </w:rPr>
        <w:t xml:space="preserve">. </w:t>
      </w:r>
      <w:r w:rsidRPr="00140736">
        <w:rPr>
          <w:rFonts w:cs="Times New Roman"/>
          <w:i/>
          <w:iCs/>
        </w:rPr>
        <w:t>Provas</w:t>
      </w:r>
      <w:r w:rsidRPr="00140736">
        <w:rPr>
          <w:rFonts w:cs="Times New Roman"/>
        </w:rPr>
        <w:t>: atipicidade, liberdade e instrumentalidade. 2 ed. São Paulo: Revista dos Tribunais. 2017.</w:t>
      </w:r>
    </w:p>
    <w:p w14:paraId="42DB74E5" w14:textId="77777777" w:rsidR="00140736" w:rsidRPr="00140736" w:rsidRDefault="00140736" w:rsidP="00140736">
      <w:pPr>
        <w:pStyle w:val="Standard"/>
        <w:spacing w:after="120" w:line="360" w:lineRule="auto"/>
        <w:jc w:val="both"/>
        <w:rPr>
          <w:rFonts w:cs="Times New Roman"/>
        </w:rPr>
      </w:pPr>
      <w:r w:rsidRPr="00140736">
        <w:rPr>
          <w:rFonts w:cs="Times New Roman"/>
        </w:rPr>
        <w:t xml:space="preserve">BARBOSA MOREIRA, Carlos Roberto. Notas sobre a inversão do ônus da prova em benefício do consumidor. </w:t>
      </w:r>
      <w:r w:rsidRPr="00140736">
        <w:rPr>
          <w:rFonts w:cs="Times New Roman"/>
          <w:i/>
          <w:iCs/>
        </w:rPr>
        <w:t>Revista de Direito do Consumidor</w:t>
      </w:r>
      <w:r w:rsidRPr="00140736">
        <w:rPr>
          <w:rFonts w:cs="Times New Roman"/>
        </w:rPr>
        <w:t>. v. 22. São Paulo: Revista dos Tribunais, 1997.</w:t>
      </w:r>
    </w:p>
    <w:p w14:paraId="78205A7E" w14:textId="77777777" w:rsidR="00140736" w:rsidRPr="00140736" w:rsidRDefault="00140736" w:rsidP="00140736">
      <w:pPr>
        <w:pStyle w:val="Standard"/>
        <w:spacing w:after="120" w:line="360" w:lineRule="auto"/>
        <w:jc w:val="both"/>
        <w:rPr>
          <w:rFonts w:cs="Times New Roman"/>
        </w:rPr>
      </w:pPr>
      <w:r w:rsidRPr="00140736">
        <w:rPr>
          <w:rFonts w:cs="Times New Roman"/>
        </w:rPr>
        <w:t xml:space="preserve">DINAMARCO, Cândido Rangel. </w:t>
      </w:r>
      <w:r w:rsidRPr="00140736">
        <w:rPr>
          <w:rFonts w:cs="Times New Roman"/>
          <w:i/>
          <w:iCs/>
        </w:rPr>
        <w:t>Instituições de direito processual civil</w:t>
      </w:r>
      <w:r w:rsidRPr="00140736">
        <w:rPr>
          <w:rFonts w:cs="Times New Roman"/>
        </w:rPr>
        <w:t>. v. II e III. 6 ed. rev. e atual. São Paulo: Malheiros, 2009.</w:t>
      </w:r>
    </w:p>
    <w:p w14:paraId="0C3C83CB" w14:textId="77777777" w:rsidR="00140736" w:rsidRPr="00140736" w:rsidRDefault="00140736" w:rsidP="00140736">
      <w:pPr>
        <w:pStyle w:val="Standard"/>
        <w:spacing w:after="120" w:line="360" w:lineRule="auto"/>
        <w:jc w:val="both"/>
        <w:rPr>
          <w:rFonts w:cs="Times New Roman"/>
        </w:rPr>
      </w:pPr>
      <w:r w:rsidRPr="00140736">
        <w:rPr>
          <w:rFonts w:cs="Times New Roman"/>
        </w:rPr>
        <w:t xml:space="preserve">GOMES FILHO, </w:t>
      </w:r>
      <w:proofErr w:type="spellStart"/>
      <w:r w:rsidRPr="00140736">
        <w:rPr>
          <w:rFonts w:cs="Times New Roman"/>
        </w:rPr>
        <w:t>Antonio</w:t>
      </w:r>
      <w:proofErr w:type="spellEnd"/>
      <w:r w:rsidRPr="00140736">
        <w:rPr>
          <w:rFonts w:cs="Times New Roman"/>
        </w:rPr>
        <w:t xml:space="preserve"> Magalhães. </w:t>
      </w:r>
      <w:r w:rsidRPr="00140736">
        <w:rPr>
          <w:rFonts w:cs="Times New Roman"/>
          <w:i/>
          <w:iCs/>
        </w:rPr>
        <w:t>Direito à prova no processo penal</w:t>
      </w:r>
      <w:r w:rsidRPr="00140736">
        <w:rPr>
          <w:rFonts w:cs="Times New Roman"/>
        </w:rPr>
        <w:t>. São Paulo: Revista dos Tribunais, 1997.</w:t>
      </w:r>
    </w:p>
    <w:p w14:paraId="0898CB81" w14:textId="7724CA6E" w:rsidR="00140736" w:rsidRPr="00140736" w:rsidRDefault="00140736" w:rsidP="00140736">
      <w:pPr>
        <w:pStyle w:val="Standard"/>
        <w:spacing w:after="120" w:line="360" w:lineRule="auto"/>
        <w:jc w:val="both"/>
        <w:rPr>
          <w:rFonts w:cs="Times New Roman"/>
        </w:rPr>
      </w:pPr>
      <w:r>
        <w:rPr>
          <w:rFonts w:cs="Times New Roman"/>
        </w:rPr>
        <w:t>_____</w:t>
      </w:r>
      <w:r w:rsidRPr="00140736">
        <w:rPr>
          <w:rFonts w:cs="Times New Roman"/>
        </w:rPr>
        <w:t xml:space="preserve">. Notas sobre a terminologia da prova: reflexos no processo penal brasileiro. In: YARSHELL, Flávio Luiz. MORAES, Maurício </w:t>
      </w:r>
      <w:proofErr w:type="spellStart"/>
      <w:r w:rsidRPr="00140736">
        <w:rPr>
          <w:rFonts w:cs="Times New Roman"/>
        </w:rPr>
        <w:t>Zanoide</w:t>
      </w:r>
      <w:proofErr w:type="spellEnd"/>
      <w:r w:rsidRPr="00140736">
        <w:rPr>
          <w:rFonts w:cs="Times New Roman"/>
        </w:rPr>
        <w:t xml:space="preserve">. </w:t>
      </w:r>
      <w:r w:rsidRPr="00140736">
        <w:rPr>
          <w:rFonts w:cs="Times New Roman"/>
          <w:i/>
          <w:iCs/>
        </w:rPr>
        <w:t xml:space="preserve">Estudos em homenagem à professora Ada Pellegrini </w:t>
      </w:r>
      <w:proofErr w:type="spellStart"/>
      <w:r w:rsidRPr="00140736">
        <w:rPr>
          <w:rFonts w:cs="Times New Roman"/>
          <w:i/>
          <w:iCs/>
        </w:rPr>
        <w:t>Grinover</w:t>
      </w:r>
      <w:proofErr w:type="spellEnd"/>
      <w:r w:rsidRPr="00140736">
        <w:rPr>
          <w:rFonts w:cs="Times New Roman"/>
        </w:rPr>
        <w:t>. São Paulo: DPJ, 2005.</w:t>
      </w:r>
    </w:p>
    <w:p w14:paraId="68C3D5A6" w14:textId="77777777" w:rsidR="00140736" w:rsidRPr="00140736" w:rsidRDefault="00140736" w:rsidP="00140736">
      <w:pPr>
        <w:pStyle w:val="Standard"/>
        <w:spacing w:after="120" w:line="360" w:lineRule="auto"/>
        <w:jc w:val="both"/>
        <w:rPr>
          <w:rFonts w:cs="Times New Roman"/>
        </w:rPr>
      </w:pPr>
      <w:r w:rsidRPr="00140736">
        <w:rPr>
          <w:rFonts w:cs="Times New Roman"/>
        </w:rPr>
        <w:t xml:space="preserve">LOPES, João Batista. </w:t>
      </w:r>
      <w:r w:rsidRPr="00140736">
        <w:rPr>
          <w:rFonts w:cs="Times New Roman"/>
          <w:i/>
          <w:iCs/>
        </w:rPr>
        <w:t>A prova no direito processual civil</w:t>
      </w:r>
      <w:r w:rsidRPr="00140736">
        <w:rPr>
          <w:rFonts w:cs="Times New Roman"/>
        </w:rPr>
        <w:t xml:space="preserve">. 2 ed. rev. atual. e </w:t>
      </w:r>
      <w:proofErr w:type="spellStart"/>
      <w:r w:rsidRPr="00140736">
        <w:rPr>
          <w:rFonts w:cs="Times New Roman"/>
        </w:rPr>
        <w:t>ampl</w:t>
      </w:r>
      <w:proofErr w:type="spellEnd"/>
      <w:r w:rsidRPr="00140736">
        <w:rPr>
          <w:rFonts w:cs="Times New Roman"/>
        </w:rPr>
        <w:t>. São Paulo: Revista dos Tribunais, 2002.</w:t>
      </w:r>
    </w:p>
    <w:p w14:paraId="1B27AD89" w14:textId="586ADA69" w:rsidR="00DB50D2" w:rsidRDefault="00140736" w:rsidP="00140736">
      <w:pPr>
        <w:pStyle w:val="Standard"/>
        <w:spacing w:after="120" w:line="360" w:lineRule="auto"/>
        <w:jc w:val="both"/>
        <w:rPr>
          <w:rFonts w:cs="Times New Roman"/>
        </w:rPr>
      </w:pPr>
      <w:r w:rsidRPr="00140736">
        <w:rPr>
          <w:rFonts w:cs="Times New Roman"/>
        </w:rPr>
        <w:t xml:space="preserve">TALAMINI, Eduardo. </w:t>
      </w:r>
      <w:r w:rsidRPr="00140736">
        <w:rPr>
          <w:rFonts w:cs="Times New Roman"/>
          <w:i/>
          <w:iCs/>
        </w:rPr>
        <w:t>Ônus da prova</w:t>
      </w:r>
      <w:r w:rsidRPr="00140736">
        <w:rPr>
          <w:rFonts w:cs="Times New Roman"/>
        </w:rPr>
        <w:t>. Disponível em: https://www.migalhas.com.br/dePeso/16,MI235364,31047-Onus+da+prova. Acesso em 21.01.2020</w:t>
      </w:r>
      <w:r>
        <w:rPr>
          <w:rFonts w:cs="Times New Roman"/>
        </w:rPr>
        <w:t>.</w:t>
      </w:r>
    </w:p>
    <w:p w14:paraId="68AF0F21" w14:textId="77777777" w:rsidR="000D7FEB" w:rsidRPr="00991B1A" w:rsidRDefault="000D7FEB" w:rsidP="000D7FEB">
      <w:pPr>
        <w:pStyle w:val="Standard"/>
        <w:spacing w:line="360" w:lineRule="auto"/>
        <w:jc w:val="both"/>
        <w:rPr>
          <w:rFonts w:cs="Times New Roman"/>
          <w:b/>
          <w:sz w:val="28"/>
          <w:szCs w:val="28"/>
          <w:lang w:val="en-US"/>
        </w:rPr>
      </w:pPr>
    </w:p>
    <w:p w14:paraId="1BB874AC" w14:textId="77777777" w:rsidR="00435953" w:rsidRPr="00023DF0" w:rsidRDefault="00435953" w:rsidP="009714EE">
      <w:pPr>
        <w:pStyle w:val="Textodenotaderodap"/>
        <w:spacing w:line="360" w:lineRule="auto"/>
        <w:jc w:val="both"/>
        <w:rPr>
          <w:rFonts w:cs="Times New Roman"/>
        </w:rPr>
      </w:pPr>
    </w:p>
    <w:sectPr w:rsidR="00435953" w:rsidRPr="00023DF0" w:rsidSect="006A21C0">
      <w:footerReference w:type="default" r:id="rId8"/>
      <w:pgSz w:w="11905" w:h="16837"/>
      <w:pgMar w:top="1701" w:right="1134" w:bottom="1134" w:left="198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C907" w14:textId="77777777" w:rsidR="00EE2C9F" w:rsidRDefault="00EE2C9F" w:rsidP="00BD1921">
      <w:r>
        <w:separator/>
      </w:r>
    </w:p>
  </w:endnote>
  <w:endnote w:type="continuationSeparator" w:id="0">
    <w:p w14:paraId="4EE5FA15" w14:textId="77777777" w:rsidR="00EE2C9F" w:rsidRDefault="00EE2C9F" w:rsidP="00BD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31534"/>
      <w:docPartObj>
        <w:docPartGallery w:val="Page Numbers (Bottom of Page)"/>
        <w:docPartUnique/>
      </w:docPartObj>
    </w:sdtPr>
    <w:sdtContent>
      <w:p w14:paraId="01E1E08B" w14:textId="77777777" w:rsidR="00627A6B" w:rsidRDefault="00627A6B">
        <w:pPr>
          <w:pStyle w:val="Rodap"/>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516FECD7" w14:textId="77777777" w:rsidR="00627A6B" w:rsidRDefault="00627A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4B89" w14:textId="77777777" w:rsidR="00EE2C9F" w:rsidRDefault="00EE2C9F" w:rsidP="00BD1921">
      <w:r w:rsidRPr="00BD1921">
        <w:rPr>
          <w:color w:val="000000"/>
        </w:rPr>
        <w:separator/>
      </w:r>
    </w:p>
  </w:footnote>
  <w:footnote w:type="continuationSeparator" w:id="0">
    <w:p w14:paraId="13A10793" w14:textId="77777777" w:rsidR="00EE2C9F" w:rsidRDefault="00EE2C9F" w:rsidP="00BD1921">
      <w:r>
        <w:continuationSeparator/>
      </w:r>
    </w:p>
  </w:footnote>
  <w:footnote w:id="1">
    <w:p w14:paraId="4FD1301C" w14:textId="77777777" w:rsidR="00627A6B" w:rsidRPr="00645EE1" w:rsidRDefault="00627A6B" w:rsidP="00E448CB">
      <w:pPr>
        <w:pStyle w:val="Textodenotaderodap"/>
        <w:jc w:val="both"/>
        <w:rPr>
          <w:rFonts w:cs="Times New Roman"/>
        </w:rPr>
      </w:pPr>
      <w:r w:rsidRPr="00645EE1">
        <w:rPr>
          <w:rStyle w:val="Refdenotaderodap"/>
          <w:rFonts w:cs="Times New Roman"/>
        </w:rPr>
        <w:footnoteRef/>
      </w:r>
      <w:r w:rsidRPr="00645EE1">
        <w:rPr>
          <w:rFonts w:cs="Times New Roman"/>
        </w:rPr>
        <w:t xml:space="preserve"> GOMES FILHO, </w:t>
      </w:r>
      <w:proofErr w:type="spellStart"/>
      <w:r w:rsidRPr="00645EE1">
        <w:rPr>
          <w:rFonts w:cs="Times New Roman"/>
        </w:rPr>
        <w:t>Antonio</w:t>
      </w:r>
      <w:proofErr w:type="spellEnd"/>
      <w:r w:rsidRPr="00645EE1">
        <w:rPr>
          <w:rFonts w:cs="Times New Roman"/>
        </w:rPr>
        <w:t xml:space="preserve"> Magalhães. Notas sobre a terminologia da prova: reflexos no processo penal brasileiro. In: YARSHELL, Flávio Luiz. MORAES, Maurício </w:t>
      </w:r>
      <w:proofErr w:type="spellStart"/>
      <w:r w:rsidRPr="00645EE1">
        <w:rPr>
          <w:rFonts w:cs="Times New Roman"/>
        </w:rPr>
        <w:t>Zanoide</w:t>
      </w:r>
      <w:proofErr w:type="spellEnd"/>
      <w:r w:rsidRPr="00645EE1">
        <w:rPr>
          <w:rFonts w:cs="Times New Roman"/>
        </w:rPr>
        <w:t xml:space="preserve">. </w:t>
      </w:r>
      <w:r w:rsidRPr="00645EE1">
        <w:rPr>
          <w:rFonts w:cs="Times New Roman"/>
          <w:i/>
        </w:rPr>
        <w:t xml:space="preserve">Estudos em homenagem à professora Ada Pellegrini </w:t>
      </w:r>
      <w:proofErr w:type="spellStart"/>
      <w:r w:rsidRPr="00645EE1">
        <w:rPr>
          <w:rFonts w:cs="Times New Roman"/>
          <w:i/>
        </w:rPr>
        <w:t>Grinover</w:t>
      </w:r>
      <w:proofErr w:type="spellEnd"/>
      <w:r w:rsidRPr="00645EE1">
        <w:rPr>
          <w:rFonts w:cs="Times New Roman"/>
        </w:rPr>
        <w:t>. São Paulo: DPJ, 2005. p. 303.</w:t>
      </w:r>
    </w:p>
  </w:footnote>
  <w:footnote w:id="2">
    <w:p w14:paraId="2D722B0D" w14:textId="4B931CBA" w:rsidR="00627A6B" w:rsidRDefault="00627A6B" w:rsidP="00E448CB">
      <w:pPr>
        <w:pStyle w:val="Textodenotaderodap"/>
        <w:jc w:val="both"/>
      </w:pPr>
      <w:r>
        <w:rPr>
          <w:rStyle w:val="Refdenotaderodap"/>
        </w:rPr>
        <w:footnoteRef/>
      </w:r>
      <w:r>
        <w:t xml:space="preserve"> “Entende-se por ônus a tarefa atribuída a uma parte, cujo exercício poderá lhe trazer uma situação de vantagem. Portanto, a definição de ônus traz consigo a ideia de risco, na medida em que se o onerado não exercer a sua faculdade assumirá o risco de um resultado contrário aos seus interesses. [...] O conceito de ônus não se confunde com o de obrigação. A relação obrigacional consiste no vínculo jurídico por meio do qual um sujeito pode exigir de outro o cumprimento de uma prestação, sob pena de uma sanção” (AMARAL, Paulo </w:t>
      </w:r>
      <w:proofErr w:type="spellStart"/>
      <w:r>
        <w:t>Osternack</w:t>
      </w:r>
      <w:proofErr w:type="spellEnd"/>
      <w:r>
        <w:t xml:space="preserve">. </w:t>
      </w:r>
      <w:r w:rsidRPr="00AC1189">
        <w:rPr>
          <w:i/>
          <w:iCs/>
        </w:rPr>
        <w:t>Provas</w:t>
      </w:r>
      <w:r>
        <w:t xml:space="preserve">: atipicidade, liberdade e instrumentalidade. 2 ed. São Paulo: Revista dos Tribunais. 2017. p. 44-45). </w:t>
      </w:r>
    </w:p>
  </w:footnote>
  <w:footnote w:id="3">
    <w:p w14:paraId="272F884D" w14:textId="270A2751" w:rsidR="00627A6B" w:rsidRPr="00645EE1" w:rsidRDefault="00627A6B" w:rsidP="00E448CB">
      <w:pPr>
        <w:pStyle w:val="Textodenotaderodap"/>
        <w:jc w:val="both"/>
        <w:rPr>
          <w:rFonts w:cs="Times New Roman"/>
        </w:rPr>
      </w:pPr>
      <w:r w:rsidRPr="00645EE1">
        <w:rPr>
          <w:rStyle w:val="Refdenotaderodap"/>
          <w:rFonts w:cs="Times New Roman"/>
        </w:rPr>
        <w:footnoteRef/>
      </w:r>
      <w:r w:rsidRPr="00645EE1">
        <w:rPr>
          <w:rFonts w:cs="Times New Roman"/>
        </w:rPr>
        <w:t xml:space="preserve"> GOMES FILHO, </w:t>
      </w:r>
      <w:proofErr w:type="spellStart"/>
      <w:r w:rsidRPr="00645EE1">
        <w:rPr>
          <w:rFonts w:cs="Times New Roman"/>
        </w:rPr>
        <w:t>Antonio</w:t>
      </w:r>
      <w:proofErr w:type="spellEnd"/>
      <w:r w:rsidRPr="00645EE1">
        <w:rPr>
          <w:rFonts w:cs="Times New Roman"/>
        </w:rPr>
        <w:t xml:space="preserve"> Magalhães. Notas sobre a terminologia da prova: reflexos no processo penal brasileiro. In: YARSHELL, Flávio Luiz. MORAES, Maurício </w:t>
      </w:r>
      <w:proofErr w:type="spellStart"/>
      <w:r w:rsidRPr="00645EE1">
        <w:rPr>
          <w:rFonts w:cs="Times New Roman"/>
        </w:rPr>
        <w:t>Zanoide</w:t>
      </w:r>
      <w:proofErr w:type="spellEnd"/>
      <w:r w:rsidRPr="00645EE1">
        <w:rPr>
          <w:rFonts w:cs="Times New Roman"/>
        </w:rPr>
        <w:t xml:space="preserve">. </w:t>
      </w:r>
      <w:r w:rsidRPr="00645EE1">
        <w:rPr>
          <w:rFonts w:cs="Times New Roman"/>
          <w:i/>
        </w:rPr>
        <w:t xml:space="preserve">Estudos em homenagem à professora Ada Pellegrini </w:t>
      </w:r>
      <w:proofErr w:type="spellStart"/>
      <w:r w:rsidRPr="00645EE1">
        <w:rPr>
          <w:rFonts w:cs="Times New Roman"/>
          <w:i/>
        </w:rPr>
        <w:t>Grinover</w:t>
      </w:r>
      <w:proofErr w:type="spellEnd"/>
      <w:r w:rsidRPr="00645EE1">
        <w:rPr>
          <w:rFonts w:cs="Times New Roman"/>
        </w:rPr>
        <w:t xml:space="preserve">. São Paulo: DPJ, 2005. p. 305. Ainda nesse sentido: DINAMARCO, Cândido Rangel. </w:t>
      </w:r>
      <w:r w:rsidRPr="00645EE1">
        <w:rPr>
          <w:rFonts w:cs="Times New Roman"/>
          <w:i/>
        </w:rPr>
        <w:t>Instituições de direito processual civil</w:t>
      </w:r>
      <w:r w:rsidRPr="00645EE1">
        <w:rPr>
          <w:rFonts w:cs="Times New Roman"/>
        </w:rPr>
        <w:t xml:space="preserve">. v. III. 6 ed. rev. e atual. São Paulo: Malheiros, 2009. p. 42. Em sentido semelhante: “À demonstração dos fatos (ou melhor, das alegações sobre fatos) é que se dá o nome de prova” (LOPES, João Batista. </w:t>
      </w:r>
      <w:r w:rsidRPr="00645EE1">
        <w:rPr>
          <w:rFonts w:cs="Times New Roman"/>
          <w:i/>
        </w:rPr>
        <w:t>A prova no direito processual civil</w:t>
      </w:r>
      <w:r w:rsidRPr="00645EE1">
        <w:rPr>
          <w:rFonts w:cs="Times New Roman"/>
        </w:rPr>
        <w:t xml:space="preserve">. 2 ed. rev. atual. e </w:t>
      </w:r>
      <w:proofErr w:type="spellStart"/>
      <w:r w:rsidRPr="00645EE1">
        <w:rPr>
          <w:rFonts w:cs="Times New Roman"/>
        </w:rPr>
        <w:t>ampl</w:t>
      </w:r>
      <w:proofErr w:type="spellEnd"/>
      <w:r w:rsidRPr="00645EE1">
        <w:rPr>
          <w:rFonts w:cs="Times New Roman"/>
        </w:rPr>
        <w:t xml:space="preserve">. São Paulo: Revista dos Tribunais, 2002. p. 25). </w:t>
      </w:r>
    </w:p>
  </w:footnote>
  <w:footnote w:id="4">
    <w:p w14:paraId="658CBB8D" w14:textId="77C08A10" w:rsidR="00627A6B" w:rsidRPr="00645EE1" w:rsidRDefault="00627A6B" w:rsidP="00E448CB">
      <w:pPr>
        <w:pStyle w:val="Textodenotaderodap"/>
        <w:jc w:val="both"/>
        <w:rPr>
          <w:rFonts w:cs="Times New Roman"/>
        </w:rPr>
      </w:pPr>
      <w:r w:rsidRPr="00645EE1">
        <w:rPr>
          <w:rStyle w:val="Refdenotaderodap"/>
          <w:rFonts w:cs="Times New Roman"/>
        </w:rPr>
        <w:footnoteRef/>
      </w:r>
      <w:r w:rsidRPr="00645EE1">
        <w:rPr>
          <w:rFonts w:cs="Times New Roman"/>
        </w:rPr>
        <w:t xml:space="preserve"> GOMES FILHO, </w:t>
      </w:r>
      <w:proofErr w:type="spellStart"/>
      <w:r w:rsidRPr="00645EE1">
        <w:rPr>
          <w:rFonts w:cs="Times New Roman"/>
        </w:rPr>
        <w:t>Antonio</w:t>
      </w:r>
      <w:proofErr w:type="spellEnd"/>
      <w:r w:rsidRPr="00645EE1">
        <w:rPr>
          <w:rFonts w:cs="Times New Roman"/>
        </w:rPr>
        <w:t xml:space="preserve"> Magalhães. Notas sobre a terminologia da prova: reflexos no processo penal brasileiro. In: YARSHELL, Flávio Luiz. MORAES, Maurício </w:t>
      </w:r>
      <w:proofErr w:type="spellStart"/>
      <w:r w:rsidRPr="00645EE1">
        <w:rPr>
          <w:rFonts w:cs="Times New Roman"/>
        </w:rPr>
        <w:t>Zanoide</w:t>
      </w:r>
      <w:proofErr w:type="spellEnd"/>
      <w:r w:rsidRPr="00645EE1">
        <w:rPr>
          <w:rFonts w:cs="Times New Roman"/>
        </w:rPr>
        <w:t xml:space="preserve">. </w:t>
      </w:r>
      <w:r w:rsidRPr="00645EE1">
        <w:rPr>
          <w:rFonts w:cs="Times New Roman"/>
          <w:i/>
        </w:rPr>
        <w:t xml:space="preserve">Estudos em homenagem à professora Ada Pellegrini </w:t>
      </w:r>
      <w:proofErr w:type="spellStart"/>
      <w:r w:rsidRPr="00645EE1">
        <w:rPr>
          <w:rFonts w:cs="Times New Roman"/>
          <w:i/>
        </w:rPr>
        <w:t>Grinover</w:t>
      </w:r>
      <w:proofErr w:type="spellEnd"/>
      <w:r w:rsidRPr="00645EE1">
        <w:rPr>
          <w:rFonts w:cs="Times New Roman"/>
        </w:rPr>
        <w:t>. São Paulo: DPJ, 2005. p. 305.</w:t>
      </w:r>
    </w:p>
  </w:footnote>
  <w:footnote w:id="5">
    <w:p w14:paraId="6303F84C" w14:textId="02972B39" w:rsidR="00627A6B" w:rsidRPr="00645EE1" w:rsidRDefault="00627A6B" w:rsidP="00A34FE8">
      <w:pPr>
        <w:pStyle w:val="Textodenotaderodap"/>
        <w:jc w:val="both"/>
        <w:rPr>
          <w:rFonts w:cs="Times New Roman"/>
        </w:rPr>
      </w:pPr>
      <w:r w:rsidRPr="00645EE1">
        <w:rPr>
          <w:rStyle w:val="Refdenotaderodap"/>
          <w:rFonts w:cs="Times New Roman"/>
        </w:rPr>
        <w:footnoteRef/>
      </w:r>
      <w:r>
        <w:rPr>
          <w:rFonts w:cs="Times New Roman"/>
        </w:rPr>
        <w:t xml:space="preserve"> </w:t>
      </w:r>
      <w:r w:rsidRPr="00645EE1">
        <w:rPr>
          <w:rFonts w:cs="Times New Roman"/>
        </w:rPr>
        <w:t xml:space="preserve">GOMES FILHO, </w:t>
      </w:r>
      <w:proofErr w:type="spellStart"/>
      <w:r w:rsidRPr="00645EE1">
        <w:rPr>
          <w:rFonts w:cs="Times New Roman"/>
        </w:rPr>
        <w:t>Antonio</w:t>
      </w:r>
      <w:proofErr w:type="spellEnd"/>
      <w:r w:rsidRPr="00645EE1">
        <w:rPr>
          <w:rFonts w:cs="Times New Roman"/>
        </w:rPr>
        <w:t xml:space="preserve"> Magalhães. Notas sobre a terminologia da prova: reflexos no processo penal brasileiro. In: YARSHELL, Flávio Luiz. MORAES, Maurício </w:t>
      </w:r>
      <w:proofErr w:type="spellStart"/>
      <w:r w:rsidRPr="00645EE1">
        <w:rPr>
          <w:rFonts w:cs="Times New Roman"/>
        </w:rPr>
        <w:t>Zanoide</w:t>
      </w:r>
      <w:proofErr w:type="spellEnd"/>
      <w:r w:rsidRPr="00645EE1">
        <w:rPr>
          <w:rFonts w:cs="Times New Roman"/>
        </w:rPr>
        <w:t xml:space="preserve">. </w:t>
      </w:r>
      <w:r w:rsidRPr="00645EE1">
        <w:rPr>
          <w:rFonts w:cs="Times New Roman"/>
          <w:i/>
        </w:rPr>
        <w:t xml:space="preserve">Estudos em homenagem à professora Ada Pellegrini </w:t>
      </w:r>
      <w:proofErr w:type="spellStart"/>
      <w:r w:rsidRPr="00645EE1">
        <w:rPr>
          <w:rFonts w:cs="Times New Roman"/>
          <w:i/>
        </w:rPr>
        <w:t>Grinover</w:t>
      </w:r>
      <w:proofErr w:type="spellEnd"/>
      <w:r w:rsidRPr="00645EE1">
        <w:rPr>
          <w:rFonts w:cs="Times New Roman"/>
        </w:rPr>
        <w:t>. São Paulo: DPJ, 2005. p. 305</w:t>
      </w:r>
      <w:r>
        <w:rPr>
          <w:rFonts w:cs="Times New Roman"/>
        </w:rPr>
        <w:t>-306</w:t>
      </w:r>
      <w:r w:rsidRPr="00645EE1">
        <w:rPr>
          <w:rFonts w:cs="Times New Roman"/>
        </w:rPr>
        <w:t>.</w:t>
      </w:r>
    </w:p>
  </w:footnote>
  <w:footnote w:id="6">
    <w:p w14:paraId="1F7439D4" w14:textId="564DDAF9" w:rsidR="00627A6B" w:rsidRDefault="00627A6B" w:rsidP="00A34FE8">
      <w:pPr>
        <w:pStyle w:val="Textodenotaderodap"/>
        <w:jc w:val="both"/>
      </w:pPr>
      <w:r>
        <w:rPr>
          <w:rStyle w:val="Refdenotaderodap"/>
        </w:rPr>
        <w:footnoteRef/>
      </w:r>
      <w:r>
        <w:t xml:space="preserve"> “São impeditivos os fatos ou circunstâncias anteriores ou simultâneos ao constitutivo, que lhe impedem a produção dos efeitos que ordinariamente produziria. [...] Em um dispositivo diz o Código Civil que o contrato vincula os contratantes, </w:t>
      </w:r>
      <w:proofErr w:type="gramStart"/>
      <w:r>
        <w:t>sendo portanto</w:t>
      </w:r>
      <w:proofErr w:type="gramEnd"/>
      <w:r>
        <w:t xml:space="preserve"> fato constitutivo de direitos; em outros estabelece que, sendo celebrado por incapaz ou com vício de consentimento, o ato é invalido e não deve produzir os efeitos desejados. [...] Fatos extintivos têm a eficácia de causar a morte dos direitos, </w:t>
      </w:r>
      <w:proofErr w:type="spellStart"/>
      <w:r>
        <w:t>pondo-lhes</w:t>
      </w:r>
      <w:proofErr w:type="spellEnd"/>
      <w:r>
        <w:t xml:space="preserve"> fim à existência quando eles realmente existissem. Tal é a eficácia do pagamento, da prescrição, da remissão de dívida etc.  Os modificativos são responsáveis por alterações objetivas ou subjetivas da relação jurídica substancial, como a novação objetiva ou a cessão de crédito” (</w:t>
      </w:r>
      <w:r w:rsidRPr="00645EE1">
        <w:rPr>
          <w:rFonts w:cs="Times New Roman"/>
        </w:rPr>
        <w:t xml:space="preserve">DINAMARCO, Cândido Rangel. </w:t>
      </w:r>
      <w:r w:rsidRPr="00645EE1">
        <w:rPr>
          <w:rFonts w:cs="Times New Roman"/>
          <w:i/>
        </w:rPr>
        <w:t>Instituições de direito processual civil</w:t>
      </w:r>
      <w:r w:rsidRPr="00645EE1">
        <w:rPr>
          <w:rFonts w:cs="Times New Roman"/>
        </w:rPr>
        <w:t>. v. II. 6 ed. rev. e atual. São Paulo: Malheiros, 2009</w:t>
      </w:r>
      <w:r>
        <w:rPr>
          <w:rFonts w:cs="Times New Roman"/>
        </w:rPr>
        <w:t>. p. 260)</w:t>
      </w:r>
      <w:r w:rsidRPr="00645EE1">
        <w:rPr>
          <w:rFonts w:cs="Times New Roman"/>
        </w:rPr>
        <w:t>.</w:t>
      </w:r>
    </w:p>
  </w:footnote>
  <w:footnote w:id="7">
    <w:p w14:paraId="479FBC7B" w14:textId="5AA7EB6E" w:rsidR="00627A6B" w:rsidRDefault="00627A6B" w:rsidP="00D91E80">
      <w:pPr>
        <w:pStyle w:val="Textodenotaderodap"/>
        <w:jc w:val="both"/>
      </w:pPr>
      <w:r>
        <w:rPr>
          <w:rStyle w:val="Refdenotaderodap"/>
        </w:rPr>
        <w:footnoteRef/>
      </w:r>
      <w:r>
        <w:t xml:space="preserve"> Nesse sentido: “A afirmação contrária, feita pelo réu em contestação, poderá consistir simplesmente em negar o fato, sem propor outra versão; ou em propor outra versão dos fatos, diferente daquela sustentada pelo autor; ou ainda em desenvolver argumentos lógicos destinados a demonstrar que os fatos não poderiam, ou dificilmente poderiam, ter acontecido conforme descritos na petição inicial. Substancialmente, em qualquer dessas hipóteses o réu está a negar o fato constitutivo alegado pelo autor, e daí o ônus probatório lançado sobre este” (</w:t>
      </w:r>
      <w:r w:rsidRPr="00645EE1">
        <w:rPr>
          <w:rFonts w:cs="Times New Roman"/>
        </w:rPr>
        <w:t xml:space="preserve">DINAMARCO, Cândido Rangel. </w:t>
      </w:r>
      <w:r w:rsidRPr="00645EE1">
        <w:rPr>
          <w:rFonts w:cs="Times New Roman"/>
          <w:i/>
        </w:rPr>
        <w:t>Instituições de direito processual civil</w:t>
      </w:r>
      <w:r w:rsidRPr="00645EE1">
        <w:rPr>
          <w:rFonts w:cs="Times New Roman"/>
        </w:rPr>
        <w:t>. v. III. 6 ed. rev. e atual. São Paulo: Malheiros, 2009</w:t>
      </w:r>
      <w:r>
        <w:rPr>
          <w:rFonts w:cs="Times New Roman"/>
        </w:rPr>
        <w:t>. p. 483)</w:t>
      </w:r>
      <w:r>
        <w:t>.</w:t>
      </w:r>
    </w:p>
  </w:footnote>
  <w:footnote w:id="8">
    <w:p w14:paraId="5D2DF7AC" w14:textId="331BCDDF" w:rsidR="00627A6B" w:rsidRDefault="00627A6B" w:rsidP="00D91E80">
      <w:pPr>
        <w:pStyle w:val="Textodenotaderodap"/>
      </w:pPr>
      <w:r>
        <w:rPr>
          <w:rStyle w:val="Refdenotaderodap"/>
        </w:rPr>
        <w:footnoteRef/>
      </w:r>
      <w:r>
        <w:t xml:space="preserve"> </w:t>
      </w:r>
      <w:r w:rsidRPr="00645EE1">
        <w:rPr>
          <w:rFonts w:cs="Times New Roman"/>
        </w:rPr>
        <w:t xml:space="preserve">DINAMARCO, Cândido Rangel. </w:t>
      </w:r>
      <w:r w:rsidRPr="00645EE1">
        <w:rPr>
          <w:rFonts w:cs="Times New Roman"/>
          <w:i/>
        </w:rPr>
        <w:t>Instituições de direito processual civil</w:t>
      </w:r>
      <w:r w:rsidRPr="00645EE1">
        <w:rPr>
          <w:rFonts w:cs="Times New Roman"/>
        </w:rPr>
        <w:t>. v. III. 6 ed. rev. e atual. São Paulo: Malheiros, 2009</w:t>
      </w:r>
      <w:r>
        <w:rPr>
          <w:rFonts w:cs="Times New Roman"/>
        </w:rPr>
        <w:t>. p. 76.</w:t>
      </w:r>
    </w:p>
  </w:footnote>
  <w:footnote w:id="9">
    <w:p w14:paraId="5D6AA4FB" w14:textId="2342ED5F" w:rsidR="00627A6B" w:rsidRDefault="00627A6B" w:rsidP="00D91E80">
      <w:pPr>
        <w:pStyle w:val="Textodenotaderodap"/>
        <w:jc w:val="both"/>
      </w:pPr>
      <w:r>
        <w:rPr>
          <w:rStyle w:val="Refdenotaderodap"/>
        </w:rPr>
        <w:footnoteRef/>
      </w:r>
      <w:r>
        <w:t xml:space="preserve"> “Existem ônus perfeitos e imperfeitos. Perfeito é o ônus cuja inobservância gera necessariamente consequência negativa para o onerado (ex.: ônus de apelar, em regra). Imperfeito é o ônus que pode vir a gerar um resultado desfavorável para a parte: provavelmente gerará, mas eventualmente não (ex.: contestar: nem sempre incide o efeito principal da revelia). O ônus de provar é um ônus imperfeito. A parte que não produz prova que lhe cabia não será, necessariamente, derrotada” (</w:t>
      </w:r>
      <w:bookmarkStart w:id="6" w:name="_Hlk30583534"/>
      <w:r>
        <w:t xml:space="preserve">TALAMINI, Eduardo. </w:t>
      </w:r>
      <w:r w:rsidRPr="00E45985">
        <w:rPr>
          <w:i/>
          <w:iCs/>
        </w:rPr>
        <w:t>Ônus da prova</w:t>
      </w:r>
      <w:r>
        <w:t xml:space="preserve">. Disponível em: </w:t>
      </w:r>
      <w:r w:rsidRPr="00E45985">
        <w:t>https://www.migalhas.com.br/dePeso/16,MI235364,31047-Onus+da+prova</w:t>
      </w:r>
      <w:r>
        <w:t>. Acesso em 21.01.2020</w:t>
      </w:r>
      <w:bookmarkEnd w:id="6"/>
      <w:r w:rsidR="00140736">
        <w:t>)</w:t>
      </w:r>
      <w:r>
        <w:t>.</w:t>
      </w:r>
    </w:p>
  </w:footnote>
  <w:footnote w:id="10">
    <w:p w14:paraId="700F1B9F" w14:textId="06E2D9E6" w:rsidR="00627A6B" w:rsidRDefault="00627A6B" w:rsidP="00D91E80">
      <w:pPr>
        <w:pStyle w:val="Textodenotaderodap"/>
        <w:jc w:val="both"/>
      </w:pPr>
      <w:r>
        <w:rPr>
          <w:rStyle w:val="Refdenotaderodap"/>
        </w:rPr>
        <w:footnoteRef/>
      </w:r>
      <w:r>
        <w:t xml:space="preserve"> AMARAL, Paulo </w:t>
      </w:r>
      <w:proofErr w:type="spellStart"/>
      <w:r>
        <w:t>Osternack</w:t>
      </w:r>
      <w:proofErr w:type="spellEnd"/>
      <w:r>
        <w:t xml:space="preserve">. </w:t>
      </w:r>
      <w:r w:rsidRPr="00AC1189">
        <w:rPr>
          <w:i/>
          <w:iCs/>
        </w:rPr>
        <w:t>Provas</w:t>
      </w:r>
      <w:r>
        <w:t>: atipicidade, liberdade e instrumentalidade. 2 ed. São Paulo: Revista dos Tribunais. 2017. p. 46.</w:t>
      </w:r>
    </w:p>
  </w:footnote>
  <w:footnote w:id="11">
    <w:p w14:paraId="1E5F60A5" w14:textId="2D0AF610" w:rsidR="00627A6B" w:rsidRDefault="00627A6B" w:rsidP="00D91E80">
      <w:pPr>
        <w:pStyle w:val="Textodenotaderodap"/>
        <w:jc w:val="both"/>
      </w:pPr>
      <w:r>
        <w:rPr>
          <w:rStyle w:val="Refdenotaderodap"/>
        </w:rPr>
        <w:footnoteRef/>
      </w:r>
      <w:r>
        <w:t xml:space="preserve"> Nesse sentido: </w:t>
      </w:r>
      <w:proofErr w:type="spellStart"/>
      <w:r>
        <w:t>REsp</w:t>
      </w:r>
      <w:proofErr w:type="spellEnd"/>
      <w:r>
        <w:t xml:space="preserve"> 802.832/MG, Rel. Ministro PAULO DE TARSO SANSEVERINO, SEGUNDA SEÇÃO, julgado em 13/04/2011, </w:t>
      </w:r>
      <w:proofErr w:type="spellStart"/>
      <w:r>
        <w:t>DJe</w:t>
      </w:r>
      <w:proofErr w:type="spellEnd"/>
      <w:r>
        <w:t xml:space="preserve"> 21/09/2011. </w:t>
      </w:r>
      <w:proofErr w:type="spellStart"/>
      <w:r>
        <w:t>EREsp</w:t>
      </w:r>
      <w:proofErr w:type="spellEnd"/>
      <w:r>
        <w:t xml:space="preserve"> 422.778/SP, Rel. Ministro JOÃO OTÁVIO DE NORONHA, Rel. p/ Acórdão Ministra MARIA ISABEL GALLOTTI, SEGUNDA SEÇÃO, julgado em 29/02/2012, </w:t>
      </w:r>
      <w:proofErr w:type="spellStart"/>
      <w:r>
        <w:t>DJe</w:t>
      </w:r>
      <w:proofErr w:type="spellEnd"/>
      <w:r>
        <w:t xml:space="preserve"> 21/06/2012. </w:t>
      </w:r>
      <w:proofErr w:type="spellStart"/>
      <w:r w:rsidRPr="00B26934">
        <w:t>AgRg</w:t>
      </w:r>
      <w:proofErr w:type="spellEnd"/>
      <w:r w:rsidRPr="00B26934">
        <w:t xml:space="preserve"> no </w:t>
      </w:r>
      <w:proofErr w:type="spellStart"/>
      <w:r w:rsidRPr="00B26934">
        <w:t>REsp</w:t>
      </w:r>
      <w:proofErr w:type="spellEnd"/>
      <w:r w:rsidRPr="00B26934">
        <w:t xml:space="preserve"> 1186171/MS, Rel. Ministro LUIS FELIPE SALOMÃO, QUARTA TURMA, julgado em 21/05/2015, </w:t>
      </w:r>
      <w:proofErr w:type="spellStart"/>
      <w:r w:rsidRPr="00B26934">
        <w:t>DJe</w:t>
      </w:r>
      <w:proofErr w:type="spellEnd"/>
      <w:r w:rsidRPr="00B26934">
        <w:t xml:space="preserve"> 27/05/2015</w:t>
      </w:r>
      <w:r>
        <w:t>.</w:t>
      </w:r>
    </w:p>
  </w:footnote>
  <w:footnote w:id="12">
    <w:p w14:paraId="3C37429D" w14:textId="3F2F8CE0" w:rsidR="00627A6B" w:rsidRDefault="00627A6B" w:rsidP="00D91E80">
      <w:pPr>
        <w:pStyle w:val="Textodenotaderodap"/>
        <w:jc w:val="both"/>
      </w:pPr>
      <w:r>
        <w:rPr>
          <w:rStyle w:val="Refdenotaderodap"/>
        </w:rPr>
        <w:footnoteRef/>
      </w:r>
      <w:r>
        <w:t xml:space="preserve"> </w:t>
      </w:r>
      <w:bookmarkStart w:id="9" w:name="_Hlk30583552"/>
      <w:r>
        <w:t xml:space="preserve">BARBOSA MOREIRA, Carlos Roberto. Notas sobre a inversão do ônus da prova em benefício do consumidor. </w:t>
      </w:r>
      <w:r w:rsidRPr="00A148FA">
        <w:rPr>
          <w:i/>
          <w:iCs/>
        </w:rPr>
        <w:t>Revista de Direito do Consumidor</w:t>
      </w:r>
      <w:r>
        <w:t>. v. 22. São Paulo: Revista dos Tribunais</w:t>
      </w:r>
      <w:bookmarkEnd w:id="9"/>
      <w:r w:rsidR="00140736">
        <w:t>, 1997.</w:t>
      </w:r>
      <w:r>
        <w:t xml:space="preserve"> p. 142. </w:t>
      </w:r>
    </w:p>
  </w:footnote>
  <w:footnote w:id="13">
    <w:p w14:paraId="162DA150" w14:textId="109BFC87" w:rsidR="00627A6B" w:rsidRDefault="00627A6B" w:rsidP="00D91E80">
      <w:pPr>
        <w:pStyle w:val="Textodenotaderodap"/>
        <w:jc w:val="both"/>
      </w:pPr>
      <w:r>
        <w:rPr>
          <w:rStyle w:val="Refdenotaderodap"/>
        </w:rPr>
        <w:footnoteRef/>
      </w:r>
      <w:r>
        <w:t xml:space="preserve"> “Nosso atual estágio de evolução social e tecnológica trouxe relevo também para a vulnerabilidade informacional. O que antes podia ser considerado uma espécie de vulnerabilidade técnica, ganhou importância e individualidade com a denominada era da informação ou era digital, período que sucede a era industrial e que se caracteriza pela troca de informações de maneira globalizada e em tempo real. Isso, de um lado, implicou amplo acesso à informação, mas, por outro, conferiu enorme poder àqueles que detêm informações privilegiadas” (</w:t>
      </w:r>
      <w:proofErr w:type="spellStart"/>
      <w:r w:rsidRPr="00A148FA">
        <w:t>REsp</w:t>
      </w:r>
      <w:proofErr w:type="spellEnd"/>
      <w:r w:rsidRPr="00A148FA">
        <w:t xml:space="preserve"> 1195642/RJ, Rel. Ministra NANCY ANDRIGHI, TERCEIRA TURMA, julgado em 13/11/2012, </w:t>
      </w:r>
      <w:proofErr w:type="spellStart"/>
      <w:r w:rsidRPr="00A148FA">
        <w:t>DJe</w:t>
      </w:r>
      <w:proofErr w:type="spellEnd"/>
      <w:r w:rsidRPr="00A148FA">
        <w:t xml:space="preserve"> 21/11/2012</w:t>
      </w:r>
      <w:r>
        <w:t>).</w:t>
      </w:r>
    </w:p>
  </w:footnote>
  <w:footnote w:id="14">
    <w:p w14:paraId="1D297265" w14:textId="3F070E8C" w:rsidR="0080126E" w:rsidRPr="00645EE1" w:rsidRDefault="0080126E" w:rsidP="00D91E80">
      <w:pPr>
        <w:pStyle w:val="Textodenotaderodap"/>
        <w:jc w:val="both"/>
        <w:rPr>
          <w:rFonts w:cs="Times New Roman"/>
        </w:rPr>
      </w:pPr>
      <w:r w:rsidRPr="00645EE1">
        <w:rPr>
          <w:rStyle w:val="Refdenotaderodap"/>
          <w:rFonts w:cs="Times New Roman"/>
        </w:rPr>
        <w:footnoteRef/>
      </w:r>
      <w:r w:rsidRPr="00645EE1">
        <w:rPr>
          <w:rFonts w:cs="Times New Roman"/>
        </w:rPr>
        <w:t xml:space="preserve"> DINAMARCO, Cândido Rangel. </w:t>
      </w:r>
      <w:r w:rsidRPr="00645EE1">
        <w:rPr>
          <w:rFonts w:cs="Times New Roman"/>
          <w:i/>
        </w:rPr>
        <w:t>Instituições de direito processual civil</w:t>
      </w:r>
      <w:r w:rsidRPr="00645EE1">
        <w:rPr>
          <w:rFonts w:cs="Times New Roman"/>
        </w:rPr>
        <w:t>. v. III. 6 ed. rev. e atual. São Paulo: Malheiros, 2009</w:t>
      </w:r>
      <w:r>
        <w:rPr>
          <w:rFonts w:cs="Times New Roman"/>
        </w:rPr>
        <w:t>. p. 6</w:t>
      </w:r>
      <w:r>
        <w:rPr>
          <w:rFonts w:cs="Times New Roman"/>
        </w:rPr>
        <w:t>4</w:t>
      </w:r>
      <w:r>
        <w:rPr>
          <w:rFonts w:cs="Times New Roman"/>
        </w:rPr>
        <w:t>.</w:t>
      </w:r>
    </w:p>
  </w:footnote>
  <w:footnote w:id="15">
    <w:p w14:paraId="5A164E7A" w14:textId="0A73963B" w:rsidR="0080126E" w:rsidRPr="00645EE1" w:rsidRDefault="0080126E" w:rsidP="00D91E80">
      <w:pPr>
        <w:pStyle w:val="Textodenotaderodap"/>
        <w:jc w:val="both"/>
        <w:rPr>
          <w:rFonts w:cs="Times New Roman"/>
        </w:rPr>
      </w:pPr>
      <w:r w:rsidRPr="00645EE1">
        <w:rPr>
          <w:rStyle w:val="Refdenotaderodap"/>
          <w:rFonts w:cs="Times New Roman"/>
        </w:rPr>
        <w:footnoteRef/>
      </w:r>
      <w:r w:rsidRPr="00645EE1">
        <w:rPr>
          <w:rFonts w:cs="Times New Roman"/>
        </w:rPr>
        <w:t xml:space="preserve"> </w:t>
      </w:r>
      <w:bookmarkStart w:id="10" w:name="_Hlk30583659"/>
      <w:r w:rsidRPr="0080126E">
        <w:rPr>
          <w:rFonts w:cs="Times New Roman"/>
        </w:rPr>
        <w:t xml:space="preserve">GOMES FILHO, </w:t>
      </w:r>
      <w:proofErr w:type="spellStart"/>
      <w:r w:rsidRPr="0080126E">
        <w:rPr>
          <w:rFonts w:cs="Times New Roman"/>
        </w:rPr>
        <w:t>Antonio</w:t>
      </w:r>
      <w:proofErr w:type="spellEnd"/>
      <w:r w:rsidRPr="0080126E">
        <w:rPr>
          <w:rFonts w:cs="Times New Roman"/>
        </w:rPr>
        <w:t xml:space="preserve"> Magalhães. </w:t>
      </w:r>
      <w:r w:rsidRPr="0080126E">
        <w:rPr>
          <w:rFonts w:cs="Times New Roman"/>
          <w:i/>
          <w:iCs/>
        </w:rPr>
        <w:t>Direito à prova no processo penal</w:t>
      </w:r>
      <w:r w:rsidRPr="0080126E">
        <w:rPr>
          <w:rFonts w:cs="Times New Roman"/>
        </w:rPr>
        <w:t>. São Paulo: Revista dos Tribunais, 1997.</w:t>
      </w:r>
      <w:bookmarkEnd w:id="10"/>
      <w:r w:rsidRPr="00645EE1">
        <w:rPr>
          <w:rFonts w:cs="Times New Roman"/>
        </w:rPr>
        <w:t xml:space="preserve"> p. 130.</w:t>
      </w:r>
    </w:p>
  </w:footnote>
  <w:footnote w:id="16">
    <w:p w14:paraId="195C71ED" w14:textId="234B0435" w:rsidR="00DB50D2" w:rsidRDefault="00DB50D2" w:rsidP="00D91E80">
      <w:pPr>
        <w:pStyle w:val="Textodenotaderodap"/>
        <w:jc w:val="both"/>
      </w:pPr>
      <w:r>
        <w:rPr>
          <w:rStyle w:val="Refdenotaderodap"/>
        </w:rPr>
        <w:footnoteRef/>
      </w:r>
      <w:r>
        <w:t xml:space="preserve"> Nesse sentido, em análise do CDC, que expressamente se utiliza da expressão “ou”: “Embora o texto legal fale nominalmente em verossimilhança ou hipossuficiência, a leitura correta deve substituir o disjuntivo ou pelo aproximativo e, porque a leitura nominal implicaria inconstitucionalidade do texto: a) favorecer o consumidor abastado transgrediria a garantia da igualdade, ainda quando verossímil o que alega, porque sem o requisito da pobreza não há desigualdades a compensar; b) favorecer o consumidor, rico ou pobre, sem que sua alegação seja verossímil, fecharia ou estreitaria sem motivo a via de acesso à ordem jurídica justa, em relação ao produtor, sujeitando-o aos azares de uma </w:t>
      </w:r>
      <w:proofErr w:type="spellStart"/>
      <w:r w:rsidRPr="00DB50D2">
        <w:rPr>
          <w:i/>
          <w:iCs/>
        </w:rPr>
        <w:t>probatio</w:t>
      </w:r>
      <w:proofErr w:type="spellEnd"/>
      <w:r w:rsidRPr="00DB50D2">
        <w:rPr>
          <w:i/>
          <w:iCs/>
        </w:rPr>
        <w:t xml:space="preserve"> </w:t>
      </w:r>
      <w:proofErr w:type="spellStart"/>
      <w:r w:rsidRPr="00DB50D2">
        <w:rPr>
          <w:i/>
          <w:iCs/>
        </w:rPr>
        <w:t>diab</w:t>
      </w:r>
      <w:r>
        <w:rPr>
          <w:i/>
          <w:iCs/>
        </w:rPr>
        <w:t>o</w:t>
      </w:r>
      <w:r w:rsidRPr="00DB50D2">
        <w:rPr>
          <w:i/>
          <w:iCs/>
        </w:rPr>
        <w:t>lica</w:t>
      </w:r>
      <w:proofErr w:type="spellEnd"/>
      <w:r>
        <w:rPr>
          <w:i/>
          <w:iCs/>
        </w:rPr>
        <w:t xml:space="preserve">” </w:t>
      </w:r>
      <w:r w:rsidRPr="00DB50D2">
        <w:t>(</w:t>
      </w:r>
      <w:r w:rsidRPr="00645EE1">
        <w:rPr>
          <w:rFonts w:cs="Times New Roman"/>
        </w:rPr>
        <w:t xml:space="preserve">DINAMARCO, Cândido Rangel. </w:t>
      </w:r>
      <w:r w:rsidRPr="00645EE1">
        <w:rPr>
          <w:rFonts w:cs="Times New Roman"/>
          <w:i/>
        </w:rPr>
        <w:t>Instituições de direito processual civil</w:t>
      </w:r>
      <w:r w:rsidRPr="00645EE1">
        <w:rPr>
          <w:rFonts w:cs="Times New Roman"/>
        </w:rPr>
        <w:t>. v. III. 6 ed. rev. e atual. São Paulo: Malheiros, 2009</w:t>
      </w:r>
      <w:r>
        <w:rPr>
          <w:rFonts w:cs="Times New Roman"/>
        </w:rPr>
        <w:t xml:space="preserve">. p. </w:t>
      </w:r>
      <w:r>
        <w:rPr>
          <w:rFonts w:cs="Times New Roman"/>
        </w:rPr>
        <w:t>79)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10FA7"/>
    <w:multiLevelType w:val="hybridMultilevel"/>
    <w:tmpl w:val="5D760486"/>
    <w:lvl w:ilvl="0" w:tplc="14CA0D8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21"/>
    <w:rsid w:val="000125EB"/>
    <w:rsid w:val="00013446"/>
    <w:rsid w:val="000138E6"/>
    <w:rsid w:val="00016181"/>
    <w:rsid w:val="00020B1E"/>
    <w:rsid w:val="00023DF0"/>
    <w:rsid w:val="00025DBE"/>
    <w:rsid w:val="00026031"/>
    <w:rsid w:val="00034F8D"/>
    <w:rsid w:val="00036060"/>
    <w:rsid w:val="0004224F"/>
    <w:rsid w:val="000431B3"/>
    <w:rsid w:val="00043507"/>
    <w:rsid w:val="00045AC3"/>
    <w:rsid w:val="0005019F"/>
    <w:rsid w:val="000526BA"/>
    <w:rsid w:val="00057062"/>
    <w:rsid w:val="0005766E"/>
    <w:rsid w:val="00064CBD"/>
    <w:rsid w:val="0007543A"/>
    <w:rsid w:val="00087A41"/>
    <w:rsid w:val="00090414"/>
    <w:rsid w:val="00091BD4"/>
    <w:rsid w:val="00093EE8"/>
    <w:rsid w:val="000A213E"/>
    <w:rsid w:val="000A3DE3"/>
    <w:rsid w:val="000A53A9"/>
    <w:rsid w:val="000A6601"/>
    <w:rsid w:val="000A685C"/>
    <w:rsid w:val="000B330C"/>
    <w:rsid w:val="000B7C4D"/>
    <w:rsid w:val="000C6748"/>
    <w:rsid w:val="000C76DB"/>
    <w:rsid w:val="000D0C36"/>
    <w:rsid w:val="000D446A"/>
    <w:rsid w:val="000D7FEB"/>
    <w:rsid w:val="000E2936"/>
    <w:rsid w:val="000F0B8A"/>
    <w:rsid w:val="000F12F2"/>
    <w:rsid w:val="000F2533"/>
    <w:rsid w:val="000F44EF"/>
    <w:rsid w:val="000F593B"/>
    <w:rsid w:val="000F5AEA"/>
    <w:rsid w:val="000F6A39"/>
    <w:rsid w:val="00106109"/>
    <w:rsid w:val="00112AD9"/>
    <w:rsid w:val="001153FB"/>
    <w:rsid w:val="00115D48"/>
    <w:rsid w:val="00121537"/>
    <w:rsid w:val="0012282C"/>
    <w:rsid w:val="00126090"/>
    <w:rsid w:val="00130902"/>
    <w:rsid w:val="0013115E"/>
    <w:rsid w:val="00136211"/>
    <w:rsid w:val="0013796B"/>
    <w:rsid w:val="00140736"/>
    <w:rsid w:val="001552F6"/>
    <w:rsid w:val="00157AA8"/>
    <w:rsid w:val="00163697"/>
    <w:rsid w:val="00174118"/>
    <w:rsid w:val="00176250"/>
    <w:rsid w:val="0018056D"/>
    <w:rsid w:val="00184026"/>
    <w:rsid w:val="00185C32"/>
    <w:rsid w:val="0019190C"/>
    <w:rsid w:val="001953DE"/>
    <w:rsid w:val="00195EB0"/>
    <w:rsid w:val="001A2386"/>
    <w:rsid w:val="001A5565"/>
    <w:rsid w:val="001A63C1"/>
    <w:rsid w:val="001B003A"/>
    <w:rsid w:val="001B2A4D"/>
    <w:rsid w:val="001B6947"/>
    <w:rsid w:val="001B6C32"/>
    <w:rsid w:val="001B79E4"/>
    <w:rsid w:val="001B7F9B"/>
    <w:rsid w:val="001C3E8F"/>
    <w:rsid w:val="001C43AC"/>
    <w:rsid w:val="001C55C2"/>
    <w:rsid w:val="001C5E1B"/>
    <w:rsid w:val="001C6055"/>
    <w:rsid w:val="001C7AAC"/>
    <w:rsid w:val="001D6465"/>
    <w:rsid w:val="001D6E99"/>
    <w:rsid w:val="001E131F"/>
    <w:rsid w:val="001F06EB"/>
    <w:rsid w:val="001F25E1"/>
    <w:rsid w:val="001F37C7"/>
    <w:rsid w:val="001F4964"/>
    <w:rsid w:val="001F6A1A"/>
    <w:rsid w:val="001F7D07"/>
    <w:rsid w:val="00201725"/>
    <w:rsid w:val="00201B0B"/>
    <w:rsid w:val="00213998"/>
    <w:rsid w:val="00216D39"/>
    <w:rsid w:val="00224086"/>
    <w:rsid w:val="0022702A"/>
    <w:rsid w:val="00230256"/>
    <w:rsid w:val="00230AB1"/>
    <w:rsid w:val="00233176"/>
    <w:rsid w:val="00240DA8"/>
    <w:rsid w:val="00241BF5"/>
    <w:rsid w:val="00242A15"/>
    <w:rsid w:val="00250441"/>
    <w:rsid w:val="002550DF"/>
    <w:rsid w:val="00255221"/>
    <w:rsid w:val="002640C0"/>
    <w:rsid w:val="002646F9"/>
    <w:rsid w:val="002729CA"/>
    <w:rsid w:val="00272B66"/>
    <w:rsid w:val="00277946"/>
    <w:rsid w:val="0028358C"/>
    <w:rsid w:val="0028391F"/>
    <w:rsid w:val="00283FED"/>
    <w:rsid w:val="00293BF4"/>
    <w:rsid w:val="00296A27"/>
    <w:rsid w:val="00297364"/>
    <w:rsid w:val="00297A7C"/>
    <w:rsid w:val="00297E14"/>
    <w:rsid w:val="002A248F"/>
    <w:rsid w:val="002A4ACD"/>
    <w:rsid w:val="002A59F4"/>
    <w:rsid w:val="002A7CCE"/>
    <w:rsid w:val="002B0396"/>
    <w:rsid w:val="002B2BBC"/>
    <w:rsid w:val="002B3DDE"/>
    <w:rsid w:val="002B47C6"/>
    <w:rsid w:val="002B76F9"/>
    <w:rsid w:val="002B7A78"/>
    <w:rsid w:val="002C05B7"/>
    <w:rsid w:val="002C1A93"/>
    <w:rsid w:val="002C2339"/>
    <w:rsid w:val="002C7F52"/>
    <w:rsid w:val="002D6981"/>
    <w:rsid w:val="002D747F"/>
    <w:rsid w:val="002E08AA"/>
    <w:rsid w:val="002E1661"/>
    <w:rsid w:val="002E62F3"/>
    <w:rsid w:val="002E662C"/>
    <w:rsid w:val="002E7C07"/>
    <w:rsid w:val="002F2620"/>
    <w:rsid w:val="002F2AB4"/>
    <w:rsid w:val="002F3B23"/>
    <w:rsid w:val="002F6424"/>
    <w:rsid w:val="002F74FF"/>
    <w:rsid w:val="00302DEF"/>
    <w:rsid w:val="00311B55"/>
    <w:rsid w:val="00312AAC"/>
    <w:rsid w:val="00312FD4"/>
    <w:rsid w:val="0031413D"/>
    <w:rsid w:val="00314148"/>
    <w:rsid w:val="00317239"/>
    <w:rsid w:val="00321FB1"/>
    <w:rsid w:val="0032590D"/>
    <w:rsid w:val="00326B0D"/>
    <w:rsid w:val="00327E94"/>
    <w:rsid w:val="00341F68"/>
    <w:rsid w:val="00342138"/>
    <w:rsid w:val="00342253"/>
    <w:rsid w:val="00343823"/>
    <w:rsid w:val="0034463B"/>
    <w:rsid w:val="00347819"/>
    <w:rsid w:val="003503C2"/>
    <w:rsid w:val="003534ED"/>
    <w:rsid w:val="00354085"/>
    <w:rsid w:val="00354E44"/>
    <w:rsid w:val="003564EB"/>
    <w:rsid w:val="0036138E"/>
    <w:rsid w:val="00366552"/>
    <w:rsid w:val="003671BD"/>
    <w:rsid w:val="0037279B"/>
    <w:rsid w:val="00373073"/>
    <w:rsid w:val="00383206"/>
    <w:rsid w:val="00384F59"/>
    <w:rsid w:val="00391686"/>
    <w:rsid w:val="003941E4"/>
    <w:rsid w:val="003A19D9"/>
    <w:rsid w:val="003A2DAD"/>
    <w:rsid w:val="003A4AA8"/>
    <w:rsid w:val="003A54E3"/>
    <w:rsid w:val="003A5A0A"/>
    <w:rsid w:val="003B0052"/>
    <w:rsid w:val="003B07A4"/>
    <w:rsid w:val="003B266F"/>
    <w:rsid w:val="003B369B"/>
    <w:rsid w:val="003B3A55"/>
    <w:rsid w:val="003C1C08"/>
    <w:rsid w:val="003C4BBB"/>
    <w:rsid w:val="003C5483"/>
    <w:rsid w:val="003C7940"/>
    <w:rsid w:val="003C7BD3"/>
    <w:rsid w:val="003D1E4D"/>
    <w:rsid w:val="003D2C34"/>
    <w:rsid w:val="003D51A8"/>
    <w:rsid w:val="003D580F"/>
    <w:rsid w:val="003D7916"/>
    <w:rsid w:val="003E2992"/>
    <w:rsid w:val="003E2A78"/>
    <w:rsid w:val="003E68BE"/>
    <w:rsid w:val="003E7357"/>
    <w:rsid w:val="003F0D75"/>
    <w:rsid w:val="003F134D"/>
    <w:rsid w:val="003F4F01"/>
    <w:rsid w:val="003F74FD"/>
    <w:rsid w:val="003F7CB3"/>
    <w:rsid w:val="00400A02"/>
    <w:rsid w:val="00401BF8"/>
    <w:rsid w:val="00402679"/>
    <w:rsid w:val="0040537B"/>
    <w:rsid w:val="00414917"/>
    <w:rsid w:val="00417332"/>
    <w:rsid w:val="00423081"/>
    <w:rsid w:val="00424FFE"/>
    <w:rsid w:val="00426641"/>
    <w:rsid w:val="00432AA5"/>
    <w:rsid w:val="00435953"/>
    <w:rsid w:val="0044092D"/>
    <w:rsid w:val="00446285"/>
    <w:rsid w:val="00446ECF"/>
    <w:rsid w:val="004511CA"/>
    <w:rsid w:val="0045493D"/>
    <w:rsid w:val="0045608B"/>
    <w:rsid w:val="00456298"/>
    <w:rsid w:val="00456D85"/>
    <w:rsid w:val="00457443"/>
    <w:rsid w:val="00470ABC"/>
    <w:rsid w:val="00470D55"/>
    <w:rsid w:val="004816FB"/>
    <w:rsid w:val="00487B5E"/>
    <w:rsid w:val="004A2EF4"/>
    <w:rsid w:val="004A4DF3"/>
    <w:rsid w:val="004B1563"/>
    <w:rsid w:val="004B2636"/>
    <w:rsid w:val="004B4F60"/>
    <w:rsid w:val="004B7A45"/>
    <w:rsid w:val="004C383B"/>
    <w:rsid w:val="004C3D5C"/>
    <w:rsid w:val="004C4A00"/>
    <w:rsid w:val="004C55E9"/>
    <w:rsid w:val="004C5BF8"/>
    <w:rsid w:val="004C6D4F"/>
    <w:rsid w:val="004D04E6"/>
    <w:rsid w:val="004E0110"/>
    <w:rsid w:val="004E3094"/>
    <w:rsid w:val="004E3CD0"/>
    <w:rsid w:val="004E4954"/>
    <w:rsid w:val="004E5B00"/>
    <w:rsid w:val="004F28EB"/>
    <w:rsid w:val="004F2B17"/>
    <w:rsid w:val="004F31E0"/>
    <w:rsid w:val="004F5B8F"/>
    <w:rsid w:val="004F5D69"/>
    <w:rsid w:val="004F6B62"/>
    <w:rsid w:val="0050139B"/>
    <w:rsid w:val="005019A2"/>
    <w:rsid w:val="005039D5"/>
    <w:rsid w:val="0050427E"/>
    <w:rsid w:val="00507FDE"/>
    <w:rsid w:val="0051125D"/>
    <w:rsid w:val="00511ABC"/>
    <w:rsid w:val="00512554"/>
    <w:rsid w:val="005129E1"/>
    <w:rsid w:val="00513D05"/>
    <w:rsid w:val="0051718D"/>
    <w:rsid w:val="00524BDE"/>
    <w:rsid w:val="00530802"/>
    <w:rsid w:val="00531D93"/>
    <w:rsid w:val="00533FFC"/>
    <w:rsid w:val="00541A9A"/>
    <w:rsid w:val="00542629"/>
    <w:rsid w:val="0054479D"/>
    <w:rsid w:val="00547548"/>
    <w:rsid w:val="00547650"/>
    <w:rsid w:val="00551018"/>
    <w:rsid w:val="005515B9"/>
    <w:rsid w:val="00553FD4"/>
    <w:rsid w:val="00554202"/>
    <w:rsid w:val="0056070D"/>
    <w:rsid w:val="00567285"/>
    <w:rsid w:val="00570CC9"/>
    <w:rsid w:val="00571764"/>
    <w:rsid w:val="005735BB"/>
    <w:rsid w:val="00576AAC"/>
    <w:rsid w:val="0057796F"/>
    <w:rsid w:val="00580E7D"/>
    <w:rsid w:val="00580F10"/>
    <w:rsid w:val="00581229"/>
    <w:rsid w:val="00594033"/>
    <w:rsid w:val="005959BA"/>
    <w:rsid w:val="005978AF"/>
    <w:rsid w:val="005A1C64"/>
    <w:rsid w:val="005B2D5D"/>
    <w:rsid w:val="005B3A92"/>
    <w:rsid w:val="005B61AA"/>
    <w:rsid w:val="005C0E1E"/>
    <w:rsid w:val="005C42E5"/>
    <w:rsid w:val="005C4C4C"/>
    <w:rsid w:val="005C5DAA"/>
    <w:rsid w:val="005D4966"/>
    <w:rsid w:val="005D5C6E"/>
    <w:rsid w:val="005E2926"/>
    <w:rsid w:val="005E35BA"/>
    <w:rsid w:val="005E495F"/>
    <w:rsid w:val="005E5943"/>
    <w:rsid w:val="005F2249"/>
    <w:rsid w:val="005F247A"/>
    <w:rsid w:val="005F3B78"/>
    <w:rsid w:val="00602776"/>
    <w:rsid w:val="00603EFE"/>
    <w:rsid w:val="00607A0A"/>
    <w:rsid w:val="00613EF4"/>
    <w:rsid w:val="00616B68"/>
    <w:rsid w:val="00617AC6"/>
    <w:rsid w:val="006206D5"/>
    <w:rsid w:val="006236F4"/>
    <w:rsid w:val="0062522A"/>
    <w:rsid w:val="0062539F"/>
    <w:rsid w:val="006253CB"/>
    <w:rsid w:val="00625E86"/>
    <w:rsid w:val="006265BA"/>
    <w:rsid w:val="00627A6B"/>
    <w:rsid w:val="00630780"/>
    <w:rsid w:val="00632FBB"/>
    <w:rsid w:val="006440DB"/>
    <w:rsid w:val="00645333"/>
    <w:rsid w:val="00645EE1"/>
    <w:rsid w:val="00646205"/>
    <w:rsid w:val="00652A61"/>
    <w:rsid w:val="00654C7B"/>
    <w:rsid w:val="00655895"/>
    <w:rsid w:val="0066568A"/>
    <w:rsid w:val="00670638"/>
    <w:rsid w:val="0067120C"/>
    <w:rsid w:val="00674992"/>
    <w:rsid w:val="00674D8B"/>
    <w:rsid w:val="00677476"/>
    <w:rsid w:val="00683953"/>
    <w:rsid w:val="00683A3C"/>
    <w:rsid w:val="006930B9"/>
    <w:rsid w:val="00693A7B"/>
    <w:rsid w:val="00694029"/>
    <w:rsid w:val="006941FB"/>
    <w:rsid w:val="006947A6"/>
    <w:rsid w:val="00695434"/>
    <w:rsid w:val="006A21C0"/>
    <w:rsid w:val="006A4C39"/>
    <w:rsid w:val="006A6E93"/>
    <w:rsid w:val="006A7D81"/>
    <w:rsid w:val="006B27B8"/>
    <w:rsid w:val="006B37FA"/>
    <w:rsid w:val="006C020A"/>
    <w:rsid w:val="006C1295"/>
    <w:rsid w:val="006C3360"/>
    <w:rsid w:val="006C554B"/>
    <w:rsid w:val="006D2925"/>
    <w:rsid w:val="006D4E1D"/>
    <w:rsid w:val="006E1A61"/>
    <w:rsid w:val="006E4553"/>
    <w:rsid w:val="006E5DD9"/>
    <w:rsid w:val="006E6099"/>
    <w:rsid w:val="006E7753"/>
    <w:rsid w:val="006F2B81"/>
    <w:rsid w:val="006F33DB"/>
    <w:rsid w:val="006F7120"/>
    <w:rsid w:val="006F7D04"/>
    <w:rsid w:val="007039E8"/>
    <w:rsid w:val="00706966"/>
    <w:rsid w:val="00711B08"/>
    <w:rsid w:val="00711FAC"/>
    <w:rsid w:val="00714AB1"/>
    <w:rsid w:val="00717123"/>
    <w:rsid w:val="00727364"/>
    <w:rsid w:val="00730B14"/>
    <w:rsid w:val="00730B17"/>
    <w:rsid w:val="00733527"/>
    <w:rsid w:val="00737D27"/>
    <w:rsid w:val="0074215B"/>
    <w:rsid w:val="00750D46"/>
    <w:rsid w:val="007512B4"/>
    <w:rsid w:val="00753340"/>
    <w:rsid w:val="007570FE"/>
    <w:rsid w:val="0076386E"/>
    <w:rsid w:val="007642FA"/>
    <w:rsid w:val="0076438D"/>
    <w:rsid w:val="00765A26"/>
    <w:rsid w:val="0077142C"/>
    <w:rsid w:val="00771A4D"/>
    <w:rsid w:val="007729FE"/>
    <w:rsid w:val="00780593"/>
    <w:rsid w:val="0078787B"/>
    <w:rsid w:val="00790CA8"/>
    <w:rsid w:val="00792F9A"/>
    <w:rsid w:val="00792FC4"/>
    <w:rsid w:val="007A34D0"/>
    <w:rsid w:val="007A4181"/>
    <w:rsid w:val="007A71B4"/>
    <w:rsid w:val="007B13D1"/>
    <w:rsid w:val="007B2CF2"/>
    <w:rsid w:val="007B63ED"/>
    <w:rsid w:val="007C0935"/>
    <w:rsid w:val="007C1FF1"/>
    <w:rsid w:val="007C27D0"/>
    <w:rsid w:val="007C5905"/>
    <w:rsid w:val="007C7DC3"/>
    <w:rsid w:val="007D4155"/>
    <w:rsid w:val="007D4E29"/>
    <w:rsid w:val="007D568A"/>
    <w:rsid w:val="007D5BDF"/>
    <w:rsid w:val="007E0897"/>
    <w:rsid w:val="007F519F"/>
    <w:rsid w:val="007F7966"/>
    <w:rsid w:val="008002AF"/>
    <w:rsid w:val="0080126E"/>
    <w:rsid w:val="00802E41"/>
    <w:rsid w:val="008063B2"/>
    <w:rsid w:val="00807D2B"/>
    <w:rsid w:val="00810D40"/>
    <w:rsid w:val="00814DAC"/>
    <w:rsid w:val="00820215"/>
    <w:rsid w:val="00820DC5"/>
    <w:rsid w:val="00825F0B"/>
    <w:rsid w:val="008278E7"/>
    <w:rsid w:val="00832B79"/>
    <w:rsid w:val="00832F00"/>
    <w:rsid w:val="00837FEE"/>
    <w:rsid w:val="00840DC6"/>
    <w:rsid w:val="0084264F"/>
    <w:rsid w:val="00842CEE"/>
    <w:rsid w:val="008447A9"/>
    <w:rsid w:val="008519A8"/>
    <w:rsid w:val="00853032"/>
    <w:rsid w:val="00853358"/>
    <w:rsid w:val="0086142F"/>
    <w:rsid w:val="0087210E"/>
    <w:rsid w:val="0088380B"/>
    <w:rsid w:val="008865ED"/>
    <w:rsid w:val="00892415"/>
    <w:rsid w:val="008947A2"/>
    <w:rsid w:val="0089707F"/>
    <w:rsid w:val="008A357B"/>
    <w:rsid w:val="008A414A"/>
    <w:rsid w:val="008A4AA9"/>
    <w:rsid w:val="008A6352"/>
    <w:rsid w:val="008B198F"/>
    <w:rsid w:val="008B27BE"/>
    <w:rsid w:val="008C457F"/>
    <w:rsid w:val="008C7D25"/>
    <w:rsid w:val="008D1FAB"/>
    <w:rsid w:val="008D392F"/>
    <w:rsid w:val="008D39BA"/>
    <w:rsid w:val="008D4DB8"/>
    <w:rsid w:val="008E3B00"/>
    <w:rsid w:val="008E3EB7"/>
    <w:rsid w:val="008E4430"/>
    <w:rsid w:val="008F5024"/>
    <w:rsid w:val="008F5A51"/>
    <w:rsid w:val="009003A0"/>
    <w:rsid w:val="00903088"/>
    <w:rsid w:val="009047AE"/>
    <w:rsid w:val="00914C3B"/>
    <w:rsid w:val="009248C5"/>
    <w:rsid w:val="00927EDC"/>
    <w:rsid w:val="00936CD1"/>
    <w:rsid w:val="00937070"/>
    <w:rsid w:val="00946A3E"/>
    <w:rsid w:val="009549CC"/>
    <w:rsid w:val="0095622F"/>
    <w:rsid w:val="009647D5"/>
    <w:rsid w:val="009714EE"/>
    <w:rsid w:val="00971FB2"/>
    <w:rsid w:val="00972A20"/>
    <w:rsid w:val="00975D30"/>
    <w:rsid w:val="009811F1"/>
    <w:rsid w:val="00991B1A"/>
    <w:rsid w:val="0099597C"/>
    <w:rsid w:val="00997FA9"/>
    <w:rsid w:val="009A0789"/>
    <w:rsid w:val="009A13A0"/>
    <w:rsid w:val="009A3044"/>
    <w:rsid w:val="009B6785"/>
    <w:rsid w:val="009C0662"/>
    <w:rsid w:val="009C25BB"/>
    <w:rsid w:val="009C3487"/>
    <w:rsid w:val="009C4A4C"/>
    <w:rsid w:val="009D21D0"/>
    <w:rsid w:val="009D25E6"/>
    <w:rsid w:val="009D4A30"/>
    <w:rsid w:val="009D6938"/>
    <w:rsid w:val="009E4ED4"/>
    <w:rsid w:val="009F6225"/>
    <w:rsid w:val="009F7578"/>
    <w:rsid w:val="00A00F39"/>
    <w:rsid w:val="00A03607"/>
    <w:rsid w:val="00A10B2C"/>
    <w:rsid w:val="00A139F9"/>
    <w:rsid w:val="00A1410B"/>
    <w:rsid w:val="00A148FA"/>
    <w:rsid w:val="00A16F0E"/>
    <w:rsid w:val="00A17F79"/>
    <w:rsid w:val="00A21D6E"/>
    <w:rsid w:val="00A2278D"/>
    <w:rsid w:val="00A2504D"/>
    <w:rsid w:val="00A310DE"/>
    <w:rsid w:val="00A31CC7"/>
    <w:rsid w:val="00A33CC8"/>
    <w:rsid w:val="00A34EDD"/>
    <w:rsid w:val="00A34FE8"/>
    <w:rsid w:val="00A43A0E"/>
    <w:rsid w:val="00A44F66"/>
    <w:rsid w:val="00A4641C"/>
    <w:rsid w:val="00A46AD4"/>
    <w:rsid w:val="00A509B0"/>
    <w:rsid w:val="00A518A6"/>
    <w:rsid w:val="00A51AC3"/>
    <w:rsid w:val="00A51F82"/>
    <w:rsid w:val="00A526BA"/>
    <w:rsid w:val="00A577F3"/>
    <w:rsid w:val="00A60545"/>
    <w:rsid w:val="00A6376A"/>
    <w:rsid w:val="00A63770"/>
    <w:rsid w:val="00A713B8"/>
    <w:rsid w:val="00A716EB"/>
    <w:rsid w:val="00A72031"/>
    <w:rsid w:val="00A77928"/>
    <w:rsid w:val="00A828BA"/>
    <w:rsid w:val="00A851A8"/>
    <w:rsid w:val="00A86EFE"/>
    <w:rsid w:val="00A874BA"/>
    <w:rsid w:val="00A922FC"/>
    <w:rsid w:val="00AA02F1"/>
    <w:rsid w:val="00AA0EA5"/>
    <w:rsid w:val="00AA44FC"/>
    <w:rsid w:val="00AA65C9"/>
    <w:rsid w:val="00AA69AB"/>
    <w:rsid w:val="00AB0946"/>
    <w:rsid w:val="00AB0DA5"/>
    <w:rsid w:val="00AB5E3D"/>
    <w:rsid w:val="00AB6DE5"/>
    <w:rsid w:val="00AC1189"/>
    <w:rsid w:val="00AC5630"/>
    <w:rsid w:val="00AC67BE"/>
    <w:rsid w:val="00AD05C1"/>
    <w:rsid w:val="00AD1BD6"/>
    <w:rsid w:val="00AD2458"/>
    <w:rsid w:val="00AE0A01"/>
    <w:rsid w:val="00AE1245"/>
    <w:rsid w:val="00AE3920"/>
    <w:rsid w:val="00AE3AE5"/>
    <w:rsid w:val="00AF2675"/>
    <w:rsid w:val="00AF30BA"/>
    <w:rsid w:val="00B026DA"/>
    <w:rsid w:val="00B0797A"/>
    <w:rsid w:val="00B079AF"/>
    <w:rsid w:val="00B14703"/>
    <w:rsid w:val="00B1768B"/>
    <w:rsid w:val="00B219FD"/>
    <w:rsid w:val="00B22AB0"/>
    <w:rsid w:val="00B252E5"/>
    <w:rsid w:val="00B26934"/>
    <w:rsid w:val="00B449AF"/>
    <w:rsid w:val="00B55B4B"/>
    <w:rsid w:val="00B55DA8"/>
    <w:rsid w:val="00B568CE"/>
    <w:rsid w:val="00B60346"/>
    <w:rsid w:val="00B622BC"/>
    <w:rsid w:val="00B62C8A"/>
    <w:rsid w:val="00B7111D"/>
    <w:rsid w:val="00B724F7"/>
    <w:rsid w:val="00B752F4"/>
    <w:rsid w:val="00B7580A"/>
    <w:rsid w:val="00B75B39"/>
    <w:rsid w:val="00B81820"/>
    <w:rsid w:val="00B8288C"/>
    <w:rsid w:val="00B8452D"/>
    <w:rsid w:val="00B8687E"/>
    <w:rsid w:val="00B87C08"/>
    <w:rsid w:val="00B92D0D"/>
    <w:rsid w:val="00B971A5"/>
    <w:rsid w:val="00BB43C0"/>
    <w:rsid w:val="00BB5B80"/>
    <w:rsid w:val="00BB5DE1"/>
    <w:rsid w:val="00BB6300"/>
    <w:rsid w:val="00BB651F"/>
    <w:rsid w:val="00BC0FAA"/>
    <w:rsid w:val="00BC2C42"/>
    <w:rsid w:val="00BC7C6E"/>
    <w:rsid w:val="00BD08BA"/>
    <w:rsid w:val="00BD1921"/>
    <w:rsid w:val="00BD1B16"/>
    <w:rsid w:val="00BD35E1"/>
    <w:rsid w:val="00BE0D53"/>
    <w:rsid w:val="00BE182A"/>
    <w:rsid w:val="00BE2FA2"/>
    <w:rsid w:val="00BE52B8"/>
    <w:rsid w:val="00BF0AA8"/>
    <w:rsid w:val="00BF2E92"/>
    <w:rsid w:val="00BF6756"/>
    <w:rsid w:val="00C01490"/>
    <w:rsid w:val="00C071ED"/>
    <w:rsid w:val="00C118E1"/>
    <w:rsid w:val="00C1597D"/>
    <w:rsid w:val="00C163FA"/>
    <w:rsid w:val="00C16567"/>
    <w:rsid w:val="00C21A92"/>
    <w:rsid w:val="00C23DDC"/>
    <w:rsid w:val="00C23FBD"/>
    <w:rsid w:val="00C324C0"/>
    <w:rsid w:val="00C36B36"/>
    <w:rsid w:val="00C408C2"/>
    <w:rsid w:val="00C40918"/>
    <w:rsid w:val="00C420F8"/>
    <w:rsid w:val="00C42FE7"/>
    <w:rsid w:val="00C43122"/>
    <w:rsid w:val="00C43BF3"/>
    <w:rsid w:val="00C43C26"/>
    <w:rsid w:val="00C4706B"/>
    <w:rsid w:val="00C47B72"/>
    <w:rsid w:val="00C51C38"/>
    <w:rsid w:val="00C60E77"/>
    <w:rsid w:val="00C6126F"/>
    <w:rsid w:val="00C623E7"/>
    <w:rsid w:val="00C625E1"/>
    <w:rsid w:val="00C6367E"/>
    <w:rsid w:val="00C64E15"/>
    <w:rsid w:val="00C67306"/>
    <w:rsid w:val="00C71F20"/>
    <w:rsid w:val="00C7531D"/>
    <w:rsid w:val="00C77F92"/>
    <w:rsid w:val="00C83156"/>
    <w:rsid w:val="00C862C3"/>
    <w:rsid w:val="00C933CB"/>
    <w:rsid w:val="00C93C86"/>
    <w:rsid w:val="00C95379"/>
    <w:rsid w:val="00C95765"/>
    <w:rsid w:val="00C97F3D"/>
    <w:rsid w:val="00CA047E"/>
    <w:rsid w:val="00CA15F4"/>
    <w:rsid w:val="00CA2C4A"/>
    <w:rsid w:val="00CA5DE7"/>
    <w:rsid w:val="00CA7682"/>
    <w:rsid w:val="00CB050D"/>
    <w:rsid w:val="00CB0EF4"/>
    <w:rsid w:val="00CB1738"/>
    <w:rsid w:val="00CB31CA"/>
    <w:rsid w:val="00CB3427"/>
    <w:rsid w:val="00CB5698"/>
    <w:rsid w:val="00CB7DB5"/>
    <w:rsid w:val="00CC264D"/>
    <w:rsid w:val="00CC3C6F"/>
    <w:rsid w:val="00CC6B44"/>
    <w:rsid w:val="00CC6DFF"/>
    <w:rsid w:val="00CD45D1"/>
    <w:rsid w:val="00CD751B"/>
    <w:rsid w:val="00CE0F4C"/>
    <w:rsid w:val="00CE1017"/>
    <w:rsid w:val="00CE462E"/>
    <w:rsid w:val="00CE52B4"/>
    <w:rsid w:val="00CE63A3"/>
    <w:rsid w:val="00CE7280"/>
    <w:rsid w:val="00CF75D1"/>
    <w:rsid w:val="00CF7965"/>
    <w:rsid w:val="00D030F3"/>
    <w:rsid w:val="00D05F1B"/>
    <w:rsid w:val="00D05FF9"/>
    <w:rsid w:val="00D06878"/>
    <w:rsid w:val="00D06ED9"/>
    <w:rsid w:val="00D0716B"/>
    <w:rsid w:val="00D07C76"/>
    <w:rsid w:val="00D134C8"/>
    <w:rsid w:val="00D13D30"/>
    <w:rsid w:val="00D143F8"/>
    <w:rsid w:val="00D23180"/>
    <w:rsid w:val="00D24DC5"/>
    <w:rsid w:val="00D26C3D"/>
    <w:rsid w:val="00D353CB"/>
    <w:rsid w:val="00D42B6A"/>
    <w:rsid w:val="00D4307C"/>
    <w:rsid w:val="00D450EC"/>
    <w:rsid w:val="00D478E2"/>
    <w:rsid w:val="00D73657"/>
    <w:rsid w:val="00D73D2D"/>
    <w:rsid w:val="00D81ED5"/>
    <w:rsid w:val="00D85940"/>
    <w:rsid w:val="00D85EFD"/>
    <w:rsid w:val="00D87171"/>
    <w:rsid w:val="00D90749"/>
    <w:rsid w:val="00D91E80"/>
    <w:rsid w:val="00D94F2D"/>
    <w:rsid w:val="00DA0AA7"/>
    <w:rsid w:val="00DB1A6A"/>
    <w:rsid w:val="00DB50D2"/>
    <w:rsid w:val="00DC2A3A"/>
    <w:rsid w:val="00DC4DF5"/>
    <w:rsid w:val="00DD02DA"/>
    <w:rsid w:val="00DD1368"/>
    <w:rsid w:val="00DD15B6"/>
    <w:rsid w:val="00DD16E4"/>
    <w:rsid w:val="00DD1B9D"/>
    <w:rsid w:val="00DD386D"/>
    <w:rsid w:val="00DD5BB1"/>
    <w:rsid w:val="00DD7596"/>
    <w:rsid w:val="00DE0AB6"/>
    <w:rsid w:val="00DE4973"/>
    <w:rsid w:val="00DE6150"/>
    <w:rsid w:val="00DE68A6"/>
    <w:rsid w:val="00DE7B3F"/>
    <w:rsid w:val="00DE7FF1"/>
    <w:rsid w:val="00DF15DC"/>
    <w:rsid w:val="00DF1CA8"/>
    <w:rsid w:val="00E00743"/>
    <w:rsid w:val="00E027D7"/>
    <w:rsid w:val="00E03297"/>
    <w:rsid w:val="00E1260C"/>
    <w:rsid w:val="00E167B0"/>
    <w:rsid w:val="00E17553"/>
    <w:rsid w:val="00E27910"/>
    <w:rsid w:val="00E314C4"/>
    <w:rsid w:val="00E35DB3"/>
    <w:rsid w:val="00E42895"/>
    <w:rsid w:val="00E429AA"/>
    <w:rsid w:val="00E448CB"/>
    <w:rsid w:val="00E45985"/>
    <w:rsid w:val="00E45BD0"/>
    <w:rsid w:val="00E46726"/>
    <w:rsid w:val="00E553BE"/>
    <w:rsid w:val="00E55606"/>
    <w:rsid w:val="00E556B9"/>
    <w:rsid w:val="00E574D3"/>
    <w:rsid w:val="00E601A6"/>
    <w:rsid w:val="00E61BE0"/>
    <w:rsid w:val="00E6517A"/>
    <w:rsid w:val="00E701C0"/>
    <w:rsid w:val="00E72E42"/>
    <w:rsid w:val="00E74CC5"/>
    <w:rsid w:val="00E75C30"/>
    <w:rsid w:val="00E77CF0"/>
    <w:rsid w:val="00E826AD"/>
    <w:rsid w:val="00E8786C"/>
    <w:rsid w:val="00EA4436"/>
    <w:rsid w:val="00EA6B1D"/>
    <w:rsid w:val="00EB056E"/>
    <w:rsid w:val="00EB2CE3"/>
    <w:rsid w:val="00EB393D"/>
    <w:rsid w:val="00EB4638"/>
    <w:rsid w:val="00EB573B"/>
    <w:rsid w:val="00EB6EB4"/>
    <w:rsid w:val="00EC090B"/>
    <w:rsid w:val="00EC5550"/>
    <w:rsid w:val="00ED2789"/>
    <w:rsid w:val="00EE07D3"/>
    <w:rsid w:val="00EE1500"/>
    <w:rsid w:val="00EE2811"/>
    <w:rsid w:val="00EE2C9F"/>
    <w:rsid w:val="00EE3D79"/>
    <w:rsid w:val="00EE6F79"/>
    <w:rsid w:val="00EE7444"/>
    <w:rsid w:val="00EF3F32"/>
    <w:rsid w:val="00EF435E"/>
    <w:rsid w:val="00EF61A7"/>
    <w:rsid w:val="00F0202B"/>
    <w:rsid w:val="00F108C8"/>
    <w:rsid w:val="00F126D7"/>
    <w:rsid w:val="00F134C4"/>
    <w:rsid w:val="00F15688"/>
    <w:rsid w:val="00F24BD0"/>
    <w:rsid w:val="00F2544A"/>
    <w:rsid w:val="00F315A9"/>
    <w:rsid w:val="00F319CB"/>
    <w:rsid w:val="00F32854"/>
    <w:rsid w:val="00F40735"/>
    <w:rsid w:val="00F40758"/>
    <w:rsid w:val="00F40795"/>
    <w:rsid w:val="00F40BC9"/>
    <w:rsid w:val="00F43B8A"/>
    <w:rsid w:val="00F4779B"/>
    <w:rsid w:val="00F4786C"/>
    <w:rsid w:val="00F570FF"/>
    <w:rsid w:val="00F63E4C"/>
    <w:rsid w:val="00F652AC"/>
    <w:rsid w:val="00F67F69"/>
    <w:rsid w:val="00F70AFB"/>
    <w:rsid w:val="00F73D5B"/>
    <w:rsid w:val="00F815FF"/>
    <w:rsid w:val="00F825D2"/>
    <w:rsid w:val="00F8361D"/>
    <w:rsid w:val="00F856B6"/>
    <w:rsid w:val="00F87608"/>
    <w:rsid w:val="00F91282"/>
    <w:rsid w:val="00F917D9"/>
    <w:rsid w:val="00F93DEA"/>
    <w:rsid w:val="00FA0C11"/>
    <w:rsid w:val="00FA3D5B"/>
    <w:rsid w:val="00FB1A18"/>
    <w:rsid w:val="00FB2A77"/>
    <w:rsid w:val="00FB525E"/>
    <w:rsid w:val="00FB5F0C"/>
    <w:rsid w:val="00FC43EF"/>
    <w:rsid w:val="00FD25C2"/>
    <w:rsid w:val="00FD52D5"/>
    <w:rsid w:val="00FD6955"/>
    <w:rsid w:val="00FE05E4"/>
    <w:rsid w:val="00FF4069"/>
    <w:rsid w:val="00FF4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7A28"/>
  <w15:docId w15:val="{1C48D41D-0214-4288-87B6-375F4CA5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50D"/>
  </w:style>
  <w:style w:type="paragraph" w:styleId="Ttulo1">
    <w:name w:val="heading 1"/>
    <w:basedOn w:val="Normal"/>
    <w:next w:val="Normal"/>
    <w:link w:val="Ttulo1Char"/>
    <w:uiPriority w:val="9"/>
    <w:qFormat/>
    <w:rsid w:val="00790C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645EE1"/>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BD1921"/>
  </w:style>
  <w:style w:type="paragraph" w:styleId="Ttulo">
    <w:name w:val="Title"/>
    <w:basedOn w:val="Standard"/>
    <w:next w:val="Textbody"/>
    <w:rsid w:val="00BD1921"/>
    <w:pPr>
      <w:keepNext/>
      <w:spacing w:before="240" w:after="120"/>
    </w:pPr>
    <w:rPr>
      <w:rFonts w:ascii="Arial" w:eastAsia="MS Mincho" w:hAnsi="Arial"/>
      <w:sz w:val="28"/>
      <w:szCs w:val="28"/>
    </w:rPr>
  </w:style>
  <w:style w:type="paragraph" w:customStyle="1" w:styleId="Textbody">
    <w:name w:val="Text body"/>
    <w:basedOn w:val="Standard"/>
    <w:rsid w:val="00BD1921"/>
    <w:pPr>
      <w:spacing w:after="120"/>
    </w:pPr>
  </w:style>
  <w:style w:type="paragraph" w:styleId="Lista">
    <w:name w:val="List"/>
    <w:basedOn w:val="Textbody"/>
    <w:rsid w:val="00BD1921"/>
  </w:style>
  <w:style w:type="paragraph" w:customStyle="1" w:styleId="Legenda1">
    <w:name w:val="Legenda1"/>
    <w:basedOn w:val="Standard"/>
    <w:rsid w:val="00BD1921"/>
    <w:pPr>
      <w:suppressLineNumbers/>
      <w:spacing w:before="120" w:after="120"/>
    </w:pPr>
    <w:rPr>
      <w:i/>
      <w:iCs/>
    </w:rPr>
  </w:style>
  <w:style w:type="paragraph" w:customStyle="1" w:styleId="Index">
    <w:name w:val="Index"/>
    <w:basedOn w:val="Standard"/>
    <w:rsid w:val="00BD1921"/>
    <w:pPr>
      <w:suppressLineNumbers/>
    </w:pPr>
  </w:style>
  <w:style w:type="paragraph" w:customStyle="1" w:styleId="Footnote">
    <w:name w:val="Footnote"/>
    <w:basedOn w:val="Standard"/>
    <w:rsid w:val="00BD1921"/>
    <w:pPr>
      <w:suppressLineNumbers/>
      <w:ind w:left="283" w:hanging="283"/>
    </w:pPr>
    <w:rPr>
      <w:sz w:val="20"/>
      <w:szCs w:val="20"/>
    </w:rPr>
  </w:style>
  <w:style w:type="character" w:customStyle="1" w:styleId="NumberingSymbols">
    <w:name w:val="Numbering Symbols"/>
    <w:rsid w:val="00BD1921"/>
  </w:style>
  <w:style w:type="character" w:customStyle="1" w:styleId="FootnoteSymbol">
    <w:name w:val="Footnote Symbol"/>
    <w:rsid w:val="00BD1921"/>
  </w:style>
  <w:style w:type="character" w:customStyle="1" w:styleId="Footnoteanchor">
    <w:name w:val="Footnote anchor"/>
    <w:rsid w:val="00BD1921"/>
    <w:rPr>
      <w:position w:val="0"/>
      <w:vertAlign w:val="superscript"/>
    </w:rPr>
  </w:style>
  <w:style w:type="character" w:styleId="Refdenotaderodap">
    <w:name w:val="footnote reference"/>
    <w:basedOn w:val="Fontepargpadro"/>
    <w:uiPriority w:val="99"/>
    <w:semiHidden/>
    <w:unhideWhenUsed/>
    <w:rsid w:val="00BD1921"/>
    <w:rPr>
      <w:vertAlign w:val="superscript"/>
    </w:rPr>
  </w:style>
  <w:style w:type="paragraph" w:styleId="Textodenotaderodap">
    <w:name w:val="footnote text"/>
    <w:basedOn w:val="Normal"/>
    <w:link w:val="TextodenotaderodapChar"/>
    <w:uiPriority w:val="99"/>
    <w:unhideWhenUsed/>
    <w:rsid w:val="00020B1E"/>
    <w:rPr>
      <w:sz w:val="20"/>
      <w:szCs w:val="20"/>
    </w:rPr>
  </w:style>
  <w:style w:type="character" w:customStyle="1" w:styleId="TextodenotaderodapChar">
    <w:name w:val="Texto de nota de rodapé Char"/>
    <w:basedOn w:val="Fontepargpadro"/>
    <w:link w:val="Textodenotaderodap"/>
    <w:uiPriority w:val="99"/>
    <w:rsid w:val="00020B1E"/>
    <w:rPr>
      <w:sz w:val="20"/>
      <w:szCs w:val="20"/>
    </w:rPr>
  </w:style>
  <w:style w:type="paragraph" w:styleId="PargrafodaLista">
    <w:name w:val="List Paragraph"/>
    <w:basedOn w:val="Normal"/>
    <w:uiPriority w:val="34"/>
    <w:qFormat/>
    <w:rsid w:val="00B8452D"/>
    <w:pPr>
      <w:widowControl/>
      <w:suppressAutoHyphens w:val="0"/>
      <w:autoSpaceDN/>
      <w:ind w:left="720"/>
      <w:contextualSpacing/>
      <w:textAlignment w:val="auto"/>
    </w:pPr>
    <w:rPr>
      <w:rFonts w:eastAsia="Times New Roman" w:cs="Times New Roman"/>
      <w:kern w:val="0"/>
    </w:rPr>
  </w:style>
  <w:style w:type="paragraph" w:styleId="Cabealho">
    <w:name w:val="header"/>
    <w:basedOn w:val="Normal"/>
    <w:link w:val="CabealhoChar"/>
    <w:uiPriority w:val="99"/>
    <w:semiHidden/>
    <w:unhideWhenUsed/>
    <w:rsid w:val="006A21C0"/>
    <w:pPr>
      <w:tabs>
        <w:tab w:val="center" w:pos="4513"/>
        <w:tab w:val="right" w:pos="9026"/>
      </w:tabs>
    </w:pPr>
  </w:style>
  <w:style w:type="character" w:customStyle="1" w:styleId="CabealhoChar">
    <w:name w:val="Cabeçalho Char"/>
    <w:basedOn w:val="Fontepargpadro"/>
    <w:link w:val="Cabealho"/>
    <w:uiPriority w:val="99"/>
    <w:semiHidden/>
    <w:rsid w:val="006A21C0"/>
  </w:style>
  <w:style w:type="paragraph" w:styleId="Rodap">
    <w:name w:val="footer"/>
    <w:basedOn w:val="Normal"/>
    <w:link w:val="RodapChar"/>
    <w:uiPriority w:val="99"/>
    <w:unhideWhenUsed/>
    <w:rsid w:val="006A21C0"/>
    <w:pPr>
      <w:tabs>
        <w:tab w:val="center" w:pos="4513"/>
        <w:tab w:val="right" w:pos="9026"/>
      </w:tabs>
    </w:pPr>
  </w:style>
  <w:style w:type="character" w:customStyle="1" w:styleId="RodapChar">
    <w:name w:val="Rodapé Char"/>
    <w:basedOn w:val="Fontepargpadro"/>
    <w:link w:val="Rodap"/>
    <w:uiPriority w:val="99"/>
    <w:rsid w:val="006A21C0"/>
  </w:style>
  <w:style w:type="character" w:styleId="Refdecomentrio">
    <w:name w:val="annotation reference"/>
    <w:basedOn w:val="Fontepargpadro"/>
    <w:uiPriority w:val="99"/>
    <w:semiHidden/>
    <w:unhideWhenUsed/>
    <w:rsid w:val="006E4553"/>
    <w:rPr>
      <w:sz w:val="16"/>
      <w:szCs w:val="16"/>
    </w:rPr>
  </w:style>
  <w:style w:type="paragraph" w:styleId="Textodecomentrio">
    <w:name w:val="annotation text"/>
    <w:basedOn w:val="Normal"/>
    <w:link w:val="TextodecomentrioChar"/>
    <w:uiPriority w:val="99"/>
    <w:semiHidden/>
    <w:unhideWhenUsed/>
    <w:rsid w:val="006E4553"/>
    <w:rPr>
      <w:sz w:val="20"/>
      <w:szCs w:val="20"/>
    </w:rPr>
  </w:style>
  <w:style w:type="character" w:customStyle="1" w:styleId="TextodecomentrioChar">
    <w:name w:val="Texto de comentário Char"/>
    <w:basedOn w:val="Fontepargpadro"/>
    <w:link w:val="Textodecomentrio"/>
    <w:uiPriority w:val="99"/>
    <w:semiHidden/>
    <w:rsid w:val="006E4553"/>
    <w:rPr>
      <w:sz w:val="20"/>
      <w:szCs w:val="20"/>
    </w:rPr>
  </w:style>
  <w:style w:type="paragraph" w:styleId="Assuntodocomentrio">
    <w:name w:val="annotation subject"/>
    <w:basedOn w:val="Textodecomentrio"/>
    <w:next w:val="Textodecomentrio"/>
    <w:link w:val="AssuntodocomentrioChar"/>
    <w:uiPriority w:val="99"/>
    <w:semiHidden/>
    <w:unhideWhenUsed/>
    <w:rsid w:val="006E4553"/>
    <w:rPr>
      <w:b/>
      <w:bCs/>
    </w:rPr>
  </w:style>
  <w:style w:type="character" w:customStyle="1" w:styleId="AssuntodocomentrioChar">
    <w:name w:val="Assunto do comentário Char"/>
    <w:basedOn w:val="TextodecomentrioChar"/>
    <w:link w:val="Assuntodocomentrio"/>
    <w:uiPriority w:val="99"/>
    <w:semiHidden/>
    <w:rsid w:val="006E4553"/>
    <w:rPr>
      <w:b/>
      <w:bCs/>
      <w:sz w:val="20"/>
      <w:szCs w:val="20"/>
    </w:rPr>
  </w:style>
  <w:style w:type="paragraph" w:styleId="Textodebalo">
    <w:name w:val="Balloon Text"/>
    <w:basedOn w:val="Normal"/>
    <w:link w:val="TextodebaloChar"/>
    <w:uiPriority w:val="99"/>
    <w:semiHidden/>
    <w:unhideWhenUsed/>
    <w:rsid w:val="006E4553"/>
    <w:rPr>
      <w:rFonts w:ascii="Tahoma" w:hAnsi="Tahoma"/>
      <w:sz w:val="16"/>
      <w:szCs w:val="16"/>
    </w:rPr>
  </w:style>
  <w:style w:type="character" w:customStyle="1" w:styleId="TextodebaloChar">
    <w:name w:val="Texto de balão Char"/>
    <w:basedOn w:val="Fontepargpadro"/>
    <w:link w:val="Textodebalo"/>
    <w:uiPriority w:val="99"/>
    <w:semiHidden/>
    <w:rsid w:val="006E4553"/>
    <w:rPr>
      <w:rFonts w:ascii="Tahoma" w:hAnsi="Tahoma"/>
      <w:sz w:val="16"/>
      <w:szCs w:val="16"/>
    </w:rPr>
  </w:style>
  <w:style w:type="character" w:styleId="Hyperlink">
    <w:name w:val="Hyperlink"/>
    <w:basedOn w:val="Fontepargpadro"/>
    <w:uiPriority w:val="99"/>
    <w:unhideWhenUsed/>
    <w:rsid w:val="009C4A4C"/>
    <w:rPr>
      <w:color w:val="0000FF" w:themeColor="hyperlink"/>
      <w:u w:val="single"/>
    </w:rPr>
  </w:style>
  <w:style w:type="character" w:customStyle="1" w:styleId="Ttulo1Char">
    <w:name w:val="Título 1 Char"/>
    <w:basedOn w:val="Fontepargpadro"/>
    <w:link w:val="Ttulo1"/>
    <w:uiPriority w:val="9"/>
    <w:rsid w:val="00790CA8"/>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790CA8"/>
    <w:pPr>
      <w:widowControl/>
      <w:suppressAutoHyphens w:val="0"/>
      <w:autoSpaceDN/>
      <w:spacing w:line="276" w:lineRule="auto"/>
      <w:textAlignment w:val="auto"/>
      <w:outlineLvl w:val="9"/>
    </w:pPr>
    <w:rPr>
      <w:kern w:val="0"/>
      <w:lang w:eastAsia="en-US"/>
    </w:rPr>
  </w:style>
  <w:style w:type="paragraph" w:styleId="Sumrio1">
    <w:name w:val="toc 1"/>
    <w:basedOn w:val="Normal"/>
    <w:next w:val="Normal"/>
    <w:autoRedefine/>
    <w:uiPriority w:val="39"/>
    <w:unhideWhenUsed/>
    <w:rsid w:val="00554202"/>
    <w:pPr>
      <w:tabs>
        <w:tab w:val="right" w:leader="dot" w:pos="8776"/>
      </w:tabs>
      <w:spacing w:line="360" w:lineRule="auto"/>
      <w:jc w:val="both"/>
    </w:pPr>
  </w:style>
  <w:style w:type="paragraph" w:styleId="Sumrio2">
    <w:name w:val="toc 2"/>
    <w:basedOn w:val="Normal"/>
    <w:next w:val="Normal"/>
    <w:autoRedefine/>
    <w:uiPriority w:val="39"/>
    <w:unhideWhenUsed/>
    <w:rsid w:val="00554202"/>
    <w:pPr>
      <w:spacing w:after="100"/>
      <w:ind w:left="240"/>
    </w:pPr>
  </w:style>
  <w:style w:type="character" w:customStyle="1" w:styleId="Ttulo3Char">
    <w:name w:val="Título 3 Char"/>
    <w:basedOn w:val="Fontepargpadro"/>
    <w:link w:val="Ttulo3"/>
    <w:uiPriority w:val="9"/>
    <w:semiHidden/>
    <w:rsid w:val="00645EE1"/>
    <w:rPr>
      <w:rFonts w:asciiTheme="majorHAnsi" w:eastAsiaTheme="majorEastAsia" w:hAnsiTheme="majorHAnsi" w:cstheme="majorBidi"/>
      <w:b/>
      <w:bCs/>
      <w:color w:val="4F81BD" w:themeColor="accent1"/>
    </w:rPr>
  </w:style>
  <w:style w:type="paragraph" w:styleId="Sumrio3">
    <w:name w:val="toc 3"/>
    <w:basedOn w:val="Normal"/>
    <w:next w:val="Normal"/>
    <w:autoRedefine/>
    <w:uiPriority w:val="39"/>
    <w:unhideWhenUsed/>
    <w:rsid w:val="00645EE1"/>
    <w:pPr>
      <w:spacing w:after="100"/>
      <w:ind w:left="480"/>
    </w:pPr>
  </w:style>
  <w:style w:type="character" w:styleId="MenoPendente">
    <w:name w:val="Unresolved Mention"/>
    <w:basedOn w:val="Fontepargpadro"/>
    <w:uiPriority w:val="99"/>
    <w:semiHidden/>
    <w:unhideWhenUsed/>
    <w:rsid w:val="00E45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3529">
      <w:bodyDiv w:val="1"/>
      <w:marLeft w:val="0"/>
      <w:marRight w:val="0"/>
      <w:marTop w:val="0"/>
      <w:marBottom w:val="0"/>
      <w:divBdr>
        <w:top w:val="none" w:sz="0" w:space="0" w:color="auto"/>
        <w:left w:val="none" w:sz="0" w:space="0" w:color="auto"/>
        <w:bottom w:val="none" w:sz="0" w:space="0" w:color="auto"/>
        <w:right w:val="none" w:sz="0" w:space="0" w:color="auto"/>
      </w:divBdr>
    </w:div>
    <w:div w:id="211019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E7B15-33F3-401D-B9EB-F2010B43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Pages>
  <Words>2657</Words>
  <Characters>14353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de Mesquita Laux</dc:creator>
  <cp:lastModifiedBy>Francisco Laux</cp:lastModifiedBy>
  <cp:revision>14</cp:revision>
  <cp:lastPrinted>2018-06-28T17:58:00Z</cp:lastPrinted>
  <dcterms:created xsi:type="dcterms:W3CDTF">2020-01-21T16:01:00Z</dcterms:created>
  <dcterms:modified xsi:type="dcterms:W3CDTF">2020-01-22T14:09:00Z</dcterms:modified>
</cp:coreProperties>
</file>