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E0040" w14:textId="77777777" w:rsidR="00170F05" w:rsidRDefault="00170F05">
      <w:pPr>
        <w:pStyle w:val="Corpodetexto"/>
        <w:rPr>
          <w:rFonts w:ascii="Times New Roman"/>
          <w:sz w:val="20"/>
        </w:rPr>
      </w:pPr>
    </w:p>
    <w:p w14:paraId="00FE0041" w14:textId="7FA7912E" w:rsidR="00170F05" w:rsidRDefault="00CF3335" w:rsidP="00C66DC1">
      <w:pPr>
        <w:pStyle w:val="Corpodetexto"/>
        <w:jc w:val="both"/>
        <w:rPr>
          <w:rFonts w:ascii="Times New Roman"/>
          <w:sz w:val="20"/>
        </w:rPr>
      </w:pPr>
      <w:r>
        <w:rPr>
          <w:rFonts w:ascii="Times New Roman"/>
          <w:sz w:val="20"/>
        </w:rPr>
        <w:t>Esse texto foi extra</w:t>
      </w:r>
      <w:r>
        <w:rPr>
          <w:rFonts w:ascii="Times New Roman"/>
          <w:sz w:val="20"/>
        </w:rPr>
        <w:t>í</w:t>
      </w:r>
      <w:r>
        <w:rPr>
          <w:rFonts w:ascii="Times New Roman"/>
          <w:sz w:val="20"/>
        </w:rPr>
        <w:t xml:space="preserve">do da monografia da aluna </w:t>
      </w:r>
      <w:r w:rsidR="007731A3" w:rsidRPr="007731A3">
        <w:rPr>
          <w:rFonts w:ascii="Times New Roman"/>
          <w:sz w:val="20"/>
        </w:rPr>
        <w:t>GERALDA DE F</w:t>
      </w:r>
      <w:r w:rsidR="007731A3" w:rsidRPr="007731A3">
        <w:rPr>
          <w:rFonts w:ascii="Times New Roman"/>
          <w:sz w:val="20"/>
        </w:rPr>
        <w:t>Á</w:t>
      </w:r>
      <w:r w:rsidR="007731A3" w:rsidRPr="007731A3">
        <w:rPr>
          <w:rFonts w:ascii="Times New Roman"/>
          <w:sz w:val="20"/>
        </w:rPr>
        <w:t>TIMA GUERRA LAGES</w:t>
      </w:r>
      <w:r w:rsidR="00C66DC1">
        <w:rPr>
          <w:rFonts w:ascii="Times New Roman"/>
          <w:sz w:val="20"/>
        </w:rPr>
        <w:t xml:space="preserve"> da UFMG</w:t>
      </w:r>
      <w:r w:rsidR="007731A3">
        <w:rPr>
          <w:rFonts w:ascii="Times New Roman"/>
          <w:sz w:val="20"/>
        </w:rPr>
        <w:t xml:space="preserve"> intitulada </w:t>
      </w:r>
      <w:r w:rsidR="007731A3" w:rsidRPr="007731A3">
        <w:rPr>
          <w:rFonts w:ascii="Times New Roman"/>
          <w:sz w:val="20"/>
        </w:rPr>
        <w:t>CONTROLE DE QUALIDADE EM HEMATOLOGIA:</w:t>
      </w:r>
      <w:r w:rsidR="007731A3">
        <w:rPr>
          <w:rFonts w:ascii="Times New Roman"/>
          <w:sz w:val="20"/>
        </w:rPr>
        <w:t xml:space="preserve"> </w:t>
      </w:r>
      <w:r w:rsidR="007731A3" w:rsidRPr="007731A3">
        <w:rPr>
          <w:rFonts w:ascii="Times New Roman"/>
          <w:sz w:val="20"/>
        </w:rPr>
        <w:t>ENFOQUE PARA APARELHOS</w:t>
      </w:r>
      <w:r w:rsidR="007731A3">
        <w:rPr>
          <w:rFonts w:ascii="Times New Roman"/>
          <w:sz w:val="20"/>
        </w:rPr>
        <w:t xml:space="preserve"> </w:t>
      </w:r>
      <w:r w:rsidR="007731A3" w:rsidRPr="007731A3">
        <w:rPr>
          <w:rFonts w:ascii="Times New Roman"/>
          <w:sz w:val="20"/>
        </w:rPr>
        <w:t>AUTOMATIZADOS</w:t>
      </w:r>
      <w:r w:rsidR="007731A3">
        <w:rPr>
          <w:rFonts w:ascii="Times New Roman"/>
          <w:sz w:val="20"/>
        </w:rPr>
        <w:t xml:space="preserve"> </w:t>
      </w:r>
      <w:r>
        <w:rPr>
          <w:rFonts w:ascii="Times New Roman"/>
          <w:sz w:val="20"/>
        </w:rPr>
        <w:t>que estava dispon</w:t>
      </w:r>
      <w:r>
        <w:rPr>
          <w:rFonts w:ascii="Times New Roman"/>
          <w:sz w:val="20"/>
        </w:rPr>
        <w:t>í</w:t>
      </w:r>
      <w:r>
        <w:rPr>
          <w:rFonts w:ascii="Times New Roman"/>
          <w:sz w:val="20"/>
        </w:rPr>
        <w:t xml:space="preserve">vel na internet para download. </w:t>
      </w:r>
    </w:p>
    <w:p w14:paraId="00FE0042" w14:textId="77777777" w:rsidR="00170F05" w:rsidRDefault="00170F05">
      <w:pPr>
        <w:pStyle w:val="Corpodetexto"/>
        <w:rPr>
          <w:rFonts w:ascii="Times New Roman"/>
          <w:sz w:val="20"/>
        </w:rPr>
      </w:pPr>
    </w:p>
    <w:p w14:paraId="00FE0043" w14:textId="77777777" w:rsidR="00170F05" w:rsidRDefault="00170F05">
      <w:pPr>
        <w:pStyle w:val="Corpodetexto"/>
        <w:rPr>
          <w:rFonts w:ascii="Times New Roman"/>
          <w:sz w:val="20"/>
        </w:rPr>
      </w:pPr>
    </w:p>
    <w:p w14:paraId="00FE0044" w14:textId="77777777" w:rsidR="00170F05" w:rsidRDefault="00170F05">
      <w:pPr>
        <w:pStyle w:val="Corpodetexto"/>
        <w:rPr>
          <w:rFonts w:ascii="Times New Roman"/>
          <w:sz w:val="20"/>
        </w:rPr>
      </w:pPr>
    </w:p>
    <w:p w14:paraId="00FE01C1" w14:textId="77777777" w:rsidR="00170F05" w:rsidRDefault="00170F05">
      <w:pPr>
        <w:pStyle w:val="Corpodetexto"/>
        <w:spacing w:before="8"/>
        <w:rPr>
          <w:sz w:val="21"/>
        </w:rPr>
      </w:pPr>
    </w:p>
    <w:p w14:paraId="00FE01C2" w14:textId="77777777" w:rsidR="00170F05" w:rsidRDefault="00C66DC1">
      <w:pPr>
        <w:pStyle w:val="Ttulo1"/>
        <w:numPr>
          <w:ilvl w:val="0"/>
          <w:numId w:val="1"/>
        </w:numPr>
        <w:tabs>
          <w:tab w:val="left" w:pos="801"/>
          <w:tab w:val="left" w:pos="802"/>
          <w:tab w:val="left" w:pos="2331"/>
          <w:tab w:val="left" w:pos="4603"/>
          <w:tab w:val="left" w:pos="6613"/>
          <w:tab w:val="left" w:pos="7366"/>
          <w:tab w:val="left" w:pos="9255"/>
        </w:tabs>
        <w:spacing w:line="362" w:lineRule="auto"/>
        <w:ind w:left="316" w:right="299" w:firstLine="0"/>
      </w:pPr>
      <w:bookmarkStart w:id="0" w:name="_bookmark6"/>
      <w:bookmarkEnd w:id="0"/>
      <w:r>
        <w:t>TERMOS</w:t>
      </w:r>
      <w:r>
        <w:tab/>
        <w:t>USUALMENTE</w:t>
      </w:r>
      <w:r>
        <w:tab/>
        <w:t>UTILIZADOS</w:t>
      </w:r>
      <w:r>
        <w:tab/>
      </w:r>
      <w:r>
        <w:rPr>
          <w:spacing w:val="2"/>
        </w:rPr>
        <w:t>NO</w:t>
      </w:r>
      <w:r>
        <w:rPr>
          <w:spacing w:val="2"/>
        </w:rPr>
        <w:tab/>
      </w:r>
      <w:r>
        <w:t>CONTEXTO</w:t>
      </w:r>
      <w:r>
        <w:tab/>
      </w:r>
      <w:r>
        <w:rPr>
          <w:spacing w:val="-7"/>
        </w:rPr>
        <w:t xml:space="preserve">DA </w:t>
      </w:r>
      <w:r>
        <w:t>QUALIDADE</w:t>
      </w:r>
    </w:p>
    <w:p w14:paraId="00FE01C3" w14:textId="77777777" w:rsidR="00170F05" w:rsidRDefault="00170F05">
      <w:pPr>
        <w:pStyle w:val="Corpodetexto"/>
        <w:spacing w:before="5"/>
        <w:rPr>
          <w:b/>
          <w:sz w:val="36"/>
        </w:rPr>
      </w:pPr>
    </w:p>
    <w:p w14:paraId="00FE01C4" w14:textId="77777777" w:rsidR="00170F05" w:rsidRDefault="00C66DC1">
      <w:pPr>
        <w:pStyle w:val="Corpodetexto"/>
        <w:spacing w:before="1" w:line="360" w:lineRule="auto"/>
        <w:ind w:left="316" w:right="292" w:firstLine="710"/>
        <w:jc w:val="both"/>
      </w:pPr>
      <w:r>
        <w:t>Com o objetivo de fornecer ao leitor subsídios que possam facilitar o entendimento do assunto em pauta, são apresentados abaixo vários termos usualmente empregados dentro do atual</w:t>
      </w:r>
      <w:r>
        <w:rPr>
          <w:spacing w:val="2"/>
        </w:rPr>
        <w:t xml:space="preserve"> </w:t>
      </w:r>
      <w:r>
        <w:t>contexto.</w:t>
      </w:r>
    </w:p>
    <w:p w14:paraId="00FE01C5" w14:textId="77777777" w:rsidR="00170F05" w:rsidRDefault="00C66DC1">
      <w:pPr>
        <w:spacing w:line="289" w:lineRule="exact"/>
        <w:ind w:left="676"/>
        <w:rPr>
          <w:b/>
          <w:sz w:val="24"/>
        </w:rPr>
      </w:pPr>
      <w:r>
        <w:rPr>
          <w:noProof/>
          <w:position w:val="-4"/>
        </w:rPr>
        <w:drawing>
          <wp:inline distT="0" distB="0" distL="0" distR="0" wp14:anchorId="00FE041F" wp14:editId="00FE0420">
            <wp:extent cx="140208" cy="18592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b/>
          <w:sz w:val="24"/>
        </w:rPr>
        <w:t>Qualidade</w:t>
      </w:r>
    </w:p>
    <w:p w14:paraId="00FE01C6" w14:textId="77777777" w:rsidR="00170F05" w:rsidRDefault="00C66DC1">
      <w:pPr>
        <w:pStyle w:val="Corpodetexto"/>
        <w:spacing w:before="139" w:line="360" w:lineRule="auto"/>
        <w:ind w:left="1036" w:right="283"/>
        <w:jc w:val="both"/>
      </w:pPr>
      <w:r>
        <w:t xml:space="preserve">Consiste no conjunto de características de </w:t>
      </w:r>
      <w:r>
        <w:rPr>
          <w:spacing w:val="-3"/>
        </w:rPr>
        <w:t xml:space="preserve">uma </w:t>
      </w:r>
      <w:r>
        <w:t xml:space="preserve">entidade que lhe confere a capacidade de satisfazer as necessidades explícitas e implícitas dos clientes (NBR ISO 8402). Sabe-se que a qualidade é cada vez mais </w:t>
      </w:r>
      <w:r>
        <w:rPr>
          <w:spacing w:val="-3"/>
        </w:rPr>
        <w:t xml:space="preserve">uma </w:t>
      </w:r>
      <w:r>
        <w:t>preocupação do fabricante de bens e serviços</w:t>
      </w:r>
      <w:r>
        <w:t xml:space="preserve">, pois oferecer produtos com qualidade tornou- se obrigação do fabricante para com os usuários, </w:t>
      </w:r>
      <w:r>
        <w:rPr>
          <w:spacing w:val="2"/>
        </w:rPr>
        <w:t xml:space="preserve">sendo </w:t>
      </w:r>
      <w:r>
        <w:t xml:space="preserve">também uma exigência do cliente. As empresas que se preocupam </w:t>
      </w:r>
      <w:r>
        <w:rPr>
          <w:spacing w:val="2"/>
        </w:rPr>
        <w:t xml:space="preserve">em </w:t>
      </w:r>
      <w:r>
        <w:t xml:space="preserve">se manterem competitivas e produtivas implantam o Sistema da Qualidade. </w:t>
      </w:r>
      <w:proofErr w:type="spellStart"/>
      <w:r>
        <w:t>Denning</w:t>
      </w:r>
      <w:proofErr w:type="spellEnd"/>
      <w:r>
        <w:t xml:space="preserve"> desenvolv</w:t>
      </w:r>
      <w:r>
        <w:t xml:space="preserve">eu e difundiu a </w:t>
      </w:r>
      <w:proofErr w:type="spellStart"/>
      <w:r>
        <w:t>idéia</w:t>
      </w:r>
      <w:proofErr w:type="spellEnd"/>
      <w:r>
        <w:t xml:space="preserve"> de que a melhoria da qualidade reduz o desperdício e aumenta a produtividade, conforme descrito por BASQUES</w:t>
      </w:r>
      <w:r>
        <w:rPr>
          <w:spacing w:val="1"/>
        </w:rPr>
        <w:t xml:space="preserve"> </w:t>
      </w:r>
      <w:r>
        <w:t>(2009).</w:t>
      </w:r>
    </w:p>
    <w:p w14:paraId="00FE01C7" w14:textId="77777777" w:rsidR="00170F05" w:rsidRDefault="00C66DC1">
      <w:pPr>
        <w:pStyle w:val="Ttulo2"/>
        <w:spacing w:line="288" w:lineRule="exact"/>
        <w:ind w:left="676"/>
      </w:pPr>
      <w:r>
        <w:rPr>
          <w:b w:val="0"/>
          <w:noProof/>
          <w:position w:val="-4"/>
        </w:rPr>
        <w:drawing>
          <wp:inline distT="0" distB="0" distL="0" distR="0" wp14:anchorId="00FE0421" wp14:editId="00FE0422">
            <wp:extent cx="140208" cy="18592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Política da</w:t>
      </w:r>
      <w:r>
        <w:rPr>
          <w:spacing w:val="-8"/>
        </w:rPr>
        <w:t xml:space="preserve"> </w:t>
      </w:r>
      <w:r>
        <w:t>qualidade</w:t>
      </w:r>
    </w:p>
    <w:p w14:paraId="00FE01C8" w14:textId="77777777" w:rsidR="00170F05" w:rsidRDefault="00C66DC1">
      <w:pPr>
        <w:pStyle w:val="Corpodetexto"/>
        <w:spacing w:before="145" w:line="360" w:lineRule="auto"/>
        <w:ind w:left="1036" w:right="301"/>
        <w:jc w:val="both"/>
      </w:pPr>
      <w:r>
        <w:t>Intenções e diretrizes globais de uma organização, relativas à qualidade, formalmente expres</w:t>
      </w:r>
      <w:r>
        <w:t>sas pela alta direção.</w:t>
      </w:r>
    </w:p>
    <w:p w14:paraId="00FE01C9" w14:textId="77777777" w:rsidR="00170F05" w:rsidRDefault="00C66DC1">
      <w:pPr>
        <w:pStyle w:val="Ttulo2"/>
        <w:spacing w:line="290" w:lineRule="exact"/>
        <w:ind w:left="676"/>
      </w:pPr>
      <w:r>
        <w:rPr>
          <w:b w:val="0"/>
          <w:noProof/>
          <w:position w:val="-4"/>
        </w:rPr>
        <w:drawing>
          <wp:inline distT="0" distB="0" distL="0" distR="0" wp14:anchorId="00FE0423" wp14:editId="00FE0424">
            <wp:extent cx="140208" cy="18592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Gestão da</w:t>
      </w:r>
      <w:r>
        <w:rPr>
          <w:spacing w:val="-4"/>
        </w:rPr>
        <w:t xml:space="preserve"> </w:t>
      </w:r>
      <w:r>
        <w:t>qualidade</w:t>
      </w:r>
    </w:p>
    <w:p w14:paraId="00FE01CA" w14:textId="77777777" w:rsidR="00170F05" w:rsidRDefault="00C66DC1">
      <w:pPr>
        <w:pStyle w:val="Corpodetexto"/>
        <w:spacing w:before="140" w:line="360" w:lineRule="auto"/>
        <w:ind w:left="1036" w:right="283"/>
        <w:jc w:val="both"/>
      </w:pPr>
      <w:r>
        <w:t>É implementada por meio de planejamento, controle, garantia e melhoria da qualidade. Quanto ao planejamento, é definido a partir da missão do laboratório, incluindo seus clientes e serviços. O controle consist</w:t>
      </w:r>
      <w:r>
        <w:t>e na parte da Gestão da Qualidade, focada no atendimento aos requisitos da Qualidade, permitindo avaliar a estabilidade de um método analítico em relação a parâmetros de precisão e exatidão. Já a garantia tem por objetivo satisfazer o cliente pela prevençã</w:t>
      </w:r>
      <w:r>
        <w:t>o de não conformidades em todas as fases do processo (pré-analítico, analítico e pós-analítico). Finalmente, a melhoria da Qualidade inclui medidas que visem atender aos requisitos da qualidade e está relacionada à eficácia, eficiência e rastreabilidade.</w:t>
      </w:r>
    </w:p>
    <w:p w14:paraId="00FE01CB" w14:textId="77777777" w:rsidR="00170F05" w:rsidRDefault="00C66DC1">
      <w:pPr>
        <w:spacing w:line="291" w:lineRule="exact"/>
        <w:ind w:left="676"/>
        <w:rPr>
          <w:b/>
          <w:sz w:val="24"/>
        </w:rPr>
      </w:pPr>
      <w:r>
        <w:rPr>
          <w:noProof/>
          <w:position w:val="-4"/>
        </w:rPr>
        <w:drawing>
          <wp:inline distT="0" distB="0" distL="0" distR="0" wp14:anchorId="00FE0425" wp14:editId="00FE0426">
            <wp:extent cx="140208" cy="185928"/>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b/>
          <w:sz w:val="24"/>
        </w:rPr>
        <w:t>Requisitos</w:t>
      </w:r>
    </w:p>
    <w:p w14:paraId="00FE01CC" w14:textId="77777777" w:rsidR="00170F05" w:rsidRDefault="00C66DC1">
      <w:pPr>
        <w:pStyle w:val="Corpodetexto"/>
        <w:spacing w:before="140" w:line="360" w:lineRule="auto"/>
        <w:ind w:left="1036" w:right="1255"/>
      </w:pPr>
      <w:r>
        <w:t>Necessidade ou expectativas que são expressas, geralmente, de forma implícitas ou</w:t>
      </w:r>
      <w:r>
        <w:rPr>
          <w:spacing w:val="-1"/>
        </w:rPr>
        <w:t xml:space="preserve"> </w:t>
      </w:r>
      <w:r>
        <w:t>obrigatória.</w:t>
      </w:r>
    </w:p>
    <w:p w14:paraId="00FE01CD" w14:textId="77777777" w:rsidR="00170F05" w:rsidRDefault="00170F05">
      <w:pPr>
        <w:spacing w:line="360" w:lineRule="auto"/>
        <w:sectPr w:rsidR="00170F05">
          <w:headerReference w:type="default" r:id="rId8"/>
          <w:pgSz w:w="11910" w:h="16840"/>
          <w:pgMar w:top="820" w:right="840" w:bottom="280" w:left="1100" w:header="569" w:footer="0" w:gutter="0"/>
          <w:cols w:space="720"/>
        </w:sectPr>
      </w:pPr>
    </w:p>
    <w:p w14:paraId="00FE01CE" w14:textId="77777777" w:rsidR="00170F05" w:rsidRDefault="00170F05">
      <w:pPr>
        <w:pStyle w:val="Corpodetexto"/>
        <w:rPr>
          <w:sz w:val="20"/>
        </w:rPr>
      </w:pPr>
    </w:p>
    <w:p w14:paraId="00FE01CF" w14:textId="77777777" w:rsidR="00170F05" w:rsidRDefault="00170F05">
      <w:pPr>
        <w:pStyle w:val="Corpodetexto"/>
        <w:rPr>
          <w:sz w:val="23"/>
        </w:rPr>
      </w:pPr>
    </w:p>
    <w:p w14:paraId="00FE01D0" w14:textId="77777777" w:rsidR="00170F05" w:rsidRDefault="00C66DC1">
      <w:pPr>
        <w:pStyle w:val="Ttulo2"/>
        <w:spacing w:before="78"/>
        <w:ind w:left="676"/>
      </w:pPr>
      <w:r>
        <w:rPr>
          <w:b w:val="0"/>
          <w:noProof/>
          <w:position w:val="-4"/>
        </w:rPr>
        <w:drawing>
          <wp:inline distT="0" distB="0" distL="0" distR="0" wp14:anchorId="00FE0427" wp14:editId="00FE0428">
            <wp:extent cx="140208" cy="18592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Erros nos</w:t>
      </w:r>
      <w:r>
        <w:rPr>
          <w:spacing w:val="-1"/>
        </w:rPr>
        <w:t xml:space="preserve"> </w:t>
      </w:r>
      <w:r>
        <w:t>laboratórios</w:t>
      </w:r>
    </w:p>
    <w:p w14:paraId="00FE01D1" w14:textId="77777777" w:rsidR="00170F05" w:rsidRDefault="00C66DC1">
      <w:pPr>
        <w:pStyle w:val="Corpodetexto"/>
        <w:spacing w:before="144" w:line="360" w:lineRule="auto"/>
        <w:ind w:left="1036" w:right="296"/>
        <w:jc w:val="both"/>
      </w:pPr>
      <w:r>
        <w:t>A implantação de um sistema de qualidade no laboratório tem por objetivo garantir a qualidade de todos os resultados obtidos na rotina diária, bem como tomar providências para eliminar as causas das não conformidades encontradas, por meio de ações corretiv</w:t>
      </w:r>
      <w:r>
        <w:t xml:space="preserve">as e medidas para evitar </w:t>
      </w:r>
      <w:r>
        <w:rPr>
          <w:spacing w:val="-3"/>
        </w:rPr>
        <w:t xml:space="preserve">uma </w:t>
      </w:r>
      <w:r>
        <w:t>nova ocorrência das não</w:t>
      </w:r>
      <w:r>
        <w:rPr>
          <w:spacing w:val="-1"/>
        </w:rPr>
        <w:t xml:space="preserve"> </w:t>
      </w:r>
      <w:r>
        <w:t>conformidades.</w:t>
      </w:r>
    </w:p>
    <w:p w14:paraId="00FE01D2" w14:textId="77777777" w:rsidR="00170F05" w:rsidRDefault="00C66DC1">
      <w:pPr>
        <w:pStyle w:val="Corpodetexto"/>
        <w:spacing w:line="360" w:lineRule="auto"/>
        <w:ind w:left="316" w:right="291" w:firstLine="706"/>
        <w:jc w:val="both"/>
      </w:pPr>
      <w:r>
        <w:t>A detecção de erros nas fases pré-analítica, analítica e pós-analítica decorre de atividades de monitorização, da precisão e da exatidão exercida pelo controle de qualidade. Esta baseia-se no ensaio de amostras de controle e no tratamento dos dados obtidos</w:t>
      </w:r>
      <w:r>
        <w:t>, utilizando ferramentas estatísticas (ROTH, 1998), incluindo:</w:t>
      </w:r>
    </w:p>
    <w:p w14:paraId="00FE01D3" w14:textId="77777777" w:rsidR="00170F05" w:rsidRDefault="00C66DC1">
      <w:pPr>
        <w:spacing w:line="288" w:lineRule="exact"/>
        <w:ind w:left="676"/>
        <w:rPr>
          <w:b/>
          <w:sz w:val="24"/>
        </w:rPr>
      </w:pPr>
      <w:r>
        <w:rPr>
          <w:noProof/>
          <w:position w:val="-4"/>
        </w:rPr>
        <w:drawing>
          <wp:inline distT="0" distB="0" distL="0" distR="0" wp14:anchorId="00FE0429" wp14:editId="00FE042A">
            <wp:extent cx="140208" cy="18592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rPr>
          <w:b/>
          <w:sz w:val="24"/>
        </w:rPr>
        <w:t>Precisão</w:t>
      </w:r>
    </w:p>
    <w:p w14:paraId="00FE01D4" w14:textId="77777777" w:rsidR="00170F05" w:rsidRDefault="00C66DC1">
      <w:pPr>
        <w:pStyle w:val="Corpodetexto"/>
        <w:tabs>
          <w:tab w:val="left" w:pos="2183"/>
          <w:tab w:val="left" w:pos="2662"/>
          <w:tab w:val="left" w:pos="3909"/>
          <w:tab w:val="left" w:pos="4666"/>
          <w:tab w:val="left" w:pos="5980"/>
          <w:tab w:val="left" w:pos="6967"/>
          <w:tab w:val="left" w:pos="7629"/>
          <w:tab w:val="left" w:pos="8852"/>
          <w:tab w:val="left" w:pos="9331"/>
        </w:tabs>
        <w:spacing w:before="145" w:line="360" w:lineRule="auto"/>
        <w:ind w:left="1036" w:right="296"/>
      </w:pPr>
      <w:r>
        <w:t>Consiste</w:t>
      </w:r>
      <w:r>
        <w:tab/>
        <w:t>na</w:t>
      </w:r>
      <w:r>
        <w:tab/>
        <w:t>dispersão</w:t>
      </w:r>
      <w:r>
        <w:tab/>
        <w:t>entre</w:t>
      </w:r>
      <w:r>
        <w:tab/>
        <w:t>resultados</w:t>
      </w:r>
      <w:r>
        <w:tab/>
        <w:t>obtidos</w:t>
      </w:r>
      <w:r>
        <w:tab/>
        <w:t>pela</w:t>
      </w:r>
      <w:r>
        <w:tab/>
        <w:t>aplicação</w:t>
      </w:r>
      <w:r>
        <w:tab/>
        <w:t>de</w:t>
      </w:r>
      <w:r>
        <w:tab/>
      </w:r>
      <w:r>
        <w:rPr>
          <w:spacing w:val="-9"/>
        </w:rPr>
        <w:t xml:space="preserve">um </w:t>
      </w:r>
      <w:r>
        <w:t>procedimento experimental várias vezes, sob condições descritas</w:t>
      </w:r>
      <w:r>
        <w:rPr>
          <w:spacing w:val="-4"/>
        </w:rPr>
        <w:t xml:space="preserve"> </w:t>
      </w:r>
      <w:r>
        <w:t>(ISO);</w:t>
      </w:r>
    </w:p>
    <w:p w14:paraId="00FE01D5" w14:textId="77777777" w:rsidR="00170F05" w:rsidRDefault="00C66DC1">
      <w:pPr>
        <w:spacing w:line="285" w:lineRule="exact"/>
        <w:ind w:left="676"/>
        <w:rPr>
          <w:b/>
          <w:sz w:val="24"/>
        </w:rPr>
      </w:pPr>
      <w:r>
        <w:rPr>
          <w:noProof/>
          <w:position w:val="-4"/>
        </w:rPr>
        <w:drawing>
          <wp:inline distT="0" distB="0" distL="0" distR="0" wp14:anchorId="00FE042B" wp14:editId="00FE042C">
            <wp:extent cx="140208" cy="18592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rPr>
          <w:b/>
          <w:sz w:val="24"/>
        </w:rPr>
        <w:t>Imprecisão</w:t>
      </w:r>
    </w:p>
    <w:p w14:paraId="00FE01D6" w14:textId="77777777" w:rsidR="00170F05" w:rsidRDefault="00C66DC1">
      <w:pPr>
        <w:pStyle w:val="Corpodetexto"/>
        <w:spacing w:before="144" w:line="360" w:lineRule="auto"/>
        <w:ind w:left="1036"/>
      </w:pPr>
      <w:r>
        <w:t>É o coeficiente de variaçã</w:t>
      </w:r>
      <w:r>
        <w:t xml:space="preserve">o dos resultados de um conjunto de medições em </w:t>
      </w:r>
      <w:proofErr w:type="spellStart"/>
      <w:r>
        <w:t>replicata</w:t>
      </w:r>
      <w:proofErr w:type="spellEnd"/>
      <w:r>
        <w:t>;</w:t>
      </w:r>
    </w:p>
    <w:p w14:paraId="00FE01D7" w14:textId="77777777" w:rsidR="00170F05" w:rsidRDefault="00C66DC1">
      <w:pPr>
        <w:spacing w:line="286" w:lineRule="exact"/>
        <w:ind w:left="676"/>
        <w:rPr>
          <w:b/>
          <w:sz w:val="24"/>
        </w:rPr>
      </w:pPr>
      <w:r>
        <w:rPr>
          <w:noProof/>
          <w:position w:val="-4"/>
        </w:rPr>
        <w:drawing>
          <wp:inline distT="0" distB="0" distL="0" distR="0" wp14:anchorId="00FE042D" wp14:editId="00FE042E">
            <wp:extent cx="140208" cy="18592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rPr>
          <w:b/>
          <w:sz w:val="24"/>
        </w:rPr>
        <w:t>Exatidão</w:t>
      </w:r>
    </w:p>
    <w:p w14:paraId="00FE01D8" w14:textId="77777777" w:rsidR="00170F05" w:rsidRDefault="00C66DC1">
      <w:pPr>
        <w:pStyle w:val="Corpodetexto"/>
        <w:spacing w:before="145" w:line="360" w:lineRule="auto"/>
        <w:ind w:left="1036"/>
      </w:pPr>
      <w:r>
        <w:t>Consiste na propriedade do método analítico de fornecer resultados do analito próximos de seu valor real;</w:t>
      </w:r>
    </w:p>
    <w:p w14:paraId="00FE01D9" w14:textId="77777777" w:rsidR="00170F05" w:rsidRDefault="00C66DC1">
      <w:pPr>
        <w:spacing w:line="290" w:lineRule="exact"/>
        <w:ind w:left="676"/>
        <w:rPr>
          <w:b/>
          <w:sz w:val="24"/>
        </w:rPr>
      </w:pPr>
      <w:r>
        <w:rPr>
          <w:noProof/>
          <w:position w:val="-4"/>
        </w:rPr>
        <w:drawing>
          <wp:inline distT="0" distB="0" distL="0" distR="0" wp14:anchorId="00FE042F" wp14:editId="00FE0430">
            <wp:extent cx="140208" cy="18592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rPr>
          <w:b/>
          <w:sz w:val="24"/>
        </w:rPr>
        <w:t>Inexatidão</w:t>
      </w:r>
    </w:p>
    <w:p w14:paraId="00FE01DA" w14:textId="77777777" w:rsidR="00170F05" w:rsidRDefault="00C66DC1">
      <w:pPr>
        <w:pStyle w:val="Corpodetexto"/>
        <w:spacing w:before="140" w:line="360" w:lineRule="auto"/>
        <w:ind w:left="1036" w:right="375"/>
      </w:pPr>
      <w:r>
        <w:t>Consiste na diferença numérica entre a média de um conjunto de m</w:t>
      </w:r>
      <w:r>
        <w:t xml:space="preserve">edidas e o valor verdadeiro. É também chamado de </w:t>
      </w:r>
      <w:r>
        <w:rPr>
          <w:i/>
        </w:rPr>
        <w:t>bias</w:t>
      </w:r>
      <w:r>
        <w:t>;</w:t>
      </w:r>
    </w:p>
    <w:p w14:paraId="00FE01DB" w14:textId="77777777" w:rsidR="00170F05" w:rsidRDefault="00C66DC1">
      <w:pPr>
        <w:pStyle w:val="Ttulo2"/>
        <w:spacing w:line="290" w:lineRule="exact"/>
        <w:ind w:left="676"/>
        <w:jc w:val="left"/>
      </w:pPr>
      <w:r>
        <w:rPr>
          <w:b w:val="0"/>
          <w:noProof/>
          <w:position w:val="-4"/>
        </w:rPr>
        <w:drawing>
          <wp:inline distT="0" distB="0" distL="0" distR="0" wp14:anchorId="00FE0431" wp14:editId="00FE0432">
            <wp:extent cx="140208" cy="18592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Erro</w:t>
      </w:r>
      <w:r>
        <w:rPr>
          <w:spacing w:val="-7"/>
        </w:rPr>
        <w:t xml:space="preserve"> </w:t>
      </w:r>
      <w:r>
        <w:t>aleatório</w:t>
      </w:r>
    </w:p>
    <w:p w14:paraId="00FE01DC" w14:textId="77777777" w:rsidR="00170F05" w:rsidRDefault="00C66DC1">
      <w:pPr>
        <w:pStyle w:val="Corpodetexto"/>
        <w:spacing w:before="140" w:line="360" w:lineRule="auto"/>
        <w:ind w:left="1036" w:right="289"/>
        <w:jc w:val="both"/>
      </w:pPr>
      <w:r>
        <w:t xml:space="preserve">Consiste em </w:t>
      </w:r>
      <w:r>
        <w:rPr>
          <w:spacing w:val="3"/>
        </w:rPr>
        <w:t xml:space="preserve">um </w:t>
      </w:r>
      <w:r>
        <w:t xml:space="preserve">erro analítico positivo ou negativo, cuja magnitude não pode ser prevista com segurança. Este erro pode ser minimizado, </w:t>
      </w:r>
      <w:r>
        <w:rPr>
          <w:spacing w:val="-3"/>
        </w:rPr>
        <w:t xml:space="preserve">mas </w:t>
      </w:r>
      <w:r>
        <w:t>não pode ser eliminado totalmente. Encontra</w:t>
      </w:r>
      <w:r>
        <w:t>-se associado à imprecisão e é avaliado pelo desvio</w:t>
      </w:r>
      <w:r>
        <w:rPr>
          <w:spacing w:val="-4"/>
        </w:rPr>
        <w:t xml:space="preserve"> </w:t>
      </w:r>
      <w:r>
        <w:t>padrão;</w:t>
      </w:r>
    </w:p>
    <w:p w14:paraId="00FE01DD" w14:textId="77777777" w:rsidR="00170F05" w:rsidRDefault="00C66DC1">
      <w:pPr>
        <w:pStyle w:val="Ttulo2"/>
        <w:spacing w:line="288" w:lineRule="exact"/>
        <w:ind w:left="676"/>
      </w:pPr>
      <w:r>
        <w:rPr>
          <w:b w:val="0"/>
          <w:noProof/>
          <w:position w:val="-4"/>
        </w:rPr>
        <w:drawing>
          <wp:inline distT="0" distB="0" distL="0" distR="0" wp14:anchorId="00FE0433" wp14:editId="00FE0434">
            <wp:extent cx="140208" cy="18592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Desvio padrão</w:t>
      </w:r>
      <w:r>
        <w:rPr>
          <w:spacing w:val="-2"/>
        </w:rPr>
        <w:t xml:space="preserve"> </w:t>
      </w:r>
      <w:r>
        <w:t>(S)</w:t>
      </w:r>
    </w:p>
    <w:p w14:paraId="007EF275" w14:textId="77777777" w:rsidR="00170F05" w:rsidRDefault="00C66DC1" w:rsidP="00A957AB">
      <w:pPr>
        <w:pStyle w:val="Corpodetexto"/>
        <w:spacing w:before="144" w:line="360" w:lineRule="auto"/>
        <w:ind w:left="1036" w:right="289"/>
        <w:jc w:val="both"/>
      </w:pPr>
      <w:r>
        <w:pict w14:anchorId="00FE0435">
          <v:group id="_x0000_s2071" style="position:absolute;left:0;text-align:left;margin-left:209.25pt;margin-top:69.85pt;width:67.55pt;height:36.05pt;z-index:251663360;mso-position-horizontal-relative:page" coordorigin="4185,1397" coordsize="1351,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4989;top:1817;width:278;height:300">
              <v:imagedata r:id="rId9" o:title=""/>
            </v:shape>
            <v:shape id="_x0000_s2074" type="#_x0000_t75" style="position:absolute;left:4753;top:1458;width:278;height:300">
              <v:imagedata r:id="rId9" o:title=""/>
            </v:shape>
            <v:shape id="_x0000_s2073" type="#_x0000_t75" style="position:absolute;left:5009;top:1396;width:527;height:451">
              <v:imagedata r:id="rId10" o:title=""/>
            </v:shape>
            <v:shape id="_x0000_s2072" type="#_x0000_t75" style="position:absolute;left:4185;top:1396;width:527;height:451">
              <v:imagedata r:id="rId10" o:title=""/>
            </v:shape>
            <w10:wrap anchorx="page"/>
          </v:group>
        </w:pict>
      </w:r>
      <w:r>
        <w:t>Consiste na dispersão em torno da média. Quanto maior for a variabilidade em torno da média, maior será o desvio padrão. O cálculo de seu valor é fornecido pela fórmula:</w:t>
      </w:r>
    </w:p>
    <w:p w14:paraId="1D2335E7" w14:textId="77777777" w:rsidR="00A957AB" w:rsidRDefault="00A957AB" w:rsidP="00A957AB">
      <w:pPr>
        <w:pStyle w:val="Corpodetexto"/>
        <w:spacing w:before="144" w:line="360" w:lineRule="auto"/>
        <w:ind w:left="1036" w:right="289"/>
        <w:jc w:val="both"/>
      </w:pPr>
    </w:p>
    <w:p w14:paraId="00FE01E0" w14:textId="21282BC0" w:rsidR="00A957AB" w:rsidRDefault="00A957AB" w:rsidP="00A957AB">
      <w:pPr>
        <w:pStyle w:val="Corpodetexto"/>
        <w:spacing w:before="144" w:line="360" w:lineRule="auto"/>
        <w:ind w:left="1036" w:right="289"/>
        <w:jc w:val="both"/>
        <w:rPr>
          <w:sz w:val="13"/>
        </w:rPr>
        <w:sectPr w:rsidR="00A957AB">
          <w:pgSz w:w="11910" w:h="16840"/>
          <w:pgMar w:top="820" w:right="840" w:bottom="280" w:left="1100" w:header="569" w:footer="0" w:gutter="0"/>
          <w:cols w:space="720"/>
        </w:sectPr>
      </w:pPr>
    </w:p>
    <w:p w14:paraId="00FE01E1" w14:textId="77777777" w:rsidR="00170F05" w:rsidRDefault="00C66DC1">
      <w:pPr>
        <w:pStyle w:val="Corpodetexto"/>
        <w:spacing w:before="92"/>
        <w:ind w:left="1056"/>
        <w:rPr>
          <w:b/>
        </w:rPr>
      </w:pPr>
      <w:r>
        <w:pict w14:anchorId="00FE0436">
          <v:group id="_x0000_s2068" style="position:absolute;left:0;text-align:left;margin-left:200.6pt;margin-top:13.75pt;width:4.45pt;height:12.55pt;z-index:251662336;mso-position-horizontal-relative:page" coordorigin="4012,275" coordsize="89,251">
            <v:line id="_x0000_s2070" style="position:absolute" from="4016,297" to="4047,280" strokeweight=".17242mm"/>
            <v:line id="_x0000_s2069" style="position:absolute" from="4047,285" to="4090,516" strokeweight=".34211mm"/>
            <w10:wrap anchorx="page"/>
          </v:group>
        </w:pict>
      </w:r>
      <w:r>
        <w:t xml:space="preserve">Desvio padrão </w:t>
      </w:r>
      <w:r>
        <w:rPr>
          <w:b/>
        </w:rPr>
        <w:t>=</w:t>
      </w:r>
    </w:p>
    <w:p w14:paraId="00FE01E2" w14:textId="77777777" w:rsidR="00170F05" w:rsidRDefault="00C66DC1">
      <w:pPr>
        <w:pStyle w:val="Corpodetexto"/>
        <w:spacing w:before="92"/>
        <w:ind w:left="1118"/>
      </w:pPr>
      <w:r>
        <w:br w:type="column"/>
      </w:r>
      <w:r>
        <w:rPr>
          <w:i/>
        </w:rPr>
        <w:t>x</w:t>
      </w:r>
      <w:r>
        <w:t>: variável avaliada</w:t>
      </w:r>
    </w:p>
    <w:p w14:paraId="00FE01E3" w14:textId="77777777" w:rsidR="00170F05" w:rsidRDefault="00C66DC1">
      <w:pPr>
        <w:pStyle w:val="Corpodetexto"/>
        <w:spacing w:before="204"/>
        <w:ind w:left="1056"/>
      </w:pPr>
      <w:r>
        <w:pict w14:anchorId="00FE0438">
          <v:shapetype id="_x0000_t202" coordsize="21600,21600" o:spt="202" path="m,l,21600r21600,l21600,xe">
            <v:stroke joinstyle="miter"/>
            <v:path gradientshapeok="t" o:connecttype="rect"/>
          </v:shapetype>
          <v:shape id="_x0000_s2067" type="#_x0000_t202" style="position:absolute;left:0;text-align:left;margin-left:204.5pt;margin-top:-23.85pt;width:91.25pt;height:33.2pt;z-index:251664384;mso-position-horizontal-relative:page" filled="f" stroked="f">
            <v:textbox inset="0,0,0,0">
              <w:txbxContent>
                <w:tbl>
                  <w:tblPr>
                    <w:tblStyle w:val="TableNormal"/>
                    <w:tblW w:w="0" w:type="auto"/>
                    <w:tblInd w:w="42" w:type="dxa"/>
                    <w:tblLayout w:type="fixed"/>
                    <w:tblLook w:val="01E0" w:firstRow="1" w:lastRow="1" w:firstColumn="1" w:lastColumn="1" w:noHBand="0" w:noVBand="0"/>
                  </w:tblPr>
                  <w:tblGrid>
                    <w:gridCol w:w="475"/>
                    <w:gridCol w:w="152"/>
                    <w:gridCol w:w="323"/>
                    <w:gridCol w:w="209"/>
                    <w:gridCol w:w="138"/>
                    <w:gridCol w:w="95"/>
                    <w:gridCol w:w="216"/>
                    <w:gridCol w:w="167"/>
                  </w:tblGrid>
                  <w:tr w:rsidR="00170F05" w14:paraId="00FE04D1" w14:textId="77777777">
                    <w:trPr>
                      <w:trHeight w:val="359"/>
                    </w:trPr>
                    <w:tc>
                      <w:tcPr>
                        <w:tcW w:w="475" w:type="dxa"/>
                        <w:tcBorders>
                          <w:top w:val="single" w:sz="4" w:space="0" w:color="000000"/>
                          <w:left w:val="single" w:sz="34" w:space="0" w:color="000000"/>
                          <w:bottom w:val="single" w:sz="4" w:space="0" w:color="000000"/>
                        </w:tcBorders>
                      </w:tcPr>
                      <w:p w14:paraId="00FE04C9" w14:textId="77777777" w:rsidR="00170F05" w:rsidRDefault="00C66DC1">
                        <w:pPr>
                          <w:pStyle w:val="TableParagraph"/>
                          <w:spacing w:before="19"/>
                          <w:ind w:right="-29"/>
                          <w:jc w:val="right"/>
                          <w:rPr>
                            <w:rFonts w:ascii="Times New Roman"/>
                            <w:i/>
                            <w:sz w:val="24"/>
                          </w:rPr>
                        </w:pPr>
                        <w:r>
                          <w:rPr>
                            <w:rFonts w:ascii="Times New Roman"/>
                            <w:i/>
                            <w:w w:val="104"/>
                            <w:sz w:val="24"/>
                          </w:rPr>
                          <w:t>x</w:t>
                        </w:r>
                      </w:p>
                    </w:tc>
                    <w:tc>
                      <w:tcPr>
                        <w:tcW w:w="152" w:type="dxa"/>
                        <w:tcBorders>
                          <w:top w:val="single" w:sz="4" w:space="0" w:color="000000"/>
                          <w:bottom w:val="single" w:sz="4" w:space="0" w:color="000000"/>
                        </w:tcBorders>
                      </w:tcPr>
                      <w:p w14:paraId="00FE04CA" w14:textId="77777777" w:rsidR="00170F05" w:rsidRDefault="00C66DC1">
                        <w:pPr>
                          <w:pStyle w:val="TableParagraph"/>
                          <w:spacing w:before="9"/>
                          <w:ind w:left="42"/>
                          <w:rPr>
                            <w:rFonts w:ascii="Times New Roman"/>
                            <w:sz w:val="14"/>
                          </w:rPr>
                        </w:pPr>
                        <w:r>
                          <w:rPr>
                            <w:rFonts w:ascii="Times New Roman"/>
                            <w:w w:val="104"/>
                            <w:sz w:val="14"/>
                          </w:rPr>
                          <w:t>2</w:t>
                        </w:r>
                      </w:p>
                    </w:tc>
                    <w:tc>
                      <w:tcPr>
                        <w:tcW w:w="323" w:type="dxa"/>
                        <w:tcBorders>
                          <w:top w:val="single" w:sz="4" w:space="0" w:color="000000"/>
                          <w:bottom w:val="single" w:sz="4" w:space="0" w:color="000000"/>
                        </w:tcBorders>
                      </w:tcPr>
                      <w:p w14:paraId="00FE04CB" w14:textId="77777777" w:rsidR="00170F05" w:rsidRDefault="00C66DC1">
                        <w:pPr>
                          <w:pStyle w:val="TableParagraph"/>
                          <w:spacing w:before="19"/>
                          <w:ind w:left="209"/>
                          <w:rPr>
                            <w:rFonts w:ascii="Times New Roman"/>
                            <w:sz w:val="24"/>
                          </w:rPr>
                        </w:pPr>
                        <w:r>
                          <w:rPr>
                            <w:rFonts w:ascii="Times New Roman"/>
                            <w:w w:val="104"/>
                            <w:sz w:val="24"/>
                          </w:rPr>
                          <w:t>(</w:t>
                        </w:r>
                      </w:p>
                    </w:tc>
                    <w:tc>
                      <w:tcPr>
                        <w:tcW w:w="209" w:type="dxa"/>
                        <w:tcBorders>
                          <w:top w:val="single" w:sz="4" w:space="0" w:color="000000"/>
                          <w:bottom w:val="single" w:sz="4" w:space="0" w:color="000000"/>
                        </w:tcBorders>
                      </w:tcPr>
                      <w:p w14:paraId="00FE04CC" w14:textId="77777777" w:rsidR="00170F05" w:rsidRDefault="00170F05">
                        <w:pPr>
                          <w:pStyle w:val="TableParagraph"/>
                          <w:rPr>
                            <w:rFonts w:ascii="Times New Roman"/>
                            <w:sz w:val="24"/>
                          </w:rPr>
                        </w:pPr>
                      </w:p>
                    </w:tc>
                    <w:tc>
                      <w:tcPr>
                        <w:tcW w:w="138" w:type="dxa"/>
                        <w:tcBorders>
                          <w:top w:val="single" w:sz="4" w:space="0" w:color="000000"/>
                          <w:bottom w:val="single" w:sz="4" w:space="0" w:color="000000"/>
                        </w:tcBorders>
                      </w:tcPr>
                      <w:p w14:paraId="00FE04CD" w14:textId="77777777" w:rsidR="00170F05" w:rsidRDefault="00C66DC1">
                        <w:pPr>
                          <w:pStyle w:val="TableParagraph"/>
                          <w:spacing w:before="19"/>
                          <w:ind w:left="55" w:right="-29"/>
                          <w:rPr>
                            <w:rFonts w:ascii="Times New Roman"/>
                            <w:i/>
                            <w:sz w:val="24"/>
                          </w:rPr>
                        </w:pPr>
                        <w:r>
                          <w:rPr>
                            <w:rFonts w:ascii="Times New Roman"/>
                            <w:i/>
                            <w:w w:val="104"/>
                            <w:sz w:val="24"/>
                          </w:rPr>
                          <w:t>x</w:t>
                        </w:r>
                      </w:p>
                    </w:tc>
                    <w:tc>
                      <w:tcPr>
                        <w:tcW w:w="95" w:type="dxa"/>
                        <w:tcBorders>
                          <w:top w:val="single" w:sz="4" w:space="0" w:color="000000"/>
                          <w:bottom w:val="single" w:sz="4" w:space="0" w:color="000000"/>
                        </w:tcBorders>
                      </w:tcPr>
                      <w:p w14:paraId="00FE04CE" w14:textId="77777777" w:rsidR="00170F05" w:rsidRDefault="00170F05">
                        <w:pPr>
                          <w:pStyle w:val="TableParagraph"/>
                          <w:rPr>
                            <w:rFonts w:ascii="Times New Roman"/>
                            <w:sz w:val="24"/>
                          </w:rPr>
                        </w:pPr>
                      </w:p>
                    </w:tc>
                    <w:tc>
                      <w:tcPr>
                        <w:tcW w:w="216" w:type="dxa"/>
                        <w:tcBorders>
                          <w:top w:val="single" w:sz="4" w:space="0" w:color="000000"/>
                          <w:bottom w:val="single" w:sz="4" w:space="0" w:color="000000"/>
                        </w:tcBorders>
                      </w:tcPr>
                      <w:p w14:paraId="00FE04CF" w14:textId="77777777" w:rsidR="00170F05" w:rsidRDefault="00C66DC1">
                        <w:pPr>
                          <w:pStyle w:val="TableParagraph"/>
                          <w:spacing w:before="19"/>
                          <w:ind w:left="51" w:right="-29"/>
                          <w:rPr>
                            <w:rFonts w:ascii="Times New Roman"/>
                            <w:sz w:val="24"/>
                          </w:rPr>
                        </w:pPr>
                        <w:r>
                          <w:rPr>
                            <w:rFonts w:ascii="Times New Roman"/>
                            <w:w w:val="105"/>
                            <w:sz w:val="24"/>
                          </w:rPr>
                          <w:t>)</w:t>
                        </w:r>
                        <w:r>
                          <w:rPr>
                            <w:rFonts w:ascii="Times New Roman"/>
                            <w:spacing w:val="-34"/>
                            <w:w w:val="105"/>
                            <w:sz w:val="24"/>
                          </w:rPr>
                          <w:t xml:space="preserve"> </w:t>
                        </w:r>
                        <w:r>
                          <w:rPr>
                            <w:rFonts w:ascii="Times New Roman"/>
                            <w:w w:val="105"/>
                            <w:sz w:val="24"/>
                          </w:rPr>
                          <w:t>/</w:t>
                        </w:r>
                      </w:p>
                    </w:tc>
                    <w:tc>
                      <w:tcPr>
                        <w:tcW w:w="167" w:type="dxa"/>
                        <w:tcBorders>
                          <w:top w:val="single" w:sz="4" w:space="0" w:color="000000"/>
                          <w:bottom w:val="single" w:sz="4" w:space="0" w:color="000000"/>
                        </w:tcBorders>
                      </w:tcPr>
                      <w:p w14:paraId="00FE04D0" w14:textId="77777777" w:rsidR="00170F05" w:rsidRDefault="00C66DC1">
                        <w:pPr>
                          <w:pStyle w:val="TableParagraph"/>
                          <w:spacing w:before="19"/>
                          <w:ind w:left="56" w:right="-29"/>
                          <w:rPr>
                            <w:rFonts w:ascii="Times New Roman"/>
                            <w:i/>
                            <w:sz w:val="24"/>
                          </w:rPr>
                        </w:pPr>
                        <w:r>
                          <w:rPr>
                            <w:rFonts w:ascii="Times New Roman"/>
                            <w:i/>
                            <w:w w:val="104"/>
                            <w:sz w:val="24"/>
                          </w:rPr>
                          <w:t>n</w:t>
                        </w:r>
                      </w:p>
                    </w:tc>
                  </w:tr>
                  <w:tr w:rsidR="00170F05" w14:paraId="00FE04D4" w14:textId="77777777">
                    <w:trPr>
                      <w:trHeight w:val="249"/>
                    </w:trPr>
                    <w:tc>
                      <w:tcPr>
                        <w:tcW w:w="950" w:type="dxa"/>
                        <w:gridSpan w:val="3"/>
                        <w:tcBorders>
                          <w:top w:val="single" w:sz="4" w:space="0" w:color="000000"/>
                          <w:left w:val="single" w:sz="34" w:space="0" w:color="000000"/>
                        </w:tcBorders>
                      </w:tcPr>
                      <w:p w14:paraId="00FE04D2" w14:textId="77777777" w:rsidR="00170F05" w:rsidRDefault="00C66DC1">
                        <w:pPr>
                          <w:pStyle w:val="TableParagraph"/>
                          <w:spacing w:before="8" w:line="222" w:lineRule="exact"/>
                          <w:ind w:right="90"/>
                          <w:jc w:val="right"/>
                          <w:rPr>
                            <w:rFonts w:ascii="Times New Roman"/>
                            <w:i/>
                            <w:sz w:val="24"/>
                          </w:rPr>
                        </w:pPr>
                        <w:r>
                          <w:rPr>
                            <w:rFonts w:ascii="Times New Roman"/>
                            <w:i/>
                            <w:w w:val="104"/>
                            <w:sz w:val="24"/>
                          </w:rPr>
                          <w:t>n</w:t>
                        </w:r>
                      </w:p>
                    </w:tc>
                    <w:tc>
                      <w:tcPr>
                        <w:tcW w:w="825" w:type="dxa"/>
                        <w:gridSpan w:val="5"/>
                        <w:tcBorders>
                          <w:top w:val="single" w:sz="4" w:space="0" w:color="000000"/>
                        </w:tcBorders>
                      </w:tcPr>
                      <w:p w14:paraId="00FE04D3" w14:textId="77777777" w:rsidR="00170F05" w:rsidRDefault="00C66DC1">
                        <w:pPr>
                          <w:pStyle w:val="TableParagraph"/>
                          <w:spacing w:before="8" w:line="222" w:lineRule="exact"/>
                          <w:ind w:left="100"/>
                          <w:rPr>
                            <w:rFonts w:ascii="Times New Roman"/>
                            <w:sz w:val="24"/>
                          </w:rPr>
                        </w:pPr>
                        <w:r>
                          <w:rPr>
                            <w:rFonts w:ascii="Times New Roman"/>
                            <w:w w:val="104"/>
                            <w:sz w:val="24"/>
                          </w:rPr>
                          <w:t>1</w:t>
                        </w:r>
                      </w:p>
                    </w:tc>
                  </w:tr>
                </w:tbl>
                <w:p w14:paraId="00FE04D5" w14:textId="77777777" w:rsidR="00170F05" w:rsidRDefault="00170F05">
                  <w:pPr>
                    <w:pStyle w:val="Corpodetexto"/>
                  </w:pPr>
                </w:p>
              </w:txbxContent>
            </v:textbox>
            <w10:wrap anchorx="page"/>
          </v:shape>
        </w:pict>
      </w:r>
      <w:r>
        <w:rPr>
          <w:i/>
        </w:rPr>
        <w:t>n</w:t>
      </w:r>
      <w:r>
        <w:t>: número total de valores</w:t>
      </w:r>
    </w:p>
    <w:p w14:paraId="00FE01E4" w14:textId="77777777" w:rsidR="00170F05" w:rsidRDefault="00170F05">
      <w:pPr>
        <w:sectPr w:rsidR="00170F05">
          <w:type w:val="continuous"/>
          <w:pgSz w:w="11910" w:h="16840"/>
          <w:pgMar w:top="1720" w:right="840" w:bottom="280" w:left="1100" w:header="720" w:footer="720" w:gutter="0"/>
          <w:cols w:num="2" w:space="720" w:equalWidth="0">
            <w:col w:w="2850" w:space="1885"/>
            <w:col w:w="5235"/>
          </w:cols>
        </w:sectPr>
      </w:pPr>
    </w:p>
    <w:p w14:paraId="00FE01E5" w14:textId="77777777" w:rsidR="00170F05" w:rsidRDefault="00170F05">
      <w:pPr>
        <w:pStyle w:val="Corpodetexto"/>
        <w:rPr>
          <w:sz w:val="20"/>
        </w:rPr>
      </w:pPr>
    </w:p>
    <w:p w14:paraId="00FE01E6" w14:textId="77777777" w:rsidR="00170F05" w:rsidRDefault="00170F05">
      <w:pPr>
        <w:pStyle w:val="Corpodetexto"/>
        <w:rPr>
          <w:sz w:val="23"/>
        </w:rPr>
      </w:pPr>
    </w:p>
    <w:p w14:paraId="00FE01E7" w14:textId="77777777" w:rsidR="00170F05" w:rsidRDefault="00C66DC1">
      <w:pPr>
        <w:pStyle w:val="Ttulo2"/>
        <w:spacing w:before="78"/>
        <w:ind w:left="676"/>
        <w:jc w:val="left"/>
      </w:pPr>
      <w:r>
        <w:rPr>
          <w:b w:val="0"/>
          <w:noProof/>
          <w:position w:val="-4"/>
        </w:rPr>
        <w:drawing>
          <wp:inline distT="0" distB="0" distL="0" distR="0" wp14:anchorId="00FE0439" wp14:editId="00FE043A">
            <wp:extent cx="140208" cy="18592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Coeficiente de variação (CV)</w:t>
      </w:r>
    </w:p>
    <w:p w14:paraId="00FE01E8" w14:textId="77777777" w:rsidR="00170F05" w:rsidRDefault="00C66DC1">
      <w:pPr>
        <w:pStyle w:val="Corpodetexto"/>
        <w:spacing w:before="144" w:line="360" w:lineRule="auto"/>
        <w:ind w:left="316" w:right="375" w:firstLine="706"/>
      </w:pPr>
      <w:r>
        <w:t>Consiste no desvio padrão, expresso em porcentagem do valor médio, cuja fórmula é:</w:t>
      </w:r>
    </w:p>
    <w:p w14:paraId="00FE01E9" w14:textId="77777777" w:rsidR="00170F05" w:rsidRDefault="00170F05">
      <w:pPr>
        <w:spacing w:line="360" w:lineRule="auto"/>
        <w:sectPr w:rsidR="00170F05">
          <w:pgSz w:w="11910" w:h="16840"/>
          <w:pgMar w:top="820" w:right="840" w:bottom="280" w:left="1100" w:header="569" w:footer="0" w:gutter="0"/>
          <w:cols w:space="720"/>
        </w:sectPr>
      </w:pPr>
    </w:p>
    <w:p w14:paraId="00FE01EA" w14:textId="77777777" w:rsidR="00170F05" w:rsidRDefault="00C66DC1">
      <w:pPr>
        <w:pStyle w:val="Corpodetexto"/>
        <w:tabs>
          <w:tab w:val="left" w:pos="1426"/>
        </w:tabs>
        <w:spacing w:line="370" w:lineRule="exact"/>
        <w:ind w:left="652"/>
        <w:rPr>
          <w:rFonts w:ascii="Times New Roman"/>
          <w:i/>
          <w:sz w:val="25"/>
        </w:rPr>
      </w:pPr>
      <w:r>
        <w:pict w14:anchorId="00FE043B">
          <v:group id="_x0000_s2064" style="position:absolute;left:0;text-align:left;margin-left:120pt;margin-top:7pt;width:33.45pt;height:15.25pt;z-index:-253322240;mso-position-horizontal-relative:page" coordorigin="2400,140" coordsize="669,305">
            <v:line id="_x0000_s2066" style="position:absolute" from="2400,316" to="2745,316" strokeweight=".17344mm"/>
            <v:shape id="_x0000_s2065" type="#_x0000_t75" style="position:absolute;left:2784;top:139;width:285;height:305">
              <v:imagedata r:id="rId11" o:title=""/>
            </v:shape>
            <w10:wrap anchorx="page"/>
          </v:group>
        </w:pict>
      </w:r>
      <w:r>
        <w:t>CV</w:t>
      </w:r>
      <w:r>
        <w:rPr>
          <w:spacing w:val="-3"/>
        </w:rPr>
        <w:t xml:space="preserve"> </w:t>
      </w:r>
      <w:r>
        <w:t>=</w:t>
      </w:r>
      <w:r>
        <w:tab/>
      </w:r>
      <w:r>
        <w:rPr>
          <w:rFonts w:ascii="Times New Roman"/>
          <w:i/>
          <w:position w:val="14"/>
          <w:sz w:val="25"/>
        </w:rPr>
        <w:t>s</w:t>
      </w:r>
    </w:p>
    <w:p w14:paraId="00FE01EB" w14:textId="77777777" w:rsidR="00170F05" w:rsidRDefault="00C66DC1">
      <w:pPr>
        <w:spacing w:line="279" w:lineRule="exact"/>
        <w:jc w:val="right"/>
        <w:rPr>
          <w:rFonts w:ascii="Times New Roman"/>
          <w:i/>
          <w:sz w:val="14"/>
        </w:rPr>
      </w:pPr>
      <w:r>
        <w:rPr>
          <w:rFonts w:ascii="Times New Roman"/>
          <w:i/>
          <w:spacing w:val="8"/>
          <w:sz w:val="25"/>
        </w:rPr>
        <w:t>X</w:t>
      </w:r>
      <w:r>
        <w:rPr>
          <w:rFonts w:ascii="Times New Roman"/>
          <w:i/>
          <w:spacing w:val="8"/>
          <w:position w:val="-5"/>
          <w:sz w:val="14"/>
        </w:rPr>
        <w:t>m</w:t>
      </w:r>
    </w:p>
    <w:p w14:paraId="00FE01EC" w14:textId="77777777" w:rsidR="00170F05" w:rsidRDefault="00C66DC1">
      <w:pPr>
        <w:spacing w:before="140"/>
        <w:ind w:left="173"/>
        <w:rPr>
          <w:rFonts w:ascii="Times New Roman"/>
          <w:sz w:val="25"/>
        </w:rPr>
      </w:pPr>
      <w:r>
        <w:br w:type="column"/>
      </w:r>
      <w:r>
        <w:rPr>
          <w:rFonts w:ascii="Times New Roman"/>
          <w:sz w:val="25"/>
        </w:rPr>
        <w:t>100</w:t>
      </w:r>
    </w:p>
    <w:p w14:paraId="00FE01ED" w14:textId="77777777" w:rsidR="00170F05" w:rsidRDefault="00C66DC1">
      <w:pPr>
        <w:pStyle w:val="Corpodetexto"/>
        <w:tabs>
          <w:tab w:val="left" w:pos="1920"/>
        </w:tabs>
        <w:spacing w:before="138"/>
        <w:ind w:left="652"/>
      </w:pPr>
      <w:r>
        <w:br w:type="column"/>
      </w:r>
      <w:r>
        <w:t>em</w:t>
      </w:r>
      <w:r>
        <w:rPr>
          <w:spacing w:val="-8"/>
        </w:rPr>
        <w:t xml:space="preserve"> </w:t>
      </w:r>
      <w:r>
        <w:t>que</w:t>
      </w:r>
      <w:r>
        <w:tab/>
      </w:r>
      <w:r>
        <w:rPr>
          <w:i/>
        </w:rPr>
        <w:t xml:space="preserve">s: </w:t>
      </w:r>
      <w:r>
        <w:t>desvio</w:t>
      </w:r>
      <w:r>
        <w:rPr>
          <w:spacing w:val="-3"/>
        </w:rPr>
        <w:t xml:space="preserve"> </w:t>
      </w:r>
      <w:r>
        <w:t>padrão</w:t>
      </w:r>
    </w:p>
    <w:p w14:paraId="00FE01EE" w14:textId="77777777" w:rsidR="00170F05" w:rsidRDefault="00170F05">
      <w:pPr>
        <w:pStyle w:val="Corpodetexto"/>
        <w:spacing w:before="5"/>
        <w:rPr>
          <w:sz w:val="21"/>
        </w:rPr>
      </w:pPr>
    </w:p>
    <w:p w14:paraId="00FE01EF" w14:textId="77777777" w:rsidR="00170F05" w:rsidRDefault="00C66DC1">
      <w:pPr>
        <w:pStyle w:val="Corpodetexto"/>
        <w:ind w:left="1689"/>
      </w:pPr>
      <w:proofErr w:type="spellStart"/>
      <w:r>
        <w:rPr>
          <w:i/>
        </w:rPr>
        <w:t>X</w:t>
      </w:r>
      <w:r>
        <w:rPr>
          <w:i/>
          <w:vertAlign w:val="subscript"/>
        </w:rPr>
        <w:t>m</w:t>
      </w:r>
      <w:proofErr w:type="spellEnd"/>
      <w:r>
        <w:t>: média aritmética</w:t>
      </w:r>
    </w:p>
    <w:p w14:paraId="00FE01F0" w14:textId="77777777" w:rsidR="00170F05" w:rsidRDefault="00170F05">
      <w:pPr>
        <w:sectPr w:rsidR="00170F05">
          <w:type w:val="continuous"/>
          <w:pgSz w:w="11910" w:h="16840"/>
          <w:pgMar w:top="1720" w:right="840" w:bottom="280" w:left="1100" w:header="720" w:footer="720" w:gutter="0"/>
          <w:cols w:num="3" w:space="720" w:equalWidth="0">
            <w:col w:w="1617" w:space="40"/>
            <w:col w:w="597" w:space="114"/>
            <w:col w:w="7602"/>
          </w:cols>
        </w:sectPr>
      </w:pPr>
    </w:p>
    <w:p w14:paraId="00FE01F1" w14:textId="77777777" w:rsidR="00170F05" w:rsidRDefault="00170F05">
      <w:pPr>
        <w:pStyle w:val="Corpodetexto"/>
        <w:rPr>
          <w:sz w:val="29"/>
        </w:rPr>
      </w:pPr>
    </w:p>
    <w:p w14:paraId="00FE01F2" w14:textId="77777777" w:rsidR="00170F05" w:rsidRDefault="00C66DC1">
      <w:pPr>
        <w:pStyle w:val="Ttulo2"/>
        <w:spacing w:before="77"/>
        <w:ind w:left="676"/>
      </w:pPr>
      <w:r>
        <w:rPr>
          <w:b w:val="0"/>
          <w:noProof/>
          <w:position w:val="-4"/>
        </w:rPr>
        <w:drawing>
          <wp:inline distT="0" distB="0" distL="0" distR="0" wp14:anchorId="00FE043C" wp14:editId="00FE043D">
            <wp:extent cx="140208" cy="18592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Erro sistemático</w:t>
      </w:r>
    </w:p>
    <w:p w14:paraId="00FE01F3" w14:textId="77777777" w:rsidR="00170F05" w:rsidRDefault="00C66DC1">
      <w:pPr>
        <w:pStyle w:val="Corpodetexto"/>
        <w:spacing w:before="140" w:line="360" w:lineRule="auto"/>
        <w:ind w:left="1036" w:right="290"/>
        <w:jc w:val="both"/>
      </w:pPr>
      <w:r>
        <w:t xml:space="preserve">Consiste na avaliação da inexatidão do ensaio, medido como </w:t>
      </w:r>
      <w:r>
        <w:rPr>
          <w:i/>
        </w:rPr>
        <w:t>bias</w:t>
      </w:r>
      <w:r>
        <w:t>. Pode ser praticamente eliminado com o uso de calibradores aferidos por métodos definitivos ou de referência. O erro si</w:t>
      </w:r>
      <w:r>
        <w:t>stemático apresenta uma direção única sendo positivo ou negativo. Sua magnitude pode ser conhecida previamente e resulta da inexatidão do processo analítico;</w:t>
      </w:r>
    </w:p>
    <w:p w14:paraId="00FE01F4" w14:textId="77777777" w:rsidR="00170F05" w:rsidRDefault="00C66DC1">
      <w:pPr>
        <w:spacing w:line="292" w:lineRule="exact"/>
        <w:ind w:left="676"/>
        <w:jc w:val="both"/>
        <w:rPr>
          <w:b/>
          <w:sz w:val="24"/>
        </w:rPr>
      </w:pPr>
      <w:r>
        <w:rPr>
          <w:noProof/>
          <w:position w:val="-4"/>
        </w:rPr>
        <w:drawing>
          <wp:inline distT="0" distB="0" distL="0" distR="0" wp14:anchorId="00FE043E" wp14:editId="00FE043F">
            <wp:extent cx="140208" cy="18592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b/>
          <w:sz w:val="24"/>
        </w:rPr>
        <w:t>Erro total</w:t>
      </w:r>
    </w:p>
    <w:p w14:paraId="00FE01F5" w14:textId="77777777" w:rsidR="00170F05" w:rsidRDefault="00C66DC1">
      <w:pPr>
        <w:pStyle w:val="Corpodetexto"/>
        <w:spacing w:before="140" w:line="360" w:lineRule="auto"/>
        <w:ind w:left="1036" w:right="300"/>
        <w:jc w:val="both"/>
      </w:pPr>
      <w:r>
        <w:t>Somatório dos erros aleatório e sistemático. Constitui o melhor índice da qualidade</w:t>
      </w:r>
      <w:r>
        <w:t xml:space="preserve"> dos resultados gerados por um método analítico (BASQUES, 2009).</w:t>
      </w:r>
    </w:p>
    <w:p w14:paraId="00FE01F6" w14:textId="77777777" w:rsidR="00170F05" w:rsidRDefault="00C66DC1">
      <w:pPr>
        <w:pStyle w:val="Ttulo2"/>
        <w:spacing w:line="290" w:lineRule="exact"/>
        <w:ind w:left="676"/>
      </w:pPr>
      <w:r>
        <w:rPr>
          <w:b w:val="0"/>
          <w:noProof/>
          <w:position w:val="-4"/>
        </w:rPr>
        <w:drawing>
          <wp:inline distT="0" distB="0" distL="0" distR="0" wp14:anchorId="00FE0440" wp14:editId="00FE0441">
            <wp:extent cx="140208" cy="18592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b w:val="0"/>
          <w:sz w:val="20"/>
        </w:rPr>
        <w:t xml:space="preserve">  </w:t>
      </w:r>
      <w:r>
        <w:rPr>
          <w:rFonts w:ascii="Times New Roman"/>
          <w:b w:val="0"/>
          <w:spacing w:val="-11"/>
          <w:sz w:val="20"/>
        </w:rPr>
        <w:t xml:space="preserve"> </w:t>
      </w:r>
      <w:r>
        <w:t>Erro grosseiro</w:t>
      </w:r>
    </w:p>
    <w:p w14:paraId="00FE01F7" w14:textId="77777777" w:rsidR="00170F05" w:rsidRDefault="00C66DC1">
      <w:pPr>
        <w:pStyle w:val="Corpodetexto"/>
        <w:spacing w:before="139" w:line="360" w:lineRule="auto"/>
        <w:ind w:left="1036" w:right="296"/>
        <w:jc w:val="both"/>
      </w:pPr>
      <w:r>
        <w:t>Os resultados analíticos estão sujeitos a erros grosseiros ou enganos que introduzem um grande desvio nos resultados. Este tipo de erro é aleatório e gera resultados discre</w:t>
      </w:r>
      <w:r>
        <w:t>pantes, muitas vezes, devido a enganos ou trocas que não são considerados erros estatísticos;</w:t>
      </w:r>
    </w:p>
    <w:p w14:paraId="00FE01F8" w14:textId="77777777" w:rsidR="00170F05" w:rsidRDefault="00C66DC1">
      <w:pPr>
        <w:pStyle w:val="Ttulo2"/>
        <w:spacing w:line="288" w:lineRule="exact"/>
        <w:ind w:left="676"/>
      </w:pPr>
      <w:r>
        <w:rPr>
          <w:b w:val="0"/>
          <w:noProof/>
          <w:position w:val="-4"/>
        </w:rPr>
        <w:drawing>
          <wp:inline distT="0" distB="0" distL="0" distR="0" wp14:anchorId="00FE0442" wp14:editId="00FE0443">
            <wp:extent cx="140208" cy="18592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Erros na etapa</w:t>
      </w:r>
      <w:r>
        <w:rPr>
          <w:spacing w:val="-1"/>
        </w:rPr>
        <w:t xml:space="preserve"> </w:t>
      </w:r>
      <w:r>
        <w:t>pré-analítica</w:t>
      </w:r>
    </w:p>
    <w:p w14:paraId="00FE01F9" w14:textId="77777777" w:rsidR="00170F05" w:rsidRDefault="00C66DC1">
      <w:pPr>
        <w:pStyle w:val="Corpodetexto"/>
        <w:spacing w:before="145" w:line="360" w:lineRule="auto"/>
        <w:ind w:left="1036" w:right="286"/>
        <w:jc w:val="both"/>
      </w:pPr>
      <w:r>
        <w:t>Estão incluídos, neste caso, erros na solicitação de exames, erros na identificação do paciente, escrita ilegível e falta de orie</w:t>
      </w:r>
      <w:r>
        <w:t xml:space="preserve">ntação ao </w:t>
      </w:r>
      <w:proofErr w:type="gramStart"/>
      <w:r>
        <w:t>paciente  quanto</w:t>
      </w:r>
      <w:proofErr w:type="gramEnd"/>
      <w:r>
        <w:t xml:space="preserve"> ao preparo para coleta da amostra. Podem ocorrer também erros na coleta da amostra, identificação errônea do paciente, uso de anticoagulantes inadequados, hemólise e </w:t>
      </w:r>
      <w:proofErr w:type="spellStart"/>
      <w:r>
        <w:t>lipemia</w:t>
      </w:r>
      <w:proofErr w:type="spellEnd"/>
      <w:r>
        <w:t>, transporte e armazenamento incorretos, entre outros;</w:t>
      </w:r>
    </w:p>
    <w:p w14:paraId="00FE01FA" w14:textId="77777777" w:rsidR="00170F05" w:rsidRDefault="00C66DC1">
      <w:pPr>
        <w:pStyle w:val="Ttulo2"/>
        <w:spacing w:line="286" w:lineRule="exact"/>
        <w:ind w:left="676"/>
      </w:pPr>
      <w:r>
        <w:rPr>
          <w:b w:val="0"/>
          <w:noProof/>
          <w:position w:val="-4"/>
        </w:rPr>
        <w:drawing>
          <wp:inline distT="0" distB="0" distL="0" distR="0" wp14:anchorId="00FE0444" wp14:editId="00FE0445">
            <wp:extent cx="140208" cy="18592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Erros na etapa</w:t>
      </w:r>
      <w:r>
        <w:rPr>
          <w:spacing w:val="-1"/>
        </w:rPr>
        <w:t xml:space="preserve"> </w:t>
      </w:r>
      <w:r>
        <w:t>analítica</w:t>
      </w:r>
    </w:p>
    <w:p w14:paraId="00FE01FB" w14:textId="77777777" w:rsidR="00170F05" w:rsidRDefault="00C66DC1">
      <w:pPr>
        <w:pStyle w:val="Corpodetexto"/>
        <w:spacing w:before="144" w:line="360" w:lineRule="auto"/>
        <w:ind w:left="1036" w:right="297"/>
        <w:jc w:val="both"/>
      </w:pPr>
      <w:r>
        <w:t xml:space="preserve">Incluem-se trocas de amostras, erros de </w:t>
      </w:r>
      <w:proofErr w:type="spellStart"/>
      <w:r>
        <w:t>pipetagem</w:t>
      </w:r>
      <w:proofErr w:type="spellEnd"/>
      <w:r>
        <w:t xml:space="preserve"> causados por pipetas não aferidas e vidrarias </w:t>
      </w:r>
      <w:r>
        <w:rPr>
          <w:spacing w:val="-3"/>
        </w:rPr>
        <w:t xml:space="preserve">mal </w:t>
      </w:r>
      <w:r>
        <w:t xml:space="preserve">lavadas, além de reagentes e padrões contaminados, </w:t>
      </w:r>
      <w:r>
        <w:rPr>
          <w:spacing w:val="-3"/>
        </w:rPr>
        <w:t xml:space="preserve">mal </w:t>
      </w:r>
      <w:r>
        <w:t xml:space="preserve">conservados ou vencidos e erros nos preparos de reagentes. Presença de </w:t>
      </w:r>
      <w:proofErr w:type="spellStart"/>
      <w:r>
        <w:t>lipemia</w:t>
      </w:r>
      <w:proofErr w:type="spellEnd"/>
      <w:r>
        <w:t>, hemólise, icterícia e uso de medicamentos, equipamentos não calibrados, erros no protocolo de automação, sujeira no sistema ótico, temperatura de ambiente não adequada, erros n</w:t>
      </w:r>
      <w:r>
        <w:t>os cálculos e em</w:t>
      </w:r>
      <w:r>
        <w:rPr>
          <w:spacing w:val="7"/>
        </w:rPr>
        <w:t xml:space="preserve"> </w:t>
      </w:r>
      <w:r>
        <w:t>unidades,</w:t>
      </w:r>
    </w:p>
    <w:p w14:paraId="00FE01FC" w14:textId="77777777" w:rsidR="00170F05" w:rsidRDefault="00170F05">
      <w:pPr>
        <w:spacing w:line="360" w:lineRule="auto"/>
        <w:jc w:val="both"/>
        <w:sectPr w:rsidR="00170F05">
          <w:type w:val="continuous"/>
          <w:pgSz w:w="11910" w:h="16840"/>
          <w:pgMar w:top="1720" w:right="840" w:bottom="280" w:left="1100" w:header="720" w:footer="720" w:gutter="0"/>
          <w:cols w:space="720"/>
        </w:sectPr>
      </w:pPr>
    </w:p>
    <w:p w14:paraId="00FE01FD" w14:textId="77777777" w:rsidR="00170F05" w:rsidRDefault="00170F05">
      <w:pPr>
        <w:pStyle w:val="Corpodetexto"/>
        <w:rPr>
          <w:sz w:val="20"/>
        </w:rPr>
      </w:pPr>
    </w:p>
    <w:p w14:paraId="00FE01FE" w14:textId="77777777" w:rsidR="00170F05" w:rsidRDefault="00170F05">
      <w:pPr>
        <w:pStyle w:val="Corpodetexto"/>
        <w:spacing w:before="2"/>
        <w:rPr>
          <w:sz w:val="22"/>
        </w:rPr>
      </w:pPr>
    </w:p>
    <w:p w14:paraId="00FE01FF" w14:textId="77777777" w:rsidR="00170F05" w:rsidRDefault="00C66DC1">
      <w:pPr>
        <w:pStyle w:val="Corpodetexto"/>
        <w:spacing w:before="93"/>
        <w:ind w:left="1036"/>
        <w:jc w:val="both"/>
      </w:pPr>
      <w:r>
        <w:t>constituem outros exemplos de interferentes na etapa analítica;</w:t>
      </w:r>
    </w:p>
    <w:p w14:paraId="00FE0200" w14:textId="77777777" w:rsidR="00170F05" w:rsidRDefault="00C66DC1">
      <w:pPr>
        <w:pStyle w:val="Ttulo2"/>
        <w:spacing w:before="136"/>
        <w:ind w:left="676"/>
      </w:pPr>
      <w:r>
        <w:rPr>
          <w:b w:val="0"/>
          <w:noProof/>
          <w:position w:val="-4"/>
        </w:rPr>
        <w:drawing>
          <wp:inline distT="0" distB="0" distL="0" distR="0" wp14:anchorId="00FE0446" wp14:editId="00FE0447">
            <wp:extent cx="140208" cy="18592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Erros na etapa</w:t>
      </w:r>
      <w:r>
        <w:rPr>
          <w:spacing w:val="-1"/>
        </w:rPr>
        <w:t xml:space="preserve"> </w:t>
      </w:r>
      <w:r>
        <w:t>pós-analítica</w:t>
      </w:r>
    </w:p>
    <w:p w14:paraId="00FE0201" w14:textId="77777777" w:rsidR="00170F05" w:rsidRDefault="00C66DC1">
      <w:pPr>
        <w:pStyle w:val="Corpodetexto"/>
        <w:spacing w:before="140" w:line="362" w:lineRule="auto"/>
        <w:ind w:left="1036" w:right="297"/>
        <w:jc w:val="both"/>
      </w:pPr>
      <w:r>
        <w:t xml:space="preserve">Identificação errada do paciente, transcrição incorreta de dados, resultado ilegível, unidades incorretas e erros </w:t>
      </w:r>
      <w:r>
        <w:t>de interpretação de resultados, constituem exemplos de erros com repercussão na etapa pós-analítica.</w:t>
      </w:r>
    </w:p>
    <w:p w14:paraId="00FE0204" w14:textId="77777777" w:rsidR="00170F05" w:rsidRDefault="00170F05">
      <w:pPr>
        <w:pStyle w:val="Corpodetexto"/>
        <w:spacing w:before="8"/>
        <w:rPr>
          <w:sz w:val="21"/>
        </w:rPr>
      </w:pPr>
    </w:p>
    <w:p w14:paraId="00FE0205" w14:textId="77777777" w:rsidR="00170F05" w:rsidRDefault="00C66DC1">
      <w:pPr>
        <w:pStyle w:val="Ttulo1"/>
        <w:numPr>
          <w:ilvl w:val="0"/>
          <w:numId w:val="1"/>
        </w:numPr>
        <w:tabs>
          <w:tab w:val="left" w:pos="548"/>
        </w:tabs>
      </w:pPr>
      <w:bookmarkStart w:id="1" w:name="_bookmark7"/>
      <w:bookmarkEnd w:id="1"/>
      <w:r>
        <w:t xml:space="preserve">CONTROLES INTERNO E EXTERNO </w:t>
      </w:r>
      <w:r>
        <w:rPr>
          <w:spacing w:val="2"/>
        </w:rPr>
        <w:t>DA</w:t>
      </w:r>
      <w:r>
        <w:rPr>
          <w:spacing w:val="-8"/>
        </w:rPr>
        <w:t xml:space="preserve"> </w:t>
      </w:r>
      <w:r>
        <w:t>QUALIDADE</w:t>
      </w:r>
    </w:p>
    <w:p w14:paraId="00FE0206" w14:textId="77777777" w:rsidR="00170F05" w:rsidRDefault="00170F05">
      <w:pPr>
        <w:pStyle w:val="Corpodetexto"/>
        <w:rPr>
          <w:b/>
          <w:sz w:val="30"/>
        </w:rPr>
      </w:pPr>
    </w:p>
    <w:p w14:paraId="00FE0207" w14:textId="77777777" w:rsidR="00170F05" w:rsidRDefault="00C66DC1">
      <w:pPr>
        <w:pStyle w:val="Ttulo2"/>
        <w:numPr>
          <w:ilvl w:val="1"/>
          <w:numId w:val="1"/>
        </w:numPr>
        <w:tabs>
          <w:tab w:val="left" w:pos="719"/>
        </w:tabs>
        <w:spacing w:before="235"/>
      </w:pPr>
      <w:bookmarkStart w:id="2" w:name="_bookmark8"/>
      <w:bookmarkEnd w:id="2"/>
      <w:r>
        <w:t>CONTROLE INTERNO DA</w:t>
      </w:r>
      <w:r>
        <w:rPr>
          <w:spacing w:val="-9"/>
        </w:rPr>
        <w:t xml:space="preserve"> </w:t>
      </w:r>
      <w:r>
        <w:t>QUALIDADE</w:t>
      </w:r>
    </w:p>
    <w:p w14:paraId="00FE0208" w14:textId="77777777" w:rsidR="00170F05" w:rsidRDefault="00C66DC1">
      <w:pPr>
        <w:pStyle w:val="Corpodetexto"/>
        <w:spacing w:before="147" w:line="357" w:lineRule="auto"/>
        <w:ind w:left="676" w:right="450" w:firstLine="345"/>
        <w:jc w:val="both"/>
      </w:pPr>
      <w:r>
        <w:t>O CIQ (controle interno da qualidade) tem por finalidade os</w:t>
      </w:r>
      <w:r>
        <w:rPr>
          <w:spacing w:val="-18"/>
        </w:rPr>
        <w:t xml:space="preserve"> </w:t>
      </w:r>
      <w:r>
        <w:t>seguintes</w:t>
      </w:r>
      <w:r>
        <w:rPr>
          <w:spacing w:val="-5"/>
        </w:rPr>
        <w:t xml:space="preserve"> </w:t>
      </w:r>
      <w:r>
        <w:t>aspectos:</w:t>
      </w:r>
      <w:r>
        <w:t xml:space="preserve"> </w:t>
      </w:r>
      <w:r>
        <w:rPr>
          <w:noProof/>
          <w:position w:val="-4"/>
        </w:rPr>
        <w:drawing>
          <wp:inline distT="0" distB="0" distL="0" distR="0" wp14:anchorId="00FE0448" wp14:editId="00FE0449">
            <wp:extent cx="140208" cy="18592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rPr>
        <w:t xml:space="preserve"> </w:t>
      </w:r>
      <w:r>
        <w:rPr>
          <w:rFonts w:ascii="Times New Roman"/>
          <w:spacing w:val="19"/>
        </w:rPr>
        <w:t xml:space="preserve"> </w:t>
      </w:r>
      <w:r>
        <w:t>garantir a</w:t>
      </w:r>
      <w:r>
        <w:rPr>
          <w:spacing w:val="-4"/>
        </w:rPr>
        <w:t xml:space="preserve"> </w:t>
      </w:r>
      <w:r>
        <w:t>reprodutibilidade;</w:t>
      </w:r>
    </w:p>
    <w:p w14:paraId="00FE0209" w14:textId="77777777" w:rsidR="00170F05" w:rsidRDefault="00C66DC1">
      <w:pPr>
        <w:pStyle w:val="Corpodetexto"/>
        <w:spacing w:line="285" w:lineRule="exact"/>
        <w:ind w:left="676"/>
        <w:jc w:val="both"/>
      </w:pPr>
      <w:r>
        <w:rPr>
          <w:noProof/>
          <w:position w:val="-4"/>
        </w:rPr>
        <w:drawing>
          <wp:inline distT="0" distB="0" distL="0" distR="0" wp14:anchorId="00FE044A" wp14:editId="00FE044B">
            <wp:extent cx="140208" cy="18592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verificar a calibração dos sistemas analíticos;</w:t>
      </w:r>
    </w:p>
    <w:p w14:paraId="00FE020A" w14:textId="77777777" w:rsidR="00170F05" w:rsidRDefault="00C66DC1">
      <w:pPr>
        <w:pStyle w:val="Corpodetexto"/>
        <w:spacing w:before="139" w:line="355" w:lineRule="auto"/>
        <w:ind w:left="1036" w:right="298" w:hanging="361"/>
        <w:jc w:val="both"/>
      </w:pPr>
      <w:r>
        <w:rPr>
          <w:noProof/>
          <w:position w:val="-4"/>
        </w:rPr>
        <w:drawing>
          <wp:inline distT="0" distB="0" distL="0" distR="0" wp14:anchorId="00FE044C" wp14:editId="00FE044D">
            <wp:extent cx="140208" cy="18592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 xml:space="preserve">indicar o momento de se promover ações corretivas quando surgir </w:t>
      </w:r>
      <w:r>
        <w:rPr>
          <w:spacing w:val="-3"/>
        </w:rPr>
        <w:t xml:space="preserve">uma </w:t>
      </w:r>
      <w:r>
        <w:t>não conformidade.</w:t>
      </w:r>
    </w:p>
    <w:p w14:paraId="00FE020B" w14:textId="77777777" w:rsidR="00170F05" w:rsidRDefault="00C66DC1">
      <w:pPr>
        <w:pStyle w:val="Corpodetexto"/>
        <w:spacing w:before="4" w:line="360" w:lineRule="auto"/>
        <w:ind w:left="316" w:right="302" w:firstLine="720"/>
        <w:jc w:val="both"/>
      </w:pPr>
      <w:r>
        <w:t>A maior utilidade do CIQ é a prevenção da deterioração do desempenho do sistema analítico. O laboratório deve implantar a análise crítica dos resultados do CIQ em todos o</w:t>
      </w:r>
      <w:r>
        <w:t>s sistemas analíticos, todos os dias em que realiza análise de pacientes.</w:t>
      </w:r>
    </w:p>
    <w:p w14:paraId="00FE020C" w14:textId="77777777" w:rsidR="00170F05" w:rsidRDefault="00C66DC1">
      <w:pPr>
        <w:pStyle w:val="Corpodetexto"/>
        <w:spacing w:before="2" w:line="360" w:lineRule="auto"/>
        <w:ind w:left="316" w:right="283" w:firstLine="720"/>
        <w:jc w:val="both"/>
      </w:pPr>
      <w:r>
        <w:t xml:space="preserve">As amostras-controle utilizadas devem ser comerciais e regularizadas junto à ANVISA, de acordo com a legislação vigente. Formas alternativas descritas na literatura podem ser usadas </w:t>
      </w:r>
      <w:r>
        <w:t>desde que permitam a avaliação da precisão do sistema analítico (ANVISA, 2005).</w:t>
      </w:r>
    </w:p>
    <w:p w14:paraId="00FE020D" w14:textId="77777777" w:rsidR="00170F05" w:rsidRDefault="00C66DC1">
      <w:pPr>
        <w:pStyle w:val="Corpodetexto"/>
        <w:spacing w:line="360" w:lineRule="auto"/>
        <w:ind w:left="316" w:right="294" w:firstLine="720"/>
        <w:jc w:val="both"/>
      </w:pPr>
      <w:r>
        <w:t>Com o objetivo de assegurar o desempenho do sistema analítico, os programas de acreditação exigem registros de rejeição de resultados. As amostras controles devem ser analisada</w:t>
      </w:r>
      <w:r>
        <w:t xml:space="preserve">s da mesma forma que as dos pacientes, a fim de refletir o mais fielmente possível o que ocorre com elas nas situações de rotina de </w:t>
      </w:r>
      <w:proofErr w:type="gramStart"/>
      <w:r>
        <w:t>análise..</w:t>
      </w:r>
      <w:proofErr w:type="gramEnd"/>
    </w:p>
    <w:p w14:paraId="00FE020E" w14:textId="77777777" w:rsidR="00170F05" w:rsidRDefault="00C66DC1">
      <w:pPr>
        <w:pStyle w:val="Corpodetexto"/>
        <w:spacing w:before="1" w:line="360" w:lineRule="auto"/>
        <w:ind w:left="316" w:right="289" w:firstLine="720"/>
        <w:jc w:val="both"/>
      </w:pPr>
      <w:r>
        <w:t>O desempenho dos métodos analíticos pode ser monitorado por meio do ensaio de amostras-controle com valores conhec</w:t>
      </w:r>
      <w:r>
        <w:t>idos juntamente aos ensaios das amostras dos pacientes. Os materiais de controle são disponibilizados com valores médios esperados e a faixa de variação proposta pelo fabricante. O ideal é que o laboratório tenha suficiente número de dados para calcular es</w:t>
      </w:r>
      <w:r>
        <w:t>tatisticamente seus próprios valores médios e o desvio padrão analítico. A média e o desvio padrão utilizados devem ser obtidos por dosagem de cada lote do controle para cada sistema analítico, no próprio laboratório.</w:t>
      </w:r>
    </w:p>
    <w:p w14:paraId="00FE020F" w14:textId="77777777" w:rsidR="00170F05" w:rsidRDefault="00C66DC1">
      <w:pPr>
        <w:pStyle w:val="Corpodetexto"/>
        <w:spacing w:line="360" w:lineRule="auto"/>
        <w:ind w:left="316" w:right="285" w:firstLine="706"/>
        <w:jc w:val="both"/>
      </w:pPr>
      <w:r>
        <w:t>Os controles produzidos na forma líqui</w:t>
      </w:r>
      <w:r>
        <w:t xml:space="preserve">da são mais estáveis para uso diário, por não precisarem de reconstituição e de manter a estabilidade por 30 dias. É importante que os laboratórios utilizem no mínimo dois controles com níveis diferentes de </w:t>
      </w:r>
      <w:r>
        <w:lastRenderedPageBreak/>
        <w:t>concentração para que as informações tenham valid</w:t>
      </w:r>
      <w:r>
        <w:t>ade na verificação da manutenção dos níveis desejáveis de controles Os resultados dos controles são plotados em um gráfico controle e comparados com “os limites aceitáveis de erro” para aquele analito (BASQUES, 2009).</w:t>
      </w:r>
    </w:p>
    <w:p w14:paraId="00FE0213" w14:textId="77777777" w:rsidR="00170F05" w:rsidRDefault="00170F05">
      <w:pPr>
        <w:pStyle w:val="Corpodetexto"/>
        <w:rPr>
          <w:sz w:val="20"/>
        </w:rPr>
      </w:pPr>
    </w:p>
    <w:p w14:paraId="00FE0214" w14:textId="77777777" w:rsidR="00170F05" w:rsidRDefault="00170F05">
      <w:pPr>
        <w:pStyle w:val="Corpodetexto"/>
        <w:spacing w:before="1"/>
        <w:rPr>
          <w:sz w:val="18"/>
        </w:rPr>
      </w:pPr>
    </w:p>
    <w:p w14:paraId="00FE0215" w14:textId="77777777" w:rsidR="00170F05" w:rsidRDefault="00C66DC1">
      <w:pPr>
        <w:pStyle w:val="Ttulo2"/>
        <w:numPr>
          <w:ilvl w:val="2"/>
          <w:numId w:val="1"/>
        </w:numPr>
        <w:tabs>
          <w:tab w:val="left" w:pos="921"/>
        </w:tabs>
        <w:spacing w:before="92"/>
        <w:ind w:hanging="605"/>
      </w:pPr>
      <w:bookmarkStart w:id="3" w:name="_bookmark9"/>
      <w:bookmarkEnd w:id="3"/>
      <w:r>
        <w:t>L</w:t>
      </w:r>
      <w:r>
        <w:t>imites aceitáveis de</w:t>
      </w:r>
      <w:r>
        <w:rPr>
          <w:spacing w:val="-5"/>
        </w:rPr>
        <w:t xml:space="preserve"> </w:t>
      </w:r>
      <w:r>
        <w:t>erro</w:t>
      </w:r>
    </w:p>
    <w:p w14:paraId="00FE0216" w14:textId="77777777" w:rsidR="00170F05" w:rsidRDefault="00C66DC1">
      <w:pPr>
        <w:pStyle w:val="Corpodetexto"/>
        <w:spacing w:before="142" w:line="360" w:lineRule="auto"/>
        <w:ind w:left="316" w:right="291" w:firstLine="739"/>
        <w:jc w:val="both"/>
      </w:pPr>
      <w:r>
        <w:t>Para estabelecer os próprios limites, os laboratórios devem realizar dosagens dos materiais de controle, no mínimo 20 para cada analito, utilizando sua instrumentação e metodologia. Os resultados das dosagens são usados para calcu</w:t>
      </w:r>
      <w:r>
        <w:t>lar as médias e o desvio padrão, servindo também para definir os limites de controle.</w:t>
      </w:r>
    </w:p>
    <w:p w14:paraId="00FE0217" w14:textId="77777777" w:rsidR="00170F05" w:rsidRDefault="00C66DC1">
      <w:pPr>
        <w:pStyle w:val="Corpodetexto"/>
        <w:spacing w:before="1" w:line="360" w:lineRule="auto"/>
        <w:ind w:left="316" w:right="287" w:firstLine="706"/>
        <w:jc w:val="both"/>
      </w:pPr>
      <w:r>
        <w:t xml:space="preserve">Num procedimento para definir os limites da variabilidade máxima empregam-se os </w:t>
      </w:r>
      <w:r>
        <w:rPr>
          <w:i/>
        </w:rPr>
        <w:t xml:space="preserve">limites de erro permitido de </w:t>
      </w:r>
      <w:proofErr w:type="spellStart"/>
      <w:r>
        <w:rPr>
          <w:i/>
        </w:rPr>
        <w:t>Tonks</w:t>
      </w:r>
      <w:proofErr w:type="spellEnd"/>
      <w:r>
        <w:rPr>
          <w:i/>
        </w:rPr>
        <w:t xml:space="preserve"> </w:t>
      </w:r>
      <w:r>
        <w:t>(LEP). Esses limites são calculados a partir dos interv</w:t>
      </w:r>
      <w:r>
        <w:t>alos de referência de um método e considera-se que, para um método ser capaz de distinguir entre valores normais e anormais, a grandeza da variabilidade analítica não pode ser maior do que um quarto do intervalo de referência do</w:t>
      </w:r>
      <w:r>
        <w:rPr>
          <w:spacing w:val="-29"/>
        </w:rPr>
        <w:t xml:space="preserve"> </w:t>
      </w:r>
      <w:r>
        <w:t>método.</w:t>
      </w:r>
    </w:p>
    <w:p w14:paraId="00FE0218" w14:textId="77777777" w:rsidR="00170F05" w:rsidRDefault="00170F05">
      <w:pPr>
        <w:pStyle w:val="Corpodetexto"/>
        <w:spacing w:before="10"/>
        <w:rPr>
          <w:sz w:val="35"/>
        </w:rPr>
      </w:pPr>
    </w:p>
    <w:p w14:paraId="00FE0219" w14:textId="77777777" w:rsidR="00170F05" w:rsidRDefault="00C66DC1">
      <w:pPr>
        <w:pStyle w:val="Corpodetexto"/>
        <w:spacing w:line="362" w:lineRule="auto"/>
        <w:ind w:left="316" w:right="2810"/>
      </w:pPr>
      <w:r>
        <w:t>LEP = [(¼ x interv</w:t>
      </w:r>
      <w:r>
        <w:t>alo de referência) / (média do intervalo)] x 100 Exemplo: cálculo do LEP para hemoglobina</w:t>
      </w:r>
    </w:p>
    <w:p w14:paraId="00FE021A" w14:textId="77777777" w:rsidR="00170F05" w:rsidRDefault="00C66DC1">
      <w:pPr>
        <w:pStyle w:val="Corpodetexto"/>
        <w:spacing w:line="360" w:lineRule="auto"/>
        <w:ind w:left="316" w:right="4270"/>
      </w:pPr>
      <w:r>
        <w:t>Valor de referência para homens: 12,8 a 17,8 g/</w:t>
      </w:r>
      <w:proofErr w:type="spellStart"/>
      <w:r>
        <w:t>dL</w:t>
      </w:r>
      <w:proofErr w:type="spellEnd"/>
      <w:r>
        <w:t xml:space="preserve"> LEP=1/4 x 5/15,3 x 100 = 8,2%</w:t>
      </w:r>
    </w:p>
    <w:p w14:paraId="00FE021B" w14:textId="77777777" w:rsidR="00170F05" w:rsidRDefault="00170F05">
      <w:pPr>
        <w:pStyle w:val="Corpodetexto"/>
        <w:spacing w:before="5"/>
        <w:rPr>
          <w:sz w:val="35"/>
        </w:rPr>
      </w:pPr>
    </w:p>
    <w:p w14:paraId="00FE021C" w14:textId="77777777" w:rsidR="00170F05" w:rsidRDefault="00C66DC1">
      <w:pPr>
        <w:pStyle w:val="Ttulo2"/>
        <w:numPr>
          <w:ilvl w:val="2"/>
          <w:numId w:val="1"/>
        </w:numPr>
        <w:tabs>
          <w:tab w:val="left" w:pos="921"/>
        </w:tabs>
        <w:ind w:hanging="605"/>
      </w:pPr>
      <w:bookmarkStart w:id="4" w:name="_bookmark10"/>
      <w:bookmarkEnd w:id="4"/>
      <w:r>
        <w:t>A monitorização do</w:t>
      </w:r>
      <w:r>
        <w:rPr>
          <w:spacing w:val="-12"/>
        </w:rPr>
        <w:t xml:space="preserve"> </w:t>
      </w:r>
      <w:r>
        <w:t>processo</w:t>
      </w:r>
    </w:p>
    <w:p w14:paraId="00FE021D" w14:textId="77777777" w:rsidR="00170F05" w:rsidRDefault="00C66DC1">
      <w:pPr>
        <w:pStyle w:val="Corpodetexto"/>
        <w:spacing w:before="142" w:line="360" w:lineRule="auto"/>
        <w:ind w:left="316" w:right="295" w:firstLine="706"/>
        <w:jc w:val="both"/>
      </w:pPr>
      <w:r>
        <w:t>Os procedimentos de monitorização do processo envolvem tr</w:t>
      </w:r>
      <w:r>
        <w:t>ês etapas que devem ser corretamente seguidas para se obter resultados efetivos, compreendendo: ensaio dos materiais controle, registro dos resultados e das ocorrências observadas e critérios de aceitabilidade.</w:t>
      </w:r>
    </w:p>
    <w:p w14:paraId="00FE021E" w14:textId="77777777" w:rsidR="00170F05" w:rsidRDefault="00170F05">
      <w:pPr>
        <w:pStyle w:val="Corpodetexto"/>
        <w:spacing w:before="9"/>
        <w:rPr>
          <w:sz w:val="28"/>
        </w:rPr>
      </w:pPr>
    </w:p>
    <w:p w14:paraId="00FE021F" w14:textId="77777777" w:rsidR="00170F05" w:rsidRDefault="00C66DC1">
      <w:pPr>
        <w:pStyle w:val="Ttulo2"/>
        <w:spacing w:before="78"/>
        <w:ind w:left="676"/>
      </w:pPr>
      <w:r>
        <w:rPr>
          <w:b w:val="0"/>
          <w:noProof/>
          <w:position w:val="-4"/>
        </w:rPr>
        <w:drawing>
          <wp:inline distT="0" distB="0" distL="0" distR="0" wp14:anchorId="00FE044E" wp14:editId="00FE044F">
            <wp:extent cx="140208" cy="18592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b w:val="0"/>
          <w:sz w:val="20"/>
        </w:rPr>
        <w:t xml:space="preserve">  </w:t>
      </w:r>
      <w:r>
        <w:rPr>
          <w:rFonts w:ascii="Times New Roman"/>
          <w:b w:val="0"/>
          <w:spacing w:val="-11"/>
          <w:sz w:val="20"/>
        </w:rPr>
        <w:t xml:space="preserve"> </w:t>
      </w:r>
      <w:r>
        <w:t>Ensaio dos materiais de</w:t>
      </w:r>
      <w:r>
        <w:rPr>
          <w:spacing w:val="2"/>
        </w:rPr>
        <w:t xml:space="preserve"> </w:t>
      </w:r>
      <w:r>
        <w:t>controle</w:t>
      </w:r>
    </w:p>
    <w:p w14:paraId="00FE0220" w14:textId="77777777" w:rsidR="00170F05" w:rsidRDefault="00C66DC1">
      <w:pPr>
        <w:pStyle w:val="Corpodetexto"/>
        <w:spacing w:before="144" w:line="360" w:lineRule="auto"/>
        <w:ind w:left="316" w:right="287" w:firstLine="706"/>
        <w:jc w:val="both"/>
      </w:pPr>
      <w:r>
        <w:t xml:space="preserve">Os procedimentos de ensaio dos materiais </w:t>
      </w:r>
      <w:r>
        <w:rPr>
          <w:spacing w:val="4"/>
        </w:rPr>
        <w:t xml:space="preserve">de </w:t>
      </w:r>
      <w:r>
        <w:t xml:space="preserve">controle devem seguir algumas normas para que os resultados possam ser utilizados </w:t>
      </w:r>
      <w:r>
        <w:rPr>
          <w:spacing w:val="-4"/>
        </w:rPr>
        <w:t xml:space="preserve">como </w:t>
      </w:r>
      <w:r>
        <w:t>informações confiáveis. Nas Boas Práticas de Laboratórios Clínicos, sugere-se usar dois controles com níveis diferentes de concentração. O emprego de dois níveis de controle permite verificar a linearidade da resposta do procedimento de medição, sendo tamb</w:t>
      </w:r>
      <w:r>
        <w:t>ém possível observar o desempenho em uma faixa mais ampla do sistema analítico. Além disso, como a probabilidade da detecção de erros depende do número de controles ensaiados, quando são utilizados dois controles por corrida analítica, maior será a probabi</w:t>
      </w:r>
      <w:r>
        <w:t xml:space="preserve">lidade de detecção de erros. Quando a estabilidade do procedimento é menor do que 24 horas, é </w:t>
      </w:r>
      <w:r>
        <w:lastRenderedPageBreak/>
        <w:t>necessário que os controles sejam ensaiados a cada período de perda de</w:t>
      </w:r>
      <w:r>
        <w:rPr>
          <w:spacing w:val="-24"/>
        </w:rPr>
        <w:t xml:space="preserve"> </w:t>
      </w:r>
      <w:r>
        <w:t>estabilidade.</w:t>
      </w:r>
    </w:p>
    <w:p w14:paraId="00FE0224" w14:textId="77777777" w:rsidR="00170F05" w:rsidRDefault="00C66DC1">
      <w:pPr>
        <w:pStyle w:val="Corpodetexto"/>
        <w:spacing w:before="93" w:line="360" w:lineRule="auto"/>
        <w:ind w:left="316" w:right="294" w:firstLine="706"/>
        <w:jc w:val="both"/>
      </w:pPr>
      <w:r>
        <w:t>No primeiro dia de trabalho do mês, deve-se iniciar as me</w:t>
      </w:r>
      <w:r>
        <w:t>didas dos controles e dosar o mesmo lote de controles durante todo o mês, o que significa que não se deve trocar os lotes de controle durante um mês de trabalho. Tendo em vista que os materiais de controle devem ser ensaiados em todas as corridas analítica</w:t>
      </w:r>
      <w:r>
        <w:t>s, deve ser feito um planejamento de sua aquisição para que não seja necessária uma troca de lotes durante um mês de uso.</w:t>
      </w:r>
    </w:p>
    <w:p w14:paraId="00FE0225" w14:textId="77777777" w:rsidR="00170F05" w:rsidRDefault="00C66DC1">
      <w:pPr>
        <w:pStyle w:val="Corpodetexto"/>
        <w:spacing w:before="3" w:line="360" w:lineRule="auto"/>
        <w:ind w:left="316" w:right="282" w:firstLine="706"/>
        <w:jc w:val="both"/>
      </w:pPr>
      <w:r>
        <w:t>Antes de se introduzir um novo lote de controles na rotina, deve-se fazer a determinação das médias e do desvio padrão para cada anali</w:t>
      </w:r>
      <w:r>
        <w:t xml:space="preserve">to, dosando os novos lotes em paralelo no </w:t>
      </w:r>
      <w:r>
        <w:rPr>
          <w:spacing w:val="-3"/>
        </w:rPr>
        <w:t xml:space="preserve">mês </w:t>
      </w:r>
      <w:r>
        <w:t xml:space="preserve">que anteceder a troca. Dessa forma, quando um novo lote de controles é introduzido, </w:t>
      </w:r>
      <w:r>
        <w:rPr>
          <w:spacing w:val="-3"/>
        </w:rPr>
        <w:t xml:space="preserve">já </w:t>
      </w:r>
      <w:r>
        <w:t xml:space="preserve">se tem conhecimento da média e do desvio padrão de </w:t>
      </w:r>
      <w:r>
        <w:rPr>
          <w:spacing w:val="3"/>
        </w:rPr>
        <w:t xml:space="preserve">cada </w:t>
      </w:r>
      <w:r>
        <w:t xml:space="preserve">analito para permitir a definição dos novos limites de controle. </w:t>
      </w:r>
      <w:r>
        <w:rPr>
          <w:spacing w:val="3"/>
        </w:rPr>
        <w:t>Al</w:t>
      </w:r>
      <w:r>
        <w:rPr>
          <w:spacing w:val="3"/>
        </w:rPr>
        <w:t xml:space="preserve">ém </w:t>
      </w:r>
      <w:r>
        <w:t>do mais, deve-se criar um POP (Procedimento Operacional Padrão) que estabeleça as normas de armazenamento, preparação e utilização dos materiais de controle, os critérios para a introdução de novos lotes de controles e reagentes, com definição dos limit</w:t>
      </w:r>
      <w:r>
        <w:t>es de controle.</w:t>
      </w:r>
    </w:p>
    <w:p w14:paraId="00FE0226" w14:textId="77777777" w:rsidR="00170F05" w:rsidRDefault="00170F05">
      <w:pPr>
        <w:pStyle w:val="Corpodetexto"/>
        <w:spacing w:before="8"/>
        <w:rPr>
          <w:sz w:val="28"/>
        </w:rPr>
      </w:pPr>
    </w:p>
    <w:p w14:paraId="00FE0227" w14:textId="77777777" w:rsidR="00170F05" w:rsidRDefault="00C66DC1">
      <w:pPr>
        <w:pStyle w:val="Ttulo2"/>
        <w:spacing w:before="78"/>
        <w:ind w:left="739"/>
      </w:pPr>
      <w:r>
        <w:rPr>
          <w:b w:val="0"/>
          <w:noProof/>
          <w:position w:val="-4"/>
        </w:rPr>
        <w:drawing>
          <wp:inline distT="0" distB="0" distL="0" distR="0" wp14:anchorId="00FE0450" wp14:editId="00FE0451">
            <wp:extent cx="140208" cy="185927"/>
            <wp:effectExtent l="0" t="0" r="0" b="0"/>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Registro dos resultados e das</w:t>
      </w:r>
      <w:r>
        <w:rPr>
          <w:spacing w:val="-16"/>
        </w:rPr>
        <w:t xml:space="preserve"> </w:t>
      </w:r>
      <w:r>
        <w:t>ocorrências</w:t>
      </w:r>
    </w:p>
    <w:p w14:paraId="00FE0228" w14:textId="77777777" w:rsidR="00170F05" w:rsidRDefault="00C66DC1">
      <w:pPr>
        <w:pStyle w:val="Corpodetexto"/>
        <w:spacing w:before="144" w:line="360" w:lineRule="auto"/>
        <w:ind w:left="316" w:right="287" w:firstLine="706"/>
        <w:jc w:val="both"/>
      </w:pPr>
      <w:r>
        <w:t xml:space="preserve">Um dos componentes de fundamental importância dos sistemas da qualidade refere-se ao registro dos resultados e das ocorrências. Uma dessas formas de registro é o chamado gráfico de controle de </w:t>
      </w:r>
      <w:proofErr w:type="spellStart"/>
      <w:r>
        <w:t>Levey</w:t>
      </w:r>
      <w:proofErr w:type="spellEnd"/>
      <w:r>
        <w:t xml:space="preserve">-Jennings. Este, inicialmente utilizado nas indústrias, foi adaptado para uso em laboratório clínico e </w:t>
      </w:r>
      <w:r>
        <w:rPr>
          <w:spacing w:val="-3"/>
        </w:rPr>
        <w:t xml:space="preserve">hoje </w:t>
      </w:r>
      <w:r>
        <w:t xml:space="preserve">constitui uma ferramenta imprescindível na implantação do Controle de Qualidade. Tais gráficos têm </w:t>
      </w:r>
      <w:r>
        <w:rPr>
          <w:spacing w:val="-3"/>
        </w:rPr>
        <w:t xml:space="preserve">uma </w:t>
      </w:r>
      <w:r>
        <w:t>forma simples de lançar os resultados ob</w:t>
      </w:r>
      <w:r>
        <w:t xml:space="preserve">tidos nas dosagens diárias dos </w:t>
      </w:r>
      <w:proofErr w:type="gramStart"/>
      <w:r>
        <w:t>controles,  consistindo</w:t>
      </w:r>
      <w:proofErr w:type="gramEnd"/>
      <w:r>
        <w:t xml:space="preserve"> em uma extensão da distribuição gaussiana e representa a área sob a curva de Gauss compreendida entre mais ou menos 3 desvios(s), </w:t>
      </w:r>
      <w:r>
        <w:rPr>
          <w:spacing w:val="-4"/>
        </w:rPr>
        <w:t xml:space="preserve">como </w:t>
      </w:r>
      <w:r>
        <w:t>se mostra na Figura</w:t>
      </w:r>
      <w:r>
        <w:rPr>
          <w:spacing w:val="-4"/>
        </w:rPr>
        <w:t xml:space="preserve"> </w:t>
      </w:r>
      <w:r>
        <w:t>1.</w:t>
      </w:r>
    </w:p>
    <w:p w14:paraId="00FE0229" w14:textId="77777777" w:rsidR="00170F05" w:rsidRDefault="00170F05">
      <w:pPr>
        <w:spacing w:line="360" w:lineRule="auto"/>
        <w:jc w:val="both"/>
        <w:sectPr w:rsidR="00170F05">
          <w:pgSz w:w="11910" w:h="16840"/>
          <w:pgMar w:top="820" w:right="840" w:bottom="280" w:left="1100" w:header="569" w:footer="0" w:gutter="0"/>
          <w:cols w:space="720"/>
        </w:sectPr>
      </w:pPr>
    </w:p>
    <w:p w14:paraId="00FE022A" w14:textId="77777777" w:rsidR="00170F05" w:rsidRDefault="00170F05">
      <w:pPr>
        <w:pStyle w:val="Corpodetexto"/>
        <w:rPr>
          <w:sz w:val="20"/>
        </w:rPr>
      </w:pPr>
    </w:p>
    <w:p w14:paraId="00FE022B" w14:textId="77777777" w:rsidR="00170F05" w:rsidRDefault="00170F05">
      <w:pPr>
        <w:pStyle w:val="Corpodetexto"/>
        <w:rPr>
          <w:sz w:val="20"/>
        </w:rPr>
      </w:pPr>
    </w:p>
    <w:p w14:paraId="00FE022C" w14:textId="77777777" w:rsidR="00170F05" w:rsidRDefault="00170F05">
      <w:pPr>
        <w:pStyle w:val="Corpodetexto"/>
        <w:rPr>
          <w:sz w:val="20"/>
        </w:rPr>
      </w:pPr>
    </w:p>
    <w:p w14:paraId="00FE022D" w14:textId="77777777" w:rsidR="00170F05" w:rsidRDefault="00170F05">
      <w:pPr>
        <w:pStyle w:val="Corpodetexto"/>
        <w:spacing w:before="7"/>
        <w:rPr>
          <w:sz w:val="20"/>
        </w:rPr>
      </w:pPr>
    </w:p>
    <w:p w14:paraId="00FE022E" w14:textId="77777777" w:rsidR="00170F05" w:rsidRDefault="00C66DC1">
      <w:pPr>
        <w:pStyle w:val="Corpodetexto"/>
        <w:ind w:left="2798"/>
        <w:rPr>
          <w:sz w:val="20"/>
        </w:rPr>
      </w:pPr>
      <w:r>
        <w:rPr>
          <w:noProof/>
          <w:sz w:val="20"/>
        </w:rPr>
        <w:drawing>
          <wp:inline distT="0" distB="0" distL="0" distR="0" wp14:anchorId="00FE0452" wp14:editId="00FE0453">
            <wp:extent cx="2786756" cy="2071116"/>
            <wp:effectExtent l="0" t="0" r="0" b="0"/>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jpeg"/>
                    <pic:cNvPicPr/>
                  </pic:nvPicPr>
                  <pic:blipFill>
                    <a:blip r:embed="rId12" cstate="print"/>
                    <a:stretch>
                      <a:fillRect/>
                    </a:stretch>
                  </pic:blipFill>
                  <pic:spPr>
                    <a:xfrm>
                      <a:off x="0" y="0"/>
                      <a:ext cx="2786756" cy="2071116"/>
                    </a:xfrm>
                    <a:prstGeom prst="rect">
                      <a:avLst/>
                    </a:prstGeom>
                  </pic:spPr>
                </pic:pic>
              </a:graphicData>
            </a:graphic>
          </wp:inline>
        </w:drawing>
      </w:r>
    </w:p>
    <w:p w14:paraId="00FE022F" w14:textId="77777777" w:rsidR="00170F05" w:rsidRDefault="00C66DC1">
      <w:pPr>
        <w:spacing w:before="142"/>
        <w:ind w:left="3375" w:right="3186" w:firstLine="9"/>
        <w:rPr>
          <w:sz w:val="20"/>
        </w:rPr>
      </w:pPr>
      <w:bookmarkStart w:id="5" w:name="_bookmark11"/>
      <w:bookmarkEnd w:id="5"/>
      <w:r>
        <w:rPr>
          <w:sz w:val="20"/>
        </w:rPr>
        <w:t>Figura 1 – Área sob a curva de Gauss Fonte: BASQUES (2009)</w:t>
      </w:r>
    </w:p>
    <w:p w14:paraId="00FE0230" w14:textId="77777777" w:rsidR="00170F05" w:rsidRDefault="00170F05">
      <w:pPr>
        <w:pStyle w:val="Corpodetexto"/>
        <w:rPr>
          <w:sz w:val="22"/>
        </w:rPr>
      </w:pPr>
    </w:p>
    <w:p w14:paraId="00FE0231" w14:textId="77777777" w:rsidR="00170F05" w:rsidRDefault="00C66DC1">
      <w:pPr>
        <w:pStyle w:val="Corpodetexto"/>
        <w:spacing w:before="162" w:line="360" w:lineRule="auto"/>
        <w:ind w:left="316" w:right="286" w:firstLine="706"/>
        <w:jc w:val="both"/>
      </w:pPr>
      <w:r>
        <w:t>Deve-se analisar a amostra controle para o analito a ser controlado, no mínimo 20 dias diferentes. Então calcula-se a média e o desvio padrão a partir dos resultados obtidos e estabelecem-se os LA</w:t>
      </w:r>
      <w:r>
        <w:t xml:space="preserve">E ou limites de controle (LC). </w:t>
      </w:r>
      <w:r>
        <w:rPr>
          <w:spacing w:val="-3"/>
        </w:rPr>
        <w:t xml:space="preserve">Uma </w:t>
      </w:r>
      <w:r>
        <w:t xml:space="preserve">vez </w:t>
      </w:r>
      <w:proofErr w:type="gramStart"/>
      <w:r>
        <w:t>determinados  os</w:t>
      </w:r>
      <w:proofErr w:type="gramEnd"/>
      <w:r>
        <w:t xml:space="preserve"> limites para os resultados de controle, definem-se os critérios para aceitação ou rejeição dos resultados de controle de </w:t>
      </w:r>
      <w:r>
        <w:rPr>
          <w:spacing w:val="-3"/>
        </w:rPr>
        <w:t xml:space="preserve">forma </w:t>
      </w:r>
      <w:r>
        <w:t xml:space="preserve">a reduzir a “falsa rejeição”. Utilizam-se as regras múltiplas de </w:t>
      </w:r>
      <w:proofErr w:type="spellStart"/>
      <w:r>
        <w:t>Westgard</w:t>
      </w:r>
      <w:proofErr w:type="spellEnd"/>
      <w:r>
        <w:t xml:space="preserve"> como ferramentas deste processo. Estas consistem </w:t>
      </w:r>
      <w:r>
        <w:rPr>
          <w:spacing w:val="5"/>
        </w:rPr>
        <w:t xml:space="preserve">em </w:t>
      </w:r>
      <w:r>
        <w:rPr>
          <w:spacing w:val="-3"/>
        </w:rPr>
        <w:t xml:space="preserve">uma </w:t>
      </w:r>
      <w:r>
        <w:t xml:space="preserve">combinação de critérios de decisão ou regras de controle para julgar quando </w:t>
      </w:r>
      <w:r>
        <w:rPr>
          <w:spacing w:val="-3"/>
        </w:rPr>
        <w:t xml:space="preserve">uma </w:t>
      </w:r>
      <w:r>
        <w:t>corrida está dentro ou fora de controle. Em seguida, são apresentadas as cinco diferentes regras para julgar a aceitabi</w:t>
      </w:r>
      <w:r>
        <w:t xml:space="preserve">lidade de </w:t>
      </w:r>
      <w:r>
        <w:rPr>
          <w:spacing w:val="-3"/>
        </w:rPr>
        <w:t xml:space="preserve">uma </w:t>
      </w:r>
      <w:r>
        <w:t>corrida</w:t>
      </w:r>
      <w:r>
        <w:rPr>
          <w:spacing w:val="-12"/>
        </w:rPr>
        <w:t xml:space="preserve"> </w:t>
      </w:r>
      <w:r>
        <w:t>analítica.</w:t>
      </w:r>
    </w:p>
    <w:p w14:paraId="00FE0232" w14:textId="77777777" w:rsidR="00170F05" w:rsidRDefault="00170F05">
      <w:pPr>
        <w:pStyle w:val="Corpodetexto"/>
        <w:spacing w:before="8"/>
        <w:rPr>
          <w:sz w:val="28"/>
        </w:rPr>
      </w:pPr>
    </w:p>
    <w:p w14:paraId="00FE0233" w14:textId="77777777" w:rsidR="00170F05" w:rsidRDefault="00C66DC1">
      <w:pPr>
        <w:pStyle w:val="Ttulo2"/>
        <w:spacing w:before="77"/>
        <w:ind w:left="739"/>
      </w:pPr>
      <w:r>
        <w:rPr>
          <w:b w:val="0"/>
          <w:noProof/>
          <w:position w:val="-4"/>
        </w:rPr>
        <w:drawing>
          <wp:inline distT="0" distB="0" distL="0" distR="0" wp14:anchorId="00FE0454" wp14:editId="00FE0455">
            <wp:extent cx="140208" cy="18592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b w:val="0"/>
          <w:sz w:val="20"/>
        </w:rPr>
        <w:t xml:space="preserve">  </w:t>
      </w:r>
      <w:r>
        <w:rPr>
          <w:rFonts w:ascii="Times New Roman"/>
          <w:b w:val="0"/>
          <w:spacing w:val="-11"/>
          <w:sz w:val="20"/>
        </w:rPr>
        <w:t xml:space="preserve"> </w:t>
      </w:r>
      <w:r>
        <w:t>Regra 1</w:t>
      </w:r>
      <w:r>
        <w:rPr>
          <w:vertAlign w:val="subscript"/>
        </w:rPr>
        <w:t>2s</w:t>
      </w:r>
      <w:r>
        <w:t xml:space="preserve"> (para um</w:t>
      </w:r>
      <w:r>
        <w:rPr>
          <w:spacing w:val="-30"/>
        </w:rPr>
        <w:t xml:space="preserve"> </w:t>
      </w:r>
      <w:r>
        <w:t>controle)</w:t>
      </w:r>
    </w:p>
    <w:p w14:paraId="00FE0234" w14:textId="77777777" w:rsidR="00170F05" w:rsidRDefault="00C66DC1">
      <w:pPr>
        <w:pStyle w:val="Corpodetexto"/>
        <w:spacing w:before="145" w:line="360" w:lineRule="auto"/>
        <w:ind w:left="316" w:right="290" w:firstLine="706"/>
        <w:jc w:val="both"/>
      </w:pPr>
      <w:r>
        <w:t xml:space="preserve">É aplicada quando o valor do controle excede um dos limites de </w:t>
      </w:r>
      <w:proofErr w:type="spellStart"/>
      <w:r>
        <w:t>Xm</w:t>
      </w:r>
      <w:proofErr w:type="spellEnd"/>
      <w:r>
        <w:t xml:space="preserve"> ± 2s. Esse é o sinal de alerta do mapa de controle e indica que inspeções adicionais devem ser realizadas nos dados do controle. É interpretada como um aviso de possíveis problemas sem neces</w:t>
      </w:r>
      <w:r>
        <w:t>sidade de repetição da bateria de exames.</w:t>
      </w:r>
    </w:p>
    <w:p w14:paraId="00FE0235" w14:textId="77777777" w:rsidR="00170F05" w:rsidRDefault="00C66DC1">
      <w:pPr>
        <w:pStyle w:val="Corpodetexto"/>
        <w:spacing w:line="360" w:lineRule="auto"/>
        <w:ind w:left="316" w:right="287" w:firstLine="706"/>
        <w:jc w:val="both"/>
      </w:pPr>
      <w:r>
        <w:t xml:space="preserve">A violação de qualquer </w:t>
      </w:r>
      <w:r>
        <w:rPr>
          <w:spacing w:val="-3"/>
        </w:rPr>
        <w:t xml:space="preserve">uma </w:t>
      </w:r>
      <w:r>
        <w:t>das regras a seguir indica que o processo perdeu a estabilidade. A regra violada ajuda na identificação do tipo de erro responsável pela perda da estabilidade do processo analítico, deven</w:t>
      </w:r>
      <w:r>
        <w:t xml:space="preserve">do-se, então, procurar suas causas e introduzir a ação corretiva necessária. A aplicação da regra </w:t>
      </w:r>
      <w:r>
        <w:rPr>
          <w:spacing w:val="3"/>
        </w:rPr>
        <w:t>1</w:t>
      </w:r>
      <w:r>
        <w:rPr>
          <w:spacing w:val="3"/>
          <w:vertAlign w:val="subscript"/>
        </w:rPr>
        <w:t>3s</w:t>
      </w:r>
      <w:r>
        <w:rPr>
          <w:spacing w:val="3"/>
        </w:rPr>
        <w:t xml:space="preserve"> </w:t>
      </w:r>
      <w:r>
        <w:t>(para um controle) é ilustrada na Figura</w:t>
      </w:r>
      <w:r>
        <w:rPr>
          <w:spacing w:val="-1"/>
        </w:rPr>
        <w:t xml:space="preserve"> </w:t>
      </w:r>
      <w:r>
        <w:t>2.</w:t>
      </w:r>
    </w:p>
    <w:p w14:paraId="00FE0236" w14:textId="77777777" w:rsidR="00170F05" w:rsidRDefault="00170F05">
      <w:pPr>
        <w:spacing w:line="360" w:lineRule="auto"/>
        <w:jc w:val="both"/>
        <w:sectPr w:rsidR="00170F05">
          <w:pgSz w:w="11910" w:h="16840"/>
          <w:pgMar w:top="820" w:right="840" w:bottom="280" w:left="1100" w:header="569" w:footer="0" w:gutter="0"/>
          <w:cols w:space="720"/>
        </w:sectPr>
      </w:pPr>
    </w:p>
    <w:p w14:paraId="00FE0237" w14:textId="77777777" w:rsidR="00170F05" w:rsidRDefault="00170F05">
      <w:pPr>
        <w:pStyle w:val="Corpodetexto"/>
        <w:rPr>
          <w:sz w:val="20"/>
        </w:rPr>
      </w:pPr>
    </w:p>
    <w:p w14:paraId="00FE0238" w14:textId="77777777" w:rsidR="00170F05" w:rsidRDefault="00170F05">
      <w:pPr>
        <w:pStyle w:val="Corpodetexto"/>
        <w:rPr>
          <w:sz w:val="20"/>
        </w:rPr>
      </w:pPr>
    </w:p>
    <w:p w14:paraId="00FE0239" w14:textId="77777777" w:rsidR="00170F05" w:rsidRDefault="00170F05">
      <w:pPr>
        <w:pStyle w:val="Corpodetexto"/>
        <w:rPr>
          <w:sz w:val="20"/>
        </w:rPr>
      </w:pPr>
    </w:p>
    <w:p w14:paraId="00FE023A" w14:textId="77777777" w:rsidR="00170F05" w:rsidRDefault="00170F05">
      <w:pPr>
        <w:pStyle w:val="Corpodetexto"/>
        <w:spacing w:before="9"/>
        <w:rPr>
          <w:sz w:val="20"/>
        </w:rPr>
      </w:pPr>
    </w:p>
    <w:p w14:paraId="00FE023B" w14:textId="77777777" w:rsidR="00170F05" w:rsidRDefault="00C66DC1">
      <w:pPr>
        <w:pStyle w:val="Corpodetexto"/>
        <w:ind w:left="2838"/>
        <w:rPr>
          <w:sz w:val="20"/>
        </w:rPr>
      </w:pPr>
      <w:r>
        <w:rPr>
          <w:noProof/>
          <w:sz w:val="20"/>
        </w:rPr>
        <w:drawing>
          <wp:inline distT="0" distB="0" distL="0" distR="0" wp14:anchorId="00FE0456" wp14:editId="00FE0457">
            <wp:extent cx="2841366" cy="2412301"/>
            <wp:effectExtent l="0" t="0" r="0" b="0"/>
            <wp:docPr id="5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jpeg"/>
                    <pic:cNvPicPr/>
                  </pic:nvPicPr>
                  <pic:blipFill>
                    <a:blip r:embed="rId13" cstate="print"/>
                    <a:stretch>
                      <a:fillRect/>
                    </a:stretch>
                  </pic:blipFill>
                  <pic:spPr>
                    <a:xfrm>
                      <a:off x="0" y="0"/>
                      <a:ext cx="2841366" cy="2412301"/>
                    </a:xfrm>
                    <a:prstGeom prst="rect">
                      <a:avLst/>
                    </a:prstGeom>
                  </pic:spPr>
                </pic:pic>
              </a:graphicData>
            </a:graphic>
          </wp:inline>
        </w:drawing>
      </w:r>
    </w:p>
    <w:p w14:paraId="00FE023C" w14:textId="77777777" w:rsidR="00170F05" w:rsidRDefault="00170F05">
      <w:pPr>
        <w:pStyle w:val="Corpodetexto"/>
        <w:spacing w:before="7"/>
        <w:rPr>
          <w:sz w:val="10"/>
        </w:rPr>
      </w:pPr>
    </w:p>
    <w:p w14:paraId="00FE023D" w14:textId="77777777" w:rsidR="00170F05" w:rsidRDefault="00C66DC1">
      <w:pPr>
        <w:spacing w:before="96"/>
        <w:ind w:left="3470" w:right="3447"/>
        <w:jc w:val="center"/>
        <w:rPr>
          <w:b/>
          <w:sz w:val="20"/>
        </w:rPr>
      </w:pPr>
      <w:r>
        <w:rPr>
          <w:sz w:val="20"/>
        </w:rPr>
        <w:t xml:space="preserve">Figura 2 – Aplicação da Regra </w:t>
      </w:r>
      <w:r>
        <w:rPr>
          <w:b/>
          <w:sz w:val="20"/>
        </w:rPr>
        <w:t>1</w:t>
      </w:r>
      <w:r>
        <w:rPr>
          <w:b/>
          <w:sz w:val="20"/>
          <w:vertAlign w:val="subscript"/>
        </w:rPr>
        <w:t>3s</w:t>
      </w:r>
    </w:p>
    <w:p w14:paraId="00FE023E" w14:textId="77777777" w:rsidR="00170F05" w:rsidRDefault="00C66DC1">
      <w:pPr>
        <w:spacing w:before="6"/>
        <w:ind w:left="3470" w:right="3447"/>
        <w:jc w:val="center"/>
        <w:rPr>
          <w:sz w:val="20"/>
        </w:rPr>
      </w:pPr>
      <w:r>
        <w:rPr>
          <w:sz w:val="20"/>
        </w:rPr>
        <w:t>Fonte</w:t>
      </w:r>
      <w:r>
        <w:rPr>
          <w:sz w:val="24"/>
        </w:rPr>
        <w:t xml:space="preserve">: </w:t>
      </w:r>
      <w:r>
        <w:rPr>
          <w:sz w:val="20"/>
        </w:rPr>
        <w:t>BASQUES (2009)</w:t>
      </w:r>
    </w:p>
    <w:p w14:paraId="00FE023F" w14:textId="77777777" w:rsidR="00170F05" w:rsidRDefault="00170F05">
      <w:pPr>
        <w:pStyle w:val="Corpodetexto"/>
        <w:rPr>
          <w:sz w:val="26"/>
        </w:rPr>
      </w:pPr>
    </w:p>
    <w:p w14:paraId="00FE0240" w14:textId="77777777" w:rsidR="00170F05" w:rsidRDefault="00170F05">
      <w:pPr>
        <w:pStyle w:val="Corpodetexto"/>
        <w:spacing w:before="9"/>
        <w:rPr>
          <w:sz w:val="21"/>
        </w:rPr>
      </w:pPr>
    </w:p>
    <w:p w14:paraId="00FE0241" w14:textId="77777777" w:rsidR="00170F05" w:rsidRDefault="00C66DC1">
      <w:pPr>
        <w:pStyle w:val="Corpodetexto"/>
        <w:ind w:left="316"/>
        <w:jc w:val="both"/>
      </w:pPr>
      <w:r>
        <w:t>Os resultados devem ser rejeitados quando um único valor do con</w:t>
      </w:r>
      <w:bookmarkStart w:id="6" w:name="_bookmark12"/>
      <w:bookmarkEnd w:id="6"/>
      <w:r>
        <w:t>trole excede a média</w:t>
      </w:r>
    </w:p>
    <w:p w14:paraId="00FE0242" w14:textId="77777777" w:rsidR="00170F05" w:rsidRDefault="00C66DC1">
      <w:pPr>
        <w:pStyle w:val="Corpodetexto"/>
        <w:spacing w:before="137"/>
        <w:ind w:left="316"/>
        <w:jc w:val="both"/>
      </w:pPr>
      <w:r>
        <w:t>± 3s. Essa regra indica um erro aleatório.</w:t>
      </w:r>
    </w:p>
    <w:p w14:paraId="00FE0243" w14:textId="77777777" w:rsidR="00170F05" w:rsidRDefault="00C66DC1">
      <w:pPr>
        <w:pStyle w:val="Corpodetexto"/>
        <w:spacing w:before="142"/>
        <w:ind w:left="1056"/>
        <w:jc w:val="both"/>
      </w:pPr>
      <w:r>
        <w:t xml:space="preserve">A aplicação da Regra 2 </w:t>
      </w:r>
      <w:r>
        <w:rPr>
          <w:vertAlign w:val="subscript"/>
        </w:rPr>
        <w:t>2s</w:t>
      </w:r>
      <w:r>
        <w:t xml:space="preserve"> </w:t>
      </w:r>
      <w:proofErr w:type="gramStart"/>
      <w:r>
        <w:t>( dois</w:t>
      </w:r>
      <w:proofErr w:type="gramEnd"/>
      <w:r>
        <w:t xml:space="preserve"> controles) é mostrada a seguir, na Figura 3.</w:t>
      </w:r>
    </w:p>
    <w:p w14:paraId="00FE0244" w14:textId="77777777" w:rsidR="00170F05" w:rsidRDefault="00C66DC1">
      <w:pPr>
        <w:pStyle w:val="Corpodetexto"/>
        <w:spacing w:line="20" w:lineRule="exact"/>
        <w:ind w:left="3908"/>
        <w:rPr>
          <w:sz w:val="2"/>
        </w:rPr>
      </w:pPr>
      <w:r>
        <w:rPr>
          <w:sz w:val="2"/>
        </w:rPr>
      </w:r>
      <w:r>
        <w:rPr>
          <w:sz w:val="2"/>
        </w:rPr>
        <w:pict w14:anchorId="00FE0459">
          <v:group id="_x0000_s2062" style="width:2.2pt;height:.5pt;mso-position-horizontal-relative:char;mso-position-vertical-relative:line" coordsize="44,10">
            <v:rect id="_x0000_s2063" style="position:absolute;width:44;height:10" fillcolor="black" stroked="f"/>
            <w10:anchorlock/>
          </v:group>
        </w:pict>
      </w:r>
    </w:p>
    <w:p w14:paraId="00FE0245" w14:textId="77777777" w:rsidR="00170F05" w:rsidRDefault="00170F05">
      <w:pPr>
        <w:pStyle w:val="Corpodetexto"/>
        <w:rPr>
          <w:sz w:val="20"/>
        </w:rPr>
      </w:pPr>
    </w:p>
    <w:p w14:paraId="00FE0246" w14:textId="77777777" w:rsidR="00170F05" w:rsidRDefault="00C66DC1">
      <w:pPr>
        <w:pStyle w:val="Corpodetexto"/>
        <w:spacing w:before="7"/>
        <w:rPr>
          <w:sz w:val="14"/>
        </w:rPr>
      </w:pPr>
      <w:r>
        <w:rPr>
          <w:noProof/>
        </w:rPr>
        <w:drawing>
          <wp:anchor distT="0" distB="0" distL="0" distR="0" simplePos="0" relativeHeight="9" behindDoc="0" locked="0" layoutInCell="1" allowOverlap="1" wp14:anchorId="00FE045A" wp14:editId="00FE045B">
            <wp:simplePos x="0" y="0"/>
            <wp:positionH relativeFrom="page">
              <wp:posOffset>2043429</wp:posOffset>
            </wp:positionH>
            <wp:positionV relativeFrom="paragraph">
              <wp:posOffset>131882</wp:posOffset>
            </wp:positionV>
            <wp:extent cx="4314237" cy="2470594"/>
            <wp:effectExtent l="0" t="0" r="0" b="0"/>
            <wp:wrapTopAndBottom/>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jpeg"/>
                    <pic:cNvPicPr/>
                  </pic:nvPicPr>
                  <pic:blipFill>
                    <a:blip r:embed="rId14" cstate="print"/>
                    <a:stretch>
                      <a:fillRect/>
                    </a:stretch>
                  </pic:blipFill>
                  <pic:spPr>
                    <a:xfrm>
                      <a:off x="0" y="0"/>
                      <a:ext cx="4314237" cy="2470594"/>
                    </a:xfrm>
                    <a:prstGeom prst="rect">
                      <a:avLst/>
                    </a:prstGeom>
                  </pic:spPr>
                </pic:pic>
              </a:graphicData>
            </a:graphic>
          </wp:anchor>
        </w:drawing>
      </w:r>
    </w:p>
    <w:p w14:paraId="00FE0247" w14:textId="77777777" w:rsidR="00170F05" w:rsidRDefault="00C66DC1">
      <w:pPr>
        <w:spacing w:before="224"/>
        <w:ind w:left="2875" w:right="4069"/>
        <w:rPr>
          <w:sz w:val="20"/>
        </w:rPr>
      </w:pPr>
      <w:bookmarkStart w:id="7" w:name="_bookmark13"/>
      <w:bookmarkEnd w:id="7"/>
      <w:r>
        <w:rPr>
          <w:sz w:val="20"/>
        </w:rPr>
        <w:t>Figura 3 – Aplicação da Regra 2</w:t>
      </w:r>
      <w:r>
        <w:rPr>
          <w:sz w:val="20"/>
          <w:vertAlign w:val="subscript"/>
        </w:rPr>
        <w:t>2s</w:t>
      </w:r>
      <w:r>
        <w:rPr>
          <w:sz w:val="20"/>
        </w:rPr>
        <w:t xml:space="preserve"> Fonte</w:t>
      </w:r>
      <w:r>
        <w:rPr>
          <w:sz w:val="24"/>
        </w:rPr>
        <w:t xml:space="preserve">: </w:t>
      </w:r>
      <w:r>
        <w:rPr>
          <w:sz w:val="20"/>
        </w:rPr>
        <w:t>BASQUES (2009)</w:t>
      </w:r>
    </w:p>
    <w:p w14:paraId="00FE0248" w14:textId="77777777" w:rsidR="00170F05" w:rsidRDefault="00170F05">
      <w:pPr>
        <w:pStyle w:val="Corpodetexto"/>
        <w:spacing w:before="1"/>
      </w:pPr>
    </w:p>
    <w:p w14:paraId="00FE0249" w14:textId="77777777" w:rsidR="00170F05" w:rsidRDefault="00C66DC1">
      <w:pPr>
        <w:pStyle w:val="Corpodetexto"/>
        <w:spacing w:line="360" w:lineRule="auto"/>
        <w:ind w:left="316" w:right="294"/>
        <w:jc w:val="both"/>
      </w:pPr>
      <w:r>
        <w:t>Essa regra é violada quando, em duas corridas analíticas consecutivas, o valor do controle excede a média ± 2s, no mesmo sentido. Essa regra é indicadora de um erro sistemático. Pode ser testada “intercontroles”, ou seja, dois níveis de controle pertencent</w:t>
      </w:r>
      <w:r>
        <w:t xml:space="preserve">e </w:t>
      </w:r>
      <w:proofErr w:type="spellStart"/>
      <w:r>
        <w:t>á</w:t>
      </w:r>
      <w:proofErr w:type="spellEnd"/>
      <w:r>
        <w:t xml:space="preserve"> mesma corrida analítica, ou pode ser testada “</w:t>
      </w:r>
      <w:proofErr w:type="spellStart"/>
      <w:r>
        <w:t>intracontrole</w:t>
      </w:r>
      <w:proofErr w:type="spellEnd"/>
      <w:r>
        <w:t>” em duas corridas simultaneamente do mesmo nível de controle.</w:t>
      </w:r>
    </w:p>
    <w:p w14:paraId="00FE024A" w14:textId="77777777" w:rsidR="00170F05" w:rsidRDefault="00C66DC1">
      <w:pPr>
        <w:pStyle w:val="Corpodetexto"/>
        <w:spacing w:before="4"/>
        <w:ind w:left="989"/>
        <w:jc w:val="both"/>
      </w:pPr>
      <w:r>
        <w:t>A aplicação da Regra 4</w:t>
      </w:r>
      <w:r>
        <w:rPr>
          <w:vertAlign w:val="subscript"/>
        </w:rPr>
        <w:t>1s</w:t>
      </w:r>
      <w:r>
        <w:t xml:space="preserve"> é mostrada, na Figura 4.</w:t>
      </w:r>
    </w:p>
    <w:p w14:paraId="00FE024B" w14:textId="77777777" w:rsidR="00170F05" w:rsidRDefault="00170F05">
      <w:pPr>
        <w:jc w:val="both"/>
        <w:sectPr w:rsidR="00170F05">
          <w:pgSz w:w="11910" w:h="16840"/>
          <w:pgMar w:top="820" w:right="840" w:bottom="280" w:left="1100" w:header="569" w:footer="0" w:gutter="0"/>
          <w:cols w:space="720"/>
        </w:sectPr>
      </w:pPr>
    </w:p>
    <w:p w14:paraId="00FE024C" w14:textId="77777777" w:rsidR="00170F05" w:rsidRDefault="00170F05">
      <w:pPr>
        <w:pStyle w:val="Corpodetexto"/>
        <w:rPr>
          <w:sz w:val="20"/>
        </w:rPr>
      </w:pPr>
    </w:p>
    <w:p w14:paraId="00FE024D" w14:textId="77777777" w:rsidR="00170F05" w:rsidRDefault="00170F05">
      <w:pPr>
        <w:pStyle w:val="Corpodetexto"/>
        <w:rPr>
          <w:sz w:val="20"/>
        </w:rPr>
      </w:pPr>
    </w:p>
    <w:p w14:paraId="00FE024E" w14:textId="77777777" w:rsidR="00170F05" w:rsidRDefault="00170F05">
      <w:pPr>
        <w:pStyle w:val="Corpodetexto"/>
        <w:rPr>
          <w:sz w:val="20"/>
        </w:rPr>
      </w:pPr>
    </w:p>
    <w:p w14:paraId="00FE024F" w14:textId="77777777" w:rsidR="00170F05" w:rsidRDefault="00170F05">
      <w:pPr>
        <w:pStyle w:val="Corpodetexto"/>
        <w:rPr>
          <w:sz w:val="20"/>
        </w:rPr>
      </w:pPr>
    </w:p>
    <w:p w14:paraId="00FE0250" w14:textId="77777777" w:rsidR="00170F05" w:rsidRDefault="00170F05">
      <w:pPr>
        <w:pStyle w:val="Corpodetexto"/>
        <w:spacing w:before="7"/>
        <w:rPr>
          <w:sz w:val="12"/>
        </w:rPr>
      </w:pPr>
    </w:p>
    <w:p w14:paraId="00FE0251" w14:textId="77777777" w:rsidR="00170F05" w:rsidRDefault="00C66DC1">
      <w:pPr>
        <w:pStyle w:val="Corpodetexto"/>
        <w:ind w:left="1716"/>
        <w:rPr>
          <w:sz w:val="20"/>
        </w:rPr>
      </w:pPr>
      <w:r>
        <w:rPr>
          <w:noProof/>
          <w:sz w:val="20"/>
        </w:rPr>
        <w:drawing>
          <wp:inline distT="0" distB="0" distL="0" distR="0" wp14:anchorId="00FE045C" wp14:editId="00FE045D">
            <wp:extent cx="4262177" cy="3084576"/>
            <wp:effectExtent l="0" t="0" r="0" b="0"/>
            <wp:docPr id="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15" cstate="print"/>
                    <a:stretch>
                      <a:fillRect/>
                    </a:stretch>
                  </pic:blipFill>
                  <pic:spPr>
                    <a:xfrm>
                      <a:off x="0" y="0"/>
                      <a:ext cx="4262177" cy="3084576"/>
                    </a:xfrm>
                    <a:prstGeom prst="rect">
                      <a:avLst/>
                    </a:prstGeom>
                  </pic:spPr>
                </pic:pic>
              </a:graphicData>
            </a:graphic>
          </wp:inline>
        </w:drawing>
      </w:r>
    </w:p>
    <w:p w14:paraId="00FE0252" w14:textId="77777777" w:rsidR="00170F05" w:rsidRDefault="00C66DC1">
      <w:pPr>
        <w:spacing w:before="79"/>
        <w:ind w:left="2040" w:right="4904"/>
        <w:rPr>
          <w:sz w:val="20"/>
        </w:rPr>
      </w:pPr>
      <w:bookmarkStart w:id="8" w:name="_bookmark14"/>
      <w:bookmarkEnd w:id="8"/>
      <w:r>
        <w:rPr>
          <w:sz w:val="20"/>
        </w:rPr>
        <w:t>Figura 4 – Aplicação da Regra 4</w:t>
      </w:r>
      <w:r>
        <w:rPr>
          <w:sz w:val="20"/>
          <w:vertAlign w:val="subscript"/>
        </w:rPr>
        <w:t>1s</w:t>
      </w:r>
      <w:r>
        <w:rPr>
          <w:sz w:val="20"/>
        </w:rPr>
        <w:t xml:space="preserve"> Fonte: BASQUES (2009)</w:t>
      </w:r>
    </w:p>
    <w:p w14:paraId="00FE0253" w14:textId="77777777" w:rsidR="00170F05" w:rsidRDefault="00170F05">
      <w:pPr>
        <w:pStyle w:val="Corpodetexto"/>
        <w:rPr>
          <w:sz w:val="22"/>
        </w:rPr>
      </w:pPr>
    </w:p>
    <w:p w14:paraId="00FE0254" w14:textId="77777777" w:rsidR="00170F05" w:rsidRDefault="00C66DC1">
      <w:pPr>
        <w:pStyle w:val="Corpodetexto"/>
        <w:spacing w:before="162" w:line="360" w:lineRule="auto"/>
        <w:ind w:left="316" w:right="289" w:firstLine="706"/>
        <w:jc w:val="both"/>
      </w:pPr>
      <w:r>
        <w:t xml:space="preserve">Essa regra indica que os resultados devem ser rejeitados quando quatro valores consecutivos do controle excedem o mesmo limite de </w:t>
      </w:r>
      <w:proofErr w:type="spellStart"/>
      <w:r>
        <w:t>Xm</w:t>
      </w:r>
      <w:proofErr w:type="spellEnd"/>
      <w:r>
        <w:t xml:space="preserve"> + 1s ou </w:t>
      </w:r>
      <w:proofErr w:type="spellStart"/>
      <w:r>
        <w:t>Xm</w:t>
      </w:r>
      <w:proofErr w:type="spellEnd"/>
      <w:r>
        <w:t xml:space="preserve"> – 1s. Pode ser testada para um nível de controle (quatr</w:t>
      </w:r>
      <w:r>
        <w:t xml:space="preserve">o resultados seguidos ou para dois níveis de controle ou dois resultados seguidos de cada nível de controle). </w:t>
      </w:r>
      <w:r>
        <w:rPr>
          <w:spacing w:val="2"/>
        </w:rPr>
        <w:t xml:space="preserve">Essa </w:t>
      </w:r>
      <w:r>
        <w:t>regra é indicadora da ocorrência de um erro</w:t>
      </w:r>
      <w:r>
        <w:rPr>
          <w:spacing w:val="-13"/>
        </w:rPr>
        <w:t xml:space="preserve"> </w:t>
      </w:r>
      <w:r>
        <w:t>sistemático.</w:t>
      </w:r>
    </w:p>
    <w:p w14:paraId="00FE0255" w14:textId="77777777" w:rsidR="00170F05" w:rsidRDefault="00C66DC1">
      <w:pPr>
        <w:pStyle w:val="Corpodetexto"/>
        <w:spacing w:before="4"/>
        <w:ind w:left="1022"/>
        <w:jc w:val="both"/>
      </w:pPr>
      <w:r>
        <w:t xml:space="preserve">A aplicação da Regra R </w:t>
      </w:r>
      <w:r>
        <w:rPr>
          <w:vertAlign w:val="subscript"/>
        </w:rPr>
        <w:t>4s</w:t>
      </w:r>
      <w:r>
        <w:t xml:space="preserve"> (dois controles) é exemplificada, na Figura 5.</w:t>
      </w:r>
    </w:p>
    <w:p w14:paraId="00FE0256" w14:textId="77777777" w:rsidR="00170F05" w:rsidRDefault="00170F05">
      <w:pPr>
        <w:pStyle w:val="Corpodetexto"/>
        <w:rPr>
          <w:sz w:val="20"/>
        </w:rPr>
      </w:pPr>
    </w:p>
    <w:p w14:paraId="00FE0257" w14:textId="77777777" w:rsidR="00170F05" w:rsidRDefault="00C66DC1">
      <w:pPr>
        <w:pStyle w:val="Corpodetexto"/>
        <w:spacing w:before="10"/>
        <w:rPr>
          <w:sz w:val="13"/>
        </w:rPr>
      </w:pPr>
      <w:r>
        <w:rPr>
          <w:noProof/>
        </w:rPr>
        <w:drawing>
          <wp:anchor distT="0" distB="0" distL="0" distR="0" simplePos="0" relativeHeight="10" behindDoc="0" locked="0" layoutInCell="1" allowOverlap="1" wp14:anchorId="00FE045E" wp14:editId="00FE045F">
            <wp:simplePos x="0" y="0"/>
            <wp:positionH relativeFrom="page">
              <wp:posOffset>2157729</wp:posOffset>
            </wp:positionH>
            <wp:positionV relativeFrom="paragraph">
              <wp:posOffset>126223</wp:posOffset>
            </wp:positionV>
            <wp:extent cx="3866049" cy="2046732"/>
            <wp:effectExtent l="0" t="0" r="0" b="0"/>
            <wp:wrapTopAndBottom/>
            <wp:docPr id="6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jpeg"/>
                    <pic:cNvPicPr/>
                  </pic:nvPicPr>
                  <pic:blipFill>
                    <a:blip r:embed="rId16" cstate="print"/>
                    <a:stretch>
                      <a:fillRect/>
                    </a:stretch>
                  </pic:blipFill>
                  <pic:spPr>
                    <a:xfrm>
                      <a:off x="0" y="0"/>
                      <a:ext cx="3866049" cy="2046732"/>
                    </a:xfrm>
                    <a:prstGeom prst="rect">
                      <a:avLst/>
                    </a:prstGeom>
                  </pic:spPr>
                </pic:pic>
              </a:graphicData>
            </a:graphic>
          </wp:anchor>
        </w:drawing>
      </w:r>
    </w:p>
    <w:p w14:paraId="00FE0258" w14:textId="77777777" w:rsidR="00170F05" w:rsidRDefault="00C66DC1">
      <w:pPr>
        <w:spacing w:before="181"/>
        <w:ind w:left="2539" w:right="4372"/>
        <w:rPr>
          <w:sz w:val="20"/>
        </w:rPr>
      </w:pPr>
      <w:bookmarkStart w:id="9" w:name="_bookmark15"/>
      <w:bookmarkEnd w:id="9"/>
      <w:r>
        <w:rPr>
          <w:sz w:val="20"/>
        </w:rPr>
        <w:t>Figura 5</w:t>
      </w:r>
      <w:r>
        <w:rPr>
          <w:sz w:val="20"/>
        </w:rPr>
        <w:t xml:space="preserve"> – Aplicação da Regra R</w:t>
      </w:r>
      <w:r>
        <w:rPr>
          <w:sz w:val="20"/>
          <w:vertAlign w:val="subscript"/>
        </w:rPr>
        <w:t>4s</w:t>
      </w:r>
      <w:r>
        <w:rPr>
          <w:sz w:val="20"/>
        </w:rPr>
        <w:t xml:space="preserve"> Fonte: BASQUES (2009)</w:t>
      </w:r>
    </w:p>
    <w:p w14:paraId="00FE0259" w14:textId="77777777" w:rsidR="00170F05" w:rsidRDefault="00170F05">
      <w:pPr>
        <w:rPr>
          <w:sz w:val="20"/>
        </w:rPr>
        <w:sectPr w:rsidR="00170F05">
          <w:pgSz w:w="11910" w:h="16840"/>
          <w:pgMar w:top="820" w:right="840" w:bottom="280" w:left="1100" w:header="569" w:footer="0" w:gutter="0"/>
          <w:cols w:space="720"/>
        </w:sectPr>
      </w:pPr>
    </w:p>
    <w:p w14:paraId="00FE025A" w14:textId="77777777" w:rsidR="00170F05" w:rsidRDefault="00170F05">
      <w:pPr>
        <w:pStyle w:val="Corpodetexto"/>
        <w:rPr>
          <w:sz w:val="20"/>
        </w:rPr>
      </w:pPr>
    </w:p>
    <w:p w14:paraId="00FE025B" w14:textId="77777777" w:rsidR="00170F05" w:rsidRDefault="00170F05">
      <w:pPr>
        <w:pStyle w:val="Corpodetexto"/>
        <w:spacing w:before="2"/>
        <w:rPr>
          <w:sz w:val="22"/>
        </w:rPr>
      </w:pPr>
    </w:p>
    <w:p w14:paraId="00FE025C" w14:textId="77777777" w:rsidR="00170F05" w:rsidRDefault="00C66DC1">
      <w:pPr>
        <w:pStyle w:val="Corpodetexto"/>
        <w:spacing w:before="93" w:line="360" w:lineRule="auto"/>
        <w:ind w:left="316" w:right="289"/>
        <w:jc w:val="both"/>
      </w:pPr>
      <w:r>
        <w:t xml:space="preserve">Essa regra é violada quando um resultado de controle excede a </w:t>
      </w:r>
      <w:proofErr w:type="spellStart"/>
      <w:r>
        <w:t>Xm</w:t>
      </w:r>
      <w:proofErr w:type="spellEnd"/>
      <w:r>
        <w:t xml:space="preserve"> + 2s e o outro resultado excede a </w:t>
      </w:r>
      <w:proofErr w:type="spellStart"/>
      <w:r>
        <w:t>Xm</w:t>
      </w:r>
      <w:proofErr w:type="spellEnd"/>
      <w:r>
        <w:t xml:space="preserve"> - 2s, na mesma corrida, numa faixa maior 4s. É indicadora de um erro aleatório. Na Figura 6 exemplifica-se a aplicação da Regra 10x (um ou dois controles)</w:t>
      </w:r>
      <w:r>
        <w:t>.</w:t>
      </w:r>
    </w:p>
    <w:p w14:paraId="00FE025D" w14:textId="77777777" w:rsidR="00170F05" w:rsidRDefault="00C66DC1">
      <w:pPr>
        <w:pStyle w:val="Corpodetexto"/>
        <w:spacing w:before="8"/>
        <w:rPr>
          <w:sz w:val="25"/>
        </w:rPr>
      </w:pPr>
      <w:r>
        <w:rPr>
          <w:noProof/>
        </w:rPr>
        <w:drawing>
          <wp:anchor distT="0" distB="0" distL="0" distR="0" simplePos="0" relativeHeight="11" behindDoc="0" locked="0" layoutInCell="1" allowOverlap="1" wp14:anchorId="00FE0460" wp14:editId="00FE0461">
            <wp:simplePos x="0" y="0"/>
            <wp:positionH relativeFrom="page">
              <wp:posOffset>2019255</wp:posOffset>
            </wp:positionH>
            <wp:positionV relativeFrom="paragraph">
              <wp:posOffset>212767</wp:posOffset>
            </wp:positionV>
            <wp:extent cx="3817981" cy="2907506"/>
            <wp:effectExtent l="0" t="0" r="0" b="0"/>
            <wp:wrapTopAndBottom/>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17" cstate="print"/>
                    <a:stretch>
                      <a:fillRect/>
                    </a:stretch>
                  </pic:blipFill>
                  <pic:spPr>
                    <a:xfrm>
                      <a:off x="0" y="0"/>
                      <a:ext cx="3817981" cy="2907506"/>
                    </a:xfrm>
                    <a:prstGeom prst="rect">
                      <a:avLst/>
                    </a:prstGeom>
                  </pic:spPr>
                </pic:pic>
              </a:graphicData>
            </a:graphic>
          </wp:anchor>
        </w:drawing>
      </w:r>
    </w:p>
    <w:p w14:paraId="00FE025E" w14:textId="77777777" w:rsidR="00170F05" w:rsidRDefault="00C66DC1">
      <w:pPr>
        <w:spacing w:before="26"/>
        <w:ind w:left="2208" w:right="4662"/>
        <w:rPr>
          <w:sz w:val="20"/>
        </w:rPr>
      </w:pPr>
      <w:bookmarkStart w:id="10" w:name="_bookmark16"/>
      <w:bookmarkEnd w:id="10"/>
      <w:r>
        <w:rPr>
          <w:sz w:val="20"/>
        </w:rPr>
        <w:t>Figura 6 – Aplicação da Regra 10x Fonte</w:t>
      </w:r>
      <w:r>
        <w:rPr>
          <w:sz w:val="24"/>
        </w:rPr>
        <w:t xml:space="preserve">: </w:t>
      </w:r>
      <w:r>
        <w:rPr>
          <w:sz w:val="20"/>
        </w:rPr>
        <w:t>BASQUES (2009)</w:t>
      </w:r>
    </w:p>
    <w:p w14:paraId="00FE025F" w14:textId="77777777" w:rsidR="00170F05" w:rsidRDefault="00170F05">
      <w:pPr>
        <w:pStyle w:val="Corpodetexto"/>
        <w:spacing w:before="2"/>
        <w:rPr>
          <w:sz w:val="36"/>
        </w:rPr>
      </w:pPr>
    </w:p>
    <w:p w14:paraId="00FE0260" w14:textId="77777777" w:rsidR="00170F05" w:rsidRDefault="00C66DC1">
      <w:pPr>
        <w:pStyle w:val="Corpodetexto"/>
        <w:spacing w:before="1" w:line="360" w:lineRule="auto"/>
        <w:ind w:left="316" w:right="289"/>
        <w:jc w:val="both"/>
      </w:pPr>
      <w:r>
        <w:t>Essa regra é indicadora de um erro sistemático e é violada quando 10 resultados de controles consecutivos ficam do mesmo lado da média. Podem ser testados 10 resultados seguidos de um nível de co</w:t>
      </w:r>
      <w:r>
        <w:t>ntrole ou, para dois níveis, cinco resultados seguidos de cada nível de controle totalizando dez resultados de um mesmo lado da média. Essa regra é indicadora de um erro sistemático.</w:t>
      </w:r>
    </w:p>
    <w:p w14:paraId="00FE0261" w14:textId="77777777" w:rsidR="00170F05" w:rsidRDefault="00C66DC1">
      <w:pPr>
        <w:pStyle w:val="Corpodetexto"/>
        <w:spacing w:line="360" w:lineRule="auto"/>
        <w:ind w:left="316" w:right="301" w:firstLine="720"/>
        <w:jc w:val="both"/>
      </w:pPr>
      <w:r>
        <w:t>Com o uso de dois controles, as perdas de estabilidade podem ser detectad</w:t>
      </w:r>
      <w:r>
        <w:t>as mais precocemente, indicando que a utilização de somente um nível de controle pode permitir também falsas</w:t>
      </w:r>
      <w:r>
        <w:rPr>
          <w:spacing w:val="-11"/>
        </w:rPr>
        <w:t xml:space="preserve"> </w:t>
      </w:r>
      <w:r>
        <w:t>aceitações.</w:t>
      </w:r>
    </w:p>
    <w:p w14:paraId="00FE0262" w14:textId="77777777" w:rsidR="00170F05" w:rsidRDefault="00170F05">
      <w:pPr>
        <w:pStyle w:val="Corpodetexto"/>
        <w:spacing w:before="9"/>
        <w:rPr>
          <w:sz w:val="28"/>
        </w:rPr>
      </w:pPr>
    </w:p>
    <w:p w14:paraId="00FE0263" w14:textId="77777777" w:rsidR="00170F05" w:rsidRDefault="00C66DC1">
      <w:pPr>
        <w:pStyle w:val="Ttulo2"/>
        <w:spacing w:before="78"/>
        <w:ind w:left="676"/>
      </w:pPr>
      <w:r>
        <w:rPr>
          <w:b w:val="0"/>
          <w:noProof/>
          <w:position w:val="-4"/>
        </w:rPr>
        <w:drawing>
          <wp:inline distT="0" distB="0" distL="0" distR="0" wp14:anchorId="00FE0462" wp14:editId="00FE0463">
            <wp:extent cx="140208" cy="185927"/>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11"/>
          <w:sz w:val="20"/>
        </w:rPr>
        <w:t xml:space="preserve"> </w:t>
      </w:r>
      <w:r>
        <w:t>Critérios de</w:t>
      </w:r>
      <w:r>
        <w:rPr>
          <w:spacing w:val="-15"/>
        </w:rPr>
        <w:t xml:space="preserve"> </w:t>
      </w:r>
      <w:r>
        <w:t>aceitabilidade</w:t>
      </w:r>
    </w:p>
    <w:p w14:paraId="00FE0264" w14:textId="77777777" w:rsidR="00170F05" w:rsidRDefault="00C66DC1">
      <w:pPr>
        <w:pStyle w:val="Corpodetexto"/>
        <w:spacing w:before="144" w:line="360" w:lineRule="auto"/>
        <w:ind w:left="316" w:right="292" w:firstLine="706"/>
        <w:jc w:val="both"/>
      </w:pPr>
      <w:r>
        <w:t>Uma inspeção cuidadosa dos mapas de controles permite identificar a regra de controle que foi violada, que atua como indicativo do tipo de erro. Grandes dificuldades podem ser encontradas para identificar a causa de um erro aleatório, porque esse tipo de e</w:t>
      </w:r>
      <w:r>
        <w:t>rro não pode ser previsto ou quantificado como um erro sistemático. Muitas das causas de erro aleatório podem ser localizadas por inspeção física do sistema analítico durante as operações.</w:t>
      </w:r>
    </w:p>
    <w:p w14:paraId="00FE0265" w14:textId="77777777" w:rsidR="00170F05" w:rsidRDefault="00170F05">
      <w:pPr>
        <w:spacing w:line="360" w:lineRule="auto"/>
        <w:jc w:val="both"/>
        <w:sectPr w:rsidR="00170F05">
          <w:pgSz w:w="11910" w:h="16840"/>
          <w:pgMar w:top="820" w:right="840" w:bottom="280" w:left="1100" w:header="569" w:footer="0" w:gutter="0"/>
          <w:cols w:space="720"/>
        </w:sectPr>
      </w:pPr>
    </w:p>
    <w:p w14:paraId="00FE0266" w14:textId="77777777" w:rsidR="00170F05" w:rsidRDefault="00170F05">
      <w:pPr>
        <w:pStyle w:val="Corpodetexto"/>
        <w:rPr>
          <w:sz w:val="20"/>
        </w:rPr>
      </w:pPr>
    </w:p>
    <w:p w14:paraId="00FE0267" w14:textId="77777777" w:rsidR="00170F05" w:rsidRDefault="00170F05">
      <w:pPr>
        <w:pStyle w:val="Corpodetexto"/>
        <w:rPr>
          <w:sz w:val="20"/>
        </w:rPr>
      </w:pPr>
    </w:p>
    <w:p w14:paraId="00FE0268" w14:textId="77777777" w:rsidR="00170F05" w:rsidRDefault="00170F05">
      <w:pPr>
        <w:pStyle w:val="Corpodetexto"/>
        <w:rPr>
          <w:sz w:val="20"/>
        </w:rPr>
      </w:pPr>
    </w:p>
    <w:p w14:paraId="00FE0269" w14:textId="77777777" w:rsidR="00170F05" w:rsidRDefault="00170F05">
      <w:pPr>
        <w:pStyle w:val="Corpodetexto"/>
        <w:spacing w:before="1"/>
        <w:rPr>
          <w:sz w:val="18"/>
        </w:rPr>
      </w:pPr>
    </w:p>
    <w:p w14:paraId="00FE026A" w14:textId="77777777" w:rsidR="00170F05" w:rsidRDefault="00C66DC1">
      <w:pPr>
        <w:pStyle w:val="Ttulo2"/>
        <w:numPr>
          <w:ilvl w:val="1"/>
          <w:numId w:val="1"/>
        </w:numPr>
        <w:tabs>
          <w:tab w:val="left" w:pos="719"/>
        </w:tabs>
        <w:spacing w:before="92"/>
      </w:pPr>
      <w:bookmarkStart w:id="11" w:name="_bookmark17"/>
      <w:bookmarkEnd w:id="11"/>
      <w:r>
        <w:t>CONTROLE EXTERNO DA</w:t>
      </w:r>
      <w:r>
        <w:rPr>
          <w:spacing w:val="-9"/>
        </w:rPr>
        <w:t xml:space="preserve"> </w:t>
      </w:r>
      <w:r>
        <w:t>QUALIDADE</w:t>
      </w:r>
    </w:p>
    <w:p w14:paraId="00FE026B" w14:textId="77777777" w:rsidR="00170F05" w:rsidRDefault="00170F05">
      <w:pPr>
        <w:pStyle w:val="Corpodetexto"/>
        <w:rPr>
          <w:b/>
          <w:sz w:val="26"/>
        </w:rPr>
      </w:pPr>
    </w:p>
    <w:p w14:paraId="00FE026C" w14:textId="77777777" w:rsidR="00170F05" w:rsidRDefault="00170F05">
      <w:pPr>
        <w:pStyle w:val="Corpodetexto"/>
        <w:spacing w:before="3"/>
        <w:rPr>
          <w:b/>
          <w:sz w:val="22"/>
        </w:rPr>
      </w:pPr>
    </w:p>
    <w:p w14:paraId="00FE026D" w14:textId="77777777" w:rsidR="00170F05" w:rsidRDefault="00C66DC1">
      <w:pPr>
        <w:pStyle w:val="Corpodetexto"/>
        <w:spacing w:line="360" w:lineRule="auto"/>
        <w:ind w:left="316" w:right="283" w:firstLine="706"/>
        <w:jc w:val="both"/>
      </w:pPr>
      <w:r>
        <w:t xml:space="preserve">O controle externo da qualidade consiste na avaliação da exatidão ou acurácia dos exames de </w:t>
      </w:r>
      <w:r>
        <w:rPr>
          <w:spacing w:val="2"/>
        </w:rPr>
        <w:t xml:space="preserve">um </w:t>
      </w:r>
      <w:r>
        <w:t xml:space="preserve">laboratório clínico a partir de comparações </w:t>
      </w:r>
      <w:proofErr w:type="spellStart"/>
      <w:r>
        <w:t>interlaboratoriais</w:t>
      </w:r>
      <w:proofErr w:type="spellEnd"/>
      <w:r>
        <w:t xml:space="preserve">. Os ensaios de proficiência têm como função primordial fornecer dados que auxiliem na obtenção do </w:t>
      </w:r>
      <w:r>
        <w:t xml:space="preserve">desempenho ideal. Também têm o papel de eliminar as fontes de </w:t>
      </w:r>
      <w:r>
        <w:rPr>
          <w:spacing w:val="3"/>
        </w:rPr>
        <w:t xml:space="preserve">não- </w:t>
      </w:r>
      <w:r>
        <w:t xml:space="preserve">conformidades existentes, atuando de </w:t>
      </w:r>
      <w:r>
        <w:rPr>
          <w:spacing w:val="-3"/>
        </w:rPr>
        <w:t xml:space="preserve">forma </w:t>
      </w:r>
      <w:r>
        <w:t>decisiva na melhoria contínua na qualidade dos participantes. É necessário que as fontes de erros sejam identificadas e que seja incentivada a imp</w:t>
      </w:r>
      <w:r>
        <w:t>lantação de procedimentos adequados para assegurar que os recursos materiais e humanos do laboratório clínico sejam utilizados para melhorar o atendimento aos pacientes e fornecer dados válidos aos</w:t>
      </w:r>
      <w:r>
        <w:rPr>
          <w:spacing w:val="-19"/>
        </w:rPr>
        <w:t xml:space="preserve"> </w:t>
      </w:r>
      <w:r>
        <w:t>médicos.</w:t>
      </w:r>
    </w:p>
    <w:p w14:paraId="00FE026E" w14:textId="77777777" w:rsidR="00170F05" w:rsidRDefault="00C66DC1">
      <w:pPr>
        <w:pStyle w:val="Corpodetexto"/>
        <w:spacing w:before="1" w:line="360" w:lineRule="auto"/>
        <w:ind w:left="316" w:right="288" w:firstLine="706"/>
        <w:jc w:val="both"/>
      </w:pPr>
      <w:r>
        <w:t>Os ensaios de proficiência utilizam amostras cont</w:t>
      </w:r>
      <w:r>
        <w:t xml:space="preserve">role de valores desconhecidos para serem dosados pelos laboratórios clínicos e, posteriormente, os resultados são comparados com outros que utilizam a mesma metodologia. Recomenda-se que nenhuma amostra-controle seja tratada ou examinada de modo especial, </w:t>
      </w:r>
      <w:r>
        <w:t xml:space="preserve">devendo ser introduzida na rotina do laboratório clínico </w:t>
      </w:r>
      <w:proofErr w:type="spellStart"/>
      <w:r>
        <w:t>com</w:t>
      </w:r>
      <w:proofErr w:type="spellEnd"/>
      <w:r>
        <w:t xml:space="preserve"> se fosse a amostra de um paciente (ANVISA, </w:t>
      </w:r>
      <w:proofErr w:type="gramStart"/>
      <w:r>
        <w:t>2005 )</w:t>
      </w:r>
      <w:proofErr w:type="gramEnd"/>
      <w:r>
        <w:t>.</w:t>
      </w:r>
    </w:p>
    <w:p w14:paraId="00FE026F" w14:textId="77777777" w:rsidR="00170F05" w:rsidRDefault="00C66DC1">
      <w:pPr>
        <w:pStyle w:val="Corpodetexto"/>
        <w:spacing w:before="3" w:line="360" w:lineRule="auto"/>
        <w:ind w:left="316" w:right="288" w:firstLine="706"/>
        <w:jc w:val="both"/>
      </w:pPr>
      <w:r>
        <w:t>O laboratório clínico deve registrar os resultados do Controle Externo da Qualidade, inadequações, investigação de causas e ações tomadas para o</w:t>
      </w:r>
      <w:r>
        <w:t>s resultados rejeitados ou nos quais a proficiência não foi obtida, (ANVISA, 2005).</w:t>
      </w:r>
    </w:p>
    <w:p w14:paraId="00FE0270" w14:textId="77777777" w:rsidR="00170F05" w:rsidRDefault="00C66DC1">
      <w:pPr>
        <w:pStyle w:val="Corpodetexto"/>
        <w:spacing w:before="1" w:line="360" w:lineRule="auto"/>
        <w:ind w:left="316" w:right="286" w:firstLine="706"/>
        <w:jc w:val="both"/>
      </w:pPr>
      <w:r>
        <w:t>Atualmente, os laboratórios clínicos contam com dois provedores de programas de proficiência, o PELM (proficiência em ensaios laboratoriais) da SBPC e o PNCQ (Programa Naci</w:t>
      </w:r>
      <w:r>
        <w:t xml:space="preserve">onal de Controle de Qualidade) da SBAC. A participação dos laboratórios em ensaios de proficiência passou a ser </w:t>
      </w:r>
      <w:r>
        <w:rPr>
          <w:spacing w:val="-3"/>
        </w:rPr>
        <w:t xml:space="preserve">uma </w:t>
      </w:r>
      <w:r>
        <w:t xml:space="preserve">exigência da ANVISA, </w:t>
      </w:r>
      <w:proofErr w:type="gramStart"/>
      <w:r>
        <w:t>a  partir</w:t>
      </w:r>
      <w:proofErr w:type="gramEnd"/>
      <w:r>
        <w:t xml:space="preserve"> da publicação da RDC 302:2005. Essa resolução define os requisitos para o funcionamento de laboratórios clíni</w:t>
      </w:r>
      <w:r>
        <w:t>cos e postos de coleta, públicos e privados, que realizem exames de patologia ou análises clínicas e</w:t>
      </w:r>
      <w:r>
        <w:rPr>
          <w:spacing w:val="-15"/>
        </w:rPr>
        <w:t xml:space="preserve"> </w:t>
      </w:r>
      <w:r>
        <w:t>citologia.</w:t>
      </w:r>
    </w:p>
    <w:p w14:paraId="00FE0271" w14:textId="77777777" w:rsidR="00170F05" w:rsidRDefault="00170F05">
      <w:pPr>
        <w:spacing w:line="360" w:lineRule="auto"/>
        <w:jc w:val="both"/>
        <w:sectPr w:rsidR="00170F05">
          <w:pgSz w:w="11910" w:h="16840"/>
          <w:pgMar w:top="820" w:right="840" w:bottom="280" w:left="1100" w:header="569" w:footer="0" w:gutter="0"/>
          <w:cols w:space="720"/>
        </w:sectPr>
      </w:pPr>
    </w:p>
    <w:p w14:paraId="00FE0272" w14:textId="77777777" w:rsidR="00170F05" w:rsidRDefault="00170F05">
      <w:pPr>
        <w:pStyle w:val="Corpodetexto"/>
        <w:rPr>
          <w:sz w:val="20"/>
        </w:rPr>
      </w:pPr>
    </w:p>
    <w:p w14:paraId="00FE0273" w14:textId="77777777" w:rsidR="00170F05" w:rsidRDefault="00170F05">
      <w:pPr>
        <w:pStyle w:val="Corpodetexto"/>
        <w:spacing w:before="8"/>
        <w:rPr>
          <w:sz w:val="21"/>
        </w:rPr>
      </w:pPr>
    </w:p>
    <w:p w14:paraId="00FE0274" w14:textId="77777777" w:rsidR="00170F05" w:rsidRDefault="00C66DC1">
      <w:pPr>
        <w:pStyle w:val="Ttulo1"/>
        <w:numPr>
          <w:ilvl w:val="0"/>
          <w:numId w:val="1"/>
        </w:numPr>
        <w:tabs>
          <w:tab w:val="left" w:pos="548"/>
        </w:tabs>
      </w:pPr>
      <w:bookmarkStart w:id="12" w:name="_bookmark18"/>
      <w:bookmarkEnd w:id="12"/>
      <w:r>
        <w:t>CONTADORES</w:t>
      </w:r>
      <w:r>
        <w:rPr>
          <w:spacing w:val="-1"/>
        </w:rPr>
        <w:t xml:space="preserve"> </w:t>
      </w:r>
      <w:r>
        <w:t>HEMATOLÓGICOS</w:t>
      </w:r>
    </w:p>
    <w:p w14:paraId="00FE0275" w14:textId="77777777" w:rsidR="00170F05" w:rsidRDefault="00170F05">
      <w:pPr>
        <w:pStyle w:val="Corpodetexto"/>
        <w:rPr>
          <w:b/>
          <w:sz w:val="30"/>
        </w:rPr>
      </w:pPr>
    </w:p>
    <w:p w14:paraId="00FE0278" w14:textId="77777777" w:rsidR="00170F05" w:rsidRDefault="00C66DC1">
      <w:pPr>
        <w:pStyle w:val="Corpodetexto"/>
        <w:spacing w:line="360" w:lineRule="auto"/>
        <w:ind w:left="316" w:right="288" w:firstLine="710"/>
        <w:jc w:val="both"/>
      </w:pPr>
      <w:r>
        <w:t>A segunda metade do século 20 foi marcante pelo avanço tecnológico e, consequentemente, o desenvolvimento de modernos contadores automatizados de células sanguíneas tornou-se uma realidade, com aplicação na grande maioria dos laboratórios clínicos. Esses a</w:t>
      </w:r>
      <w:r>
        <w:t>nalisadores combinam métodos de alta tecnologia e precisão para análises quantitativas de milhares de células. A avaliação de índices hematológicos e a visualização de histogramas permitem ao profissional qualificado e experiente, que exerce suas funções d</w:t>
      </w:r>
      <w:r>
        <w:t>entro de padrões de controle de qualidade satisfatórios, emitir laudos com grande confiabilidade (HOFFMANN et al</w:t>
      </w:r>
      <w:r>
        <w:rPr>
          <w:i/>
        </w:rPr>
        <w:t xml:space="preserve">., </w:t>
      </w:r>
      <w:r>
        <w:t>2007).</w:t>
      </w:r>
    </w:p>
    <w:p w14:paraId="00FE02A0" w14:textId="77777777" w:rsidR="00170F05" w:rsidRDefault="00C66DC1">
      <w:pPr>
        <w:pStyle w:val="Ttulo2"/>
        <w:numPr>
          <w:ilvl w:val="1"/>
          <w:numId w:val="1"/>
        </w:numPr>
        <w:tabs>
          <w:tab w:val="left" w:pos="719"/>
        </w:tabs>
      </w:pPr>
      <w:bookmarkStart w:id="13" w:name="_bookmark21"/>
      <w:bookmarkEnd w:id="13"/>
      <w:r>
        <w:t>CONTROLE DE QUALIDADE NA FASE</w:t>
      </w:r>
      <w:r>
        <w:rPr>
          <w:spacing w:val="-16"/>
        </w:rPr>
        <w:t xml:space="preserve"> </w:t>
      </w:r>
      <w:r>
        <w:t>ANALÍTICA</w:t>
      </w:r>
    </w:p>
    <w:p w14:paraId="00FE02A1" w14:textId="77777777" w:rsidR="00170F05" w:rsidRDefault="00170F05">
      <w:pPr>
        <w:pStyle w:val="Corpodetexto"/>
        <w:rPr>
          <w:b/>
          <w:sz w:val="26"/>
        </w:rPr>
      </w:pPr>
    </w:p>
    <w:p w14:paraId="00FE02A2" w14:textId="77777777" w:rsidR="00170F05" w:rsidRDefault="00170F05">
      <w:pPr>
        <w:pStyle w:val="Corpodetexto"/>
        <w:spacing w:before="9"/>
        <w:rPr>
          <w:b/>
          <w:sz w:val="21"/>
        </w:rPr>
      </w:pPr>
    </w:p>
    <w:p w14:paraId="00FE02A3" w14:textId="77777777" w:rsidR="00170F05" w:rsidRDefault="00C66DC1">
      <w:pPr>
        <w:pStyle w:val="Ttulo2"/>
        <w:numPr>
          <w:ilvl w:val="2"/>
          <w:numId w:val="1"/>
        </w:numPr>
        <w:tabs>
          <w:tab w:val="left" w:pos="921"/>
        </w:tabs>
        <w:spacing w:before="1"/>
        <w:ind w:hanging="605"/>
      </w:pPr>
      <w:bookmarkStart w:id="14" w:name="_bookmark22"/>
      <w:bookmarkEnd w:id="14"/>
      <w:r>
        <w:t>Calibração dos contadores</w:t>
      </w:r>
      <w:r>
        <w:rPr>
          <w:spacing w:val="-5"/>
        </w:rPr>
        <w:t xml:space="preserve"> </w:t>
      </w:r>
      <w:r>
        <w:t>automatizados</w:t>
      </w:r>
    </w:p>
    <w:p w14:paraId="00FE02A4" w14:textId="77777777" w:rsidR="00170F05" w:rsidRDefault="00C66DC1">
      <w:pPr>
        <w:spacing w:before="141" w:line="362" w:lineRule="auto"/>
        <w:ind w:left="316" w:firstLine="706"/>
        <w:rPr>
          <w:sz w:val="24"/>
        </w:rPr>
      </w:pPr>
      <w:r>
        <w:rPr>
          <w:sz w:val="24"/>
        </w:rPr>
        <w:t xml:space="preserve">De acordo com a </w:t>
      </w:r>
      <w:proofErr w:type="spellStart"/>
      <w:r>
        <w:rPr>
          <w:i/>
          <w:sz w:val="24"/>
        </w:rPr>
        <w:t>International</w:t>
      </w:r>
      <w:proofErr w:type="spellEnd"/>
      <w:r>
        <w:rPr>
          <w:i/>
          <w:sz w:val="24"/>
        </w:rPr>
        <w:t xml:space="preserve"> </w:t>
      </w:r>
      <w:proofErr w:type="spellStart"/>
      <w:r>
        <w:rPr>
          <w:i/>
          <w:sz w:val="24"/>
        </w:rPr>
        <w:t>Committee</w:t>
      </w:r>
      <w:proofErr w:type="spellEnd"/>
      <w:r>
        <w:rPr>
          <w:i/>
          <w:sz w:val="24"/>
        </w:rPr>
        <w:t xml:space="preserve"> for </w:t>
      </w:r>
      <w:proofErr w:type="spellStart"/>
      <w:r>
        <w:rPr>
          <w:i/>
          <w:sz w:val="24"/>
        </w:rPr>
        <w:t>Standardization</w:t>
      </w:r>
      <w:proofErr w:type="spellEnd"/>
      <w:r>
        <w:rPr>
          <w:i/>
          <w:sz w:val="24"/>
        </w:rPr>
        <w:t xml:space="preserve"> in </w:t>
      </w:r>
      <w:proofErr w:type="spellStart"/>
      <w:r>
        <w:rPr>
          <w:i/>
          <w:sz w:val="24"/>
        </w:rPr>
        <w:t>Hematology</w:t>
      </w:r>
      <w:proofErr w:type="spellEnd"/>
      <w:r>
        <w:rPr>
          <w:sz w:val="24"/>
        </w:rPr>
        <w:t>, os métodos para calibração de analisadores hematológicos podem ser:</w:t>
      </w:r>
    </w:p>
    <w:p w14:paraId="00FE02A5" w14:textId="77777777" w:rsidR="00170F05" w:rsidRDefault="00C66DC1">
      <w:pPr>
        <w:pStyle w:val="Corpodetexto"/>
        <w:spacing w:line="355" w:lineRule="auto"/>
        <w:ind w:left="1036" w:hanging="361"/>
      </w:pPr>
      <w:r>
        <w:rPr>
          <w:noProof/>
          <w:position w:val="-4"/>
        </w:rPr>
        <w:drawing>
          <wp:inline distT="0" distB="0" distL="0" distR="0" wp14:anchorId="00FE047D" wp14:editId="00FE047E">
            <wp:extent cx="140208" cy="185927"/>
            <wp:effectExtent l="0" t="0" r="0" b="0"/>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sangue normal, com valores estabelecidos para hemoglobina, hematócr</w:t>
      </w:r>
      <w:r>
        <w:t>ito, hemácias, leucócitos e plaquetas por método de</w:t>
      </w:r>
      <w:r>
        <w:rPr>
          <w:spacing w:val="-11"/>
        </w:rPr>
        <w:t xml:space="preserve"> </w:t>
      </w:r>
      <w:r>
        <w:t>referência;</w:t>
      </w:r>
    </w:p>
    <w:p w14:paraId="00FE02A6" w14:textId="77777777" w:rsidR="00170F05" w:rsidRDefault="00C66DC1">
      <w:pPr>
        <w:pStyle w:val="Corpodetexto"/>
        <w:ind w:left="676"/>
      </w:pPr>
      <w:r>
        <w:rPr>
          <w:noProof/>
          <w:position w:val="-4"/>
        </w:rPr>
        <w:drawing>
          <wp:inline distT="0" distB="0" distL="0" distR="0" wp14:anchorId="00FE047F" wp14:editId="00FE0480">
            <wp:extent cx="140208" cy="185928"/>
            <wp:effectExtent l="0" t="0" r="0" b="0"/>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calibrador estável (sangue preservado ou um</w:t>
      </w:r>
      <w:r>
        <w:rPr>
          <w:spacing w:val="-14"/>
        </w:rPr>
        <w:t xml:space="preserve"> </w:t>
      </w:r>
      <w:r>
        <w:t>substituto);</w:t>
      </w:r>
    </w:p>
    <w:p w14:paraId="00FE02A7" w14:textId="77777777" w:rsidR="00170F05" w:rsidRDefault="00C66DC1">
      <w:pPr>
        <w:pStyle w:val="Corpodetexto"/>
        <w:spacing w:before="134"/>
        <w:ind w:left="676"/>
      </w:pPr>
      <w:r>
        <w:rPr>
          <w:noProof/>
          <w:position w:val="-4"/>
        </w:rPr>
        <w:drawing>
          <wp:inline distT="0" distB="0" distL="0" distR="0" wp14:anchorId="00FE0481" wp14:editId="00FE0482">
            <wp:extent cx="140208" cy="185928"/>
            <wp:effectExtent l="0" t="0" r="0" b="0"/>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t>calibrador comercial com valores para cada tipo de</w:t>
      </w:r>
      <w:r>
        <w:rPr>
          <w:spacing w:val="-19"/>
        </w:rPr>
        <w:t xml:space="preserve"> </w:t>
      </w:r>
      <w:r>
        <w:t>instrumento.</w:t>
      </w:r>
    </w:p>
    <w:p w14:paraId="00FE02AC" w14:textId="1C860E74" w:rsidR="00170F05" w:rsidRDefault="00C66DC1" w:rsidP="008E6296">
      <w:pPr>
        <w:pStyle w:val="Corpodetexto"/>
        <w:spacing w:before="141" w:line="360" w:lineRule="auto"/>
        <w:ind w:left="316" w:right="289" w:firstLine="706"/>
        <w:jc w:val="both"/>
      </w:pPr>
      <w:r>
        <w:t>Os materiais de controle comercial, apesar de não serem suficientemente estáveis e de não terem valores confirmados pelo método de referência, são utilizados na hematologia como calibradores.</w:t>
      </w:r>
      <w:r w:rsidR="008E6296">
        <w:t xml:space="preserve"> </w:t>
      </w:r>
      <w:r>
        <w:t>São de custo alto e, muitas vezes, a demora para</w:t>
      </w:r>
      <w:r w:rsidR="008E6296">
        <w:t xml:space="preserve"> </w:t>
      </w:r>
      <w:r>
        <w:t>adquirir esses controles pode inviabilizar, temporariamente, seu uso rotineiro nos laboratórios.</w:t>
      </w:r>
    </w:p>
    <w:p w14:paraId="00FE02AD" w14:textId="77777777" w:rsidR="00170F05" w:rsidRDefault="00C66DC1">
      <w:pPr>
        <w:pStyle w:val="Corpodetexto"/>
        <w:spacing w:line="360" w:lineRule="auto"/>
        <w:ind w:left="316" w:right="283" w:firstLine="706"/>
        <w:jc w:val="both"/>
      </w:pPr>
      <w:r>
        <w:t xml:space="preserve">Para utilizar sangue fresco como calibrador, deve-se coletar 4 </w:t>
      </w:r>
      <w:proofErr w:type="spellStart"/>
      <w:r>
        <w:t>mL</w:t>
      </w:r>
      <w:proofErr w:type="spellEnd"/>
      <w:r>
        <w:t xml:space="preserve"> de amostra de sangue de doadores saudáveis com anticoagulante K</w:t>
      </w:r>
      <w:r>
        <w:rPr>
          <w:vertAlign w:val="subscript"/>
        </w:rPr>
        <w:t>2</w:t>
      </w:r>
      <w:r>
        <w:t xml:space="preserve">EDTA (ácido </w:t>
      </w:r>
      <w:proofErr w:type="spellStart"/>
      <w:r>
        <w:t>etilenoaminotetracético</w:t>
      </w:r>
      <w:proofErr w:type="spellEnd"/>
      <w:r>
        <w:t xml:space="preserve"> </w:t>
      </w:r>
      <w:proofErr w:type="spellStart"/>
      <w:r>
        <w:t>dipotássico</w:t>
      </w:r>
      <w:proofErr w:type="spellEnd"/>
      <w:r>
        <w:t xml:space="preserve">) e, em seguida, proceder à determinação em duplicata da hemoglobina pelo método </w:t>
      </w:r>
      <w:proofErr w:type="spellStart"/>
      <w:r>
        <w:t>cianometahemoglobina</w:t>
      </w:r>
      <w:proofErr w:type="spellEnd"/>
      <w:r>
        <w:t xml:space="preserve">, do hematócrito em </w:t>
      </w:r>
      <w:proofErr w:type="spellStart"/>
      <w:r>
        <w:t>quaduplicata</w:t>
      </w:r>
      <w:proofErr w:type="spellEnd"/>
      <w:r>
        <w:t xml:space="preserve"> (método manual), além da contagem de hemácias, leucócitos e plaquetas em du</w:t>
      </w:r>
      <w:r>
        <w:t>plicata em aparelho de impedância.</w:t>
      </w:r>
    </w:p>
    <w:p w14:paraId="00FE02AE" w14:textId="77777777" w:rsidR="00170F05" w:rsidRDefault="00170F05">
      <w:pPr>
        <w:pStyle w:val="Corpodetexto"/>
        <w:spacing w:before="5"/>
        <w:rPr>
          <w:sz w:val="35"/>
        </w:rPr>
      </w:pPr>
    </w:p>
    <w:p w14:paraId="00FE02AF" w14:textId="77777777" w:rsidR="00170F05" w:rsidRDefault="00C66DC1">
      <w:pPr>
        <w:pStyle w:val="Ttulo2"/>
        <w:numPr>
          <w:ilvl w:val="2"/>
          <w:numId w:val="1"/>
        </w:numPr>
        <w:tabs>
          <w:tab w:val="left" w:pos="921"/>
        </w:tabs>
        <w:spacing w:before="1"/>
        <w:ind w:hanging="605"/>
      </w:pPr>
      <w:bookmarkStart w:id="15" w:name="_bookmark23"/>
      <w:bookmarkEnd w:id="15"/>
      <w:r>
        <w:t>Monitoramento da qualidade dos</w:t>
      </w:r>
      <w:r>
        <w:rPr>
          <w:spacing w:val="-5"/>
        </w:rPr>
        <w:t xml:space="preserve"> </w:t>
      </w:r>
      <w:r>
        <w:t>analisadores</w:t>
      </w:r>
    </w:p>
    <w:p w14:paraId="00FE02B0" w14:textId="77777777" w:rsidR="00170F05" w:rsidRDefault="00170F05">
      <w:pPr>
        <w:pStyle w:val="Corpodetexto"/>
        <w:rPr>
          <w:b/>
          <w:sz w:val="26"/>
        </w:rPr>
      </w:pPr>
    </w:p>
    <w:p w14:paraId="00FE02B1" w14:textId="77777777" w:rsidR="00170F05" w:rsidRDefault="00170F05">
      <w:pPr>
        <w:pStyle w:val="Corpodetexto"/>
        <w:spacing w:before="2"/>
        <w:rPr>
          <w:b/>
          <w:sz w:val="22"/>
        </w:rPr>
      </w:pPr>
    </w:p>
    <w:p w14:paraId="00FE02B2" w14:textId="77777777" w:rsidR="00170F05" w:rsidRDefault="00C66DC1">
      <w:pPr>
        <w:pStyle w:val="Corpodetexto"/>
        <w:spacing w:before="1" w:line="360" w:lineRule="auto"/>
        <w:ind w:left="316" w:right="284" w:firstLine="720"/>
        <w:jc w:val="both"/>
      </w:pPr>
      <w:r>
        <w:t>Para se determinar o desempenho analítico de um contador, deve-se avaliar a linearidade, a precisão e a exatidão, cujos conceitos são apresentados abaixo:</w:t>
      </w:r>
    </w:p>
    <w:p w14:paraId="00FE02B3" w14:textId="77777777" w:rsidR="00170F05" w:rsidRDefault="00C66DC1">
      <w:pPr>
        <w:pStyle w:val="Corpodetexto"/>
        <w:spacing w:before="2" w:line="350" w:lineRule="auto"/>
        <w:ind w:left="1036" w:right="302" w:hanging="361"/>
        <w:jc w:val="both"/>
      </w:pPr>
      <w:r>
        <w:rPr>
          <w:noProof/>
          <w:position w:val="-4"/>
        </w:rPr>
        <w:drawing>
          <wp:inline distT="0" distB="0" distL="0" distR="0" wp14:anchorId="00FE0483" wp14:editId="00FE0484">
            <wp:extent cx="140208" cy="185927"/>
            <wp:effectExtent l="0" t="0" r="0" b="0"/>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linearidade: re</w:t>
      </w:r>
      <w:r>
        <w:t>presenta o intervalo de referência confiável de determinado parâmetro;</w:t>
      </w:r>
    </w:p>
    <w:p w14:paraId="00FE02B4" w14:textId="77777777" w:rsidR="00170F05" w:rsidRDefault="00C66DC1">
      <w:pPr>
        <w:pStyle w:val="Corpodetexto"/>
        <w:spacing w:before="10" w:line="360" w:lineRule="auto"/>
        <w:ind w:left="1036" w:right="283" w:hanging="361"/>
        <w:jc w:val="both"/>
      </w:pPr>
      <w:r>
        <w:rPr>
          <w:noProof/>
          <w:position w:val="-4"/>
        </w:rPr>
        <w:lastRenderedPageBreak/>
        <w:drawing>
          <wp:inline distT="0" distB="0" distL="0" distR="0" wp14:anchorId="00FE0485" wp14:editId="00FE0486">
            <wp:extent cx="140208" cy="185927"/>
            <wp:effectExtent l="0" t="0" r="0" b="0"/>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 xml:space="preserve">precisão: um método é preciso quando o valor encontrado para o coeficiente de variação for próximo da média e, quanto mais próximo, mais preciso será o método. As contagens eletrônicas são reprodutivas, </w:t>
      </w:r>
      <w:r>
        <w:rPr>
          <w:spacing w:val="-3"/>
        </w:rPr>
        <w:t xml:space="preserve">mas </w:t>
      </w:r>
      <w:r>
        <w:t xml:space="preserve">podem variar de um instrumento para outro </w:t>
      </w:r>
      <w:r>
        <w:rPr>
          <w:spacing w:val="-3"/>
        </w:rPr>
        <w:t xml:space="preserve">mesmo </w:t>
      </w:r>
      <w:r>
        <w:rPr>
          <w:spacing w:val="2"/>
        </w:rPr>
        <w:t>e</w:t>
      </w:r>
      <w:r>
        <w:rPr>
          <w:spacing w:val="2"/>
        </w:rPr>
        <w:t xml:space="preserve">m </w:t>
      </w:r>
      <w:r>
        <w:t xml:space="preserve">modelos diferentes do </w:t>
      </w:r>
      <w:r>
        <w:rPr>
          <w:spacing w:val="-3"/>
        </w:rPr>
        <w:t xml:space="preserve">mesmo </w:t>
      </w:r>
      <w:r>
        <w:t xml:space="preserve">fabricante. Alguns analisadores apresentam, </w:t>
      </w:r>
      <w:r>
        <w:rPr>
          <w:spacing w:val="2"/>
        </w:rPr>
        <w:t xml:space="preserve">em </w:t>
      </w:r>
      <w:r>
        <w:t xml:space="preserve">seus programas de qualidade, estimativas do CV dos controles, que devem ser checados </w:t>
      </w:r>
      <w:proofErr w:type="spellStart"/>
      <w:r>
        <w:t>díariamente</w:t>
      </w:r>
      <w:proofErr w:type="spellEnd"/>
      <w:r>
        <w:t>. A maior fonte de imprecisão em contador provém de amostras contendo poucas partíc</w:t>
      </w:r>
      <w:r>
        <w:t xml:space="preserve">ulas, células </w:t>
      </w:r>
      <w:r>
        <w:rPr>
          <w:spacing w:val="-4"/>
        </w:rPr>
        <w:t>como</w:t>
      </w:r>
      <w:r>
        <w:rPr>
          <w:spacing w:val="58"/>
        </w:rPr>
        <w:t xml:space="preserve"> </w:t>
      </w:r>
      <w:r>
        <w:t>no caso das plaquetopenias, leucopenias, nas contagens de basófilos e eosinófilos ou ainda quando a hemoglobina for menor que 4,0 g/</w:t>
      </w:r>
      <w:proofErr w:type="spellStart"/>
      <w:r>
        <w:t>dL</w:t>
      </w:r>
      <w:proofErr w:type="spellEnd"/>
      <w:r>
        <w:t xml:space="preserve"> (OLIVEIRA,</w:t>
      </w:r>
      <w:r>
        <w:rPr>
          <w:spacing w:val="-1"/>
        </w:rPr>
        <w:t xml:space="preserve"> </w:t>
      </w:r>
      <w:r>
        <w:t>2007);</w:t>
      </w:r>
    </w:p>
    <w:p w14:paraId="00FE02BC" w14:textId="357A55E4" w:rsidR="00170F05" w:rsidRDefault="00C66DC1" w:rsidP="008E6296">
      <w:pPr>
        <w:pStyle w:val="Corpodetexto"/>
        <w:spacing w:line="360" w:lineRule="auto"/>
        <w:ind w:left="1036" w:right="281" w:hanging="361"/>
        <w:jc w:val="both"/>
        <w:rPr>
          <w:sz w:val="22"/>
        </w:rPr>
      </w:pPr>
      <w:r>
        <w:rPr>
          <w:noProof/>
          <w:position w:val="-4"/>
        </w:rPr>
        <w:drawing>
          <wp:inline distT="0" distB="0" distL="0" distR="0" wp14:anchorId="00FE0487" wp14:editId="00FE0488">
            <wp:extent cx="140208" cy="185927"/>
            <wp:effectExtent l="0" t="0" r="0" b="0"/>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exatidão: é a capacidade do aparelho em fornecer resultados próximos do valor re</w:t>
      </w:r>
      <w:r>
        <w:t>al. Para verificação da acurácia de um método, deve ser feita a comparação dos resultados de amostras realizadas em dois métodos distintos, um de referência e outro em análise. Por meio de ferramentas da estatística, como o da regressão linear entre dois m</w:t>
      </w:r>
      <w:r>
        <w:t xml:space="preserve">étodos, calcula-se o coeficiente de correlação de Pearson. O desempenho de aparelhos utilizados com a </w:t>
      </w:r>
      <w:proofErr w:type="gramStart"/>
      <w:r>
        <w:rPr>
          <w:spacing w:val="-3"/>
        </w:rPr>
        <w:t xml:space="preserve">mesma  </w:t>
      </w:r>
      <w:r>
        <w:t>finalidade</w:t>
      </w:r>
      <w:proofErr w:type="gramEnd"/>
      <w:r>
        <w:t xml:space="preserve"> devem ser comparados a cada seis meses. Essa é uma exigência </w:t>
      </w:r>
      <w:r>
        <w:rPr>
          <w:spacing w:val="4"/>
        </w:rPr>
        <w:t xml:space="preserve">dos </w:t>
      </w:r>
      <w:r>
        <w:t>programas de acreditação (FERREIRA et al., 2002). A aceitabilidade é ju</w:t>
      </w:r>
      <w:r>
        <w:t>lgada a partir da análise dos coeficientes de correlação (r) superior a</w:t>
      </w:r>
      <w:r>
        <w:rPr>
          <w:spacing w:val="-3"/>
        </w:rPr>
        <w:t xml:space="preserve"> </w:t>
      </w:r>
      <w:r>
        <w:t>0,9.</w:t>
      </w:r>
    </w:p>
    <w:p w14:paraId="00FE02BD" w14:textId="77777777" w:rsidR="00170F05" w:rsidRDefault="00C66DC1">
      <w:pPr>
        <w:pStyle w:val="Corpodetexto"/>
        <w:spacing w:line="360" w:lineRule="auto"/>
        <w:ind w:left="316" w:right="286" w:firstLine="720"/>
        <w:jc w:val="both"/>
      </w:pPr>
      <w:r>
        <w:t>A falta de precisão e exatidão em analisadores pode ser causada por ”coincidência”, isto é, duas células são contadas como única, pela recirculação de célu</w:t>
      </w:r>
      <w:r>
        <w:t xml:space="preserve">las </w:t>
      </w:r>
      <w:r>
        <w:rPr>
          <w:spacing w:val="-3"/>
        </w:rPr>
        <w:t xml:space="preserve">já </w:t>
      </w:r>
      <w:r>
        <w:t>contadas, por aglutinação de eritrócitos e pela contagem de bolhas, além de gotículas de lipídeos, microrganismos ou partículas estranhas, que podem ser contadas como se fossem células. Pode ainda ocorrer variação do volume aspirado ou da velocidade</w:t>
      </w:r>
      <w:r>
        <w:t xml:space="preserve"> do fluxo. Os erros por coincidência podem ser evitados com melhoria da tecnologia, principalmente com o uso da </w:t>
      </w:r>
      <w:proofErr w:type="spellStart"/>
      <w:r>
        <w:t>citometria</w:t>
      </w:r>
      <w:proofErr w:type="spellEnd"/>
      <w:r>
        <w:t xml:space="preserve"> de fluxo e de detector </w:t>
      </w:r>
      <w:proofErr w:type="spellStart"/>
      <w:r>
        <w:t>eletroótico</w:t>
      </w:r>
      <w:proofErr w:type="spellEnd"/>
      <w:r>
        <w:t>. Os restos celulares podem ser eliminados por um fluxo de diluente para longe da abertura, evitand</w:t>
      </w:r>
      <w:r>
        <w:t>o, assim, contagens espúrias (BAIN &amp; BATES,</w:t>
      </w:r>
      <w:r>
        <w:rPr>
          <w:spacing w:val="-18"/>
        </w:rPr>
        <w:t xml:space="preserve"> </w:t>
      </w:r>
      <w:r>
        <w:t>2006).</w:t>
      </w:r>
    </w:p>
    <w:p w14:paraId="00FE02BE" w14:textId="77777777" w:rsidR="00170F05" w:rsidRDefault="00170F05">
      <w:pPr>
        <w:pStyle w:val="Corpodetexto"/>
        <w:spacing w:before="6"/>
        <w:rPr>
          <w:sz w:val="35"/>
        </w:rPr>
      </w:pPr>
    </w:p>
    <w:p w14:paraId="00FE02BF" w14:textId="44729F64" w:rsidR="00170F05" w:rsidRDefault="00C66DC1">
      <w:pPr>
        <w:pStyle w:val="Ttulo2"/>
        <w:numPr>
          <w:ilvl w:val="1"/>
          <w:numId w:val="1"/>
        </w:numPr>
        <w:tabs>
          <w:tab w:val="left" w:pos="719"/>
        </w:tabs>
      </w:pPr>
      <w:bookmarkStart w:id="16" w:name="_bookmark24"/>
      <w:bookmarkEnd w:id="16"/>
      <w:r>
        <w:t>CRITÉRIOS DE GARANTIA DE</w:t>
      </w:r>
      <w:r>
        <w:rPr>
          <w:spacing w:val="-12"/>
        </w:rPr>
        <w:t xml:space="preserve"> </w:t>
      </w:r>
      <w:r>
        <w:t>QUALIDADE</w:t>
      </w:r>
      <w:r w:rsidR="00D82951">
        <w:t xml:space="preserve"> EM HEMATOLOGIA</w:t>
      </w:r>
    </w:p>
    <w:p w14:paraId="00FE02C1" w14:textId="77777777" w:rsidR="00170F05" w:rsidRDefault="00170F05">
      <w:pPr>
        <w:pStyle w:val="Corpodetexto"/>
        <w:spacing w:before="7"/>
        <w:rPr>
          <w:b/>
          <w:sz w:val="22"/>
        </w:rPr>
      </w:pPr>
    </w:p>
    <w:p w14:paraId="00FE02C2" w14:textId="77777777" w:rsidR="00170F05" w:rsidRDefault="00C66DC1">
      <w:pPr>
        <w:pStyle w:val="Corpodetexto"/>
        <w:spacing w:before="1" w:line="360" w:lineRule="auto"/>
        <w:ind w:left="316" w:right="298" w:firstLine="710"/>
        <w:jc w:val="both"/>
      </w:pPr>
      <w:proofErr w:type="gramStart"/>
      <w:r>
        <w:t>O uso dos seguintes critérios são</w:t>
      </w:r>
      <w:proofErr w:type="gramEnd"/>
      <w:r>
        <w:t xml:space="preserve"> importantes na fase analítica do Controle de Qualidade.</w:t>
      </w:r>
    </w:p>
    <w:p w14:paraId="00FE02C3" w14:textId="77777777" w:rsidR="00170F05" w:rsidRDefault="00170F05">
      <w:pPr>
        <w:pStyle w:val="Corpodetexto"/>
        <w:spacing w:before="8"/>
        <w:rPr>
          <w:sz w:val="35"/>
        </w:rPr>
      </w:pPr>
    </w:p>
    <w:p w14:paraId="00FE02C4" w14:textId="77777777" w:rsidR="00170F05" w:rsidRDefault="00C66DC1">
      <w:pPr>
        <w:pStyle w:val="Ttulo2"/>
        <w:numPr>
          <w:ilvl w:val="2"/>
          <w:numId w:val="1"/>
        </w:numPr>
        <w:tabs>
          <w:tab w:val="left" w:pos="921"/>
        </w:tabs>
        <w:ind w:hanging="605"/>
      </w:pPr>
      <w:bookmarkStart w:id="17" w:name="_bookmark25"/>
      <w:bookmarkEnd w:id="17"/>
      <w:r>
        <w:t>Uso de sangue controle</w:t>
      </w:r>
      <w:r>
        <w:rPr>
          <w:spacing w:val="-8"/>
        </w:rPr>
        <w:t xml:space="preserve"> </w:t>
      </w:r>
      <w:r>
        <w:t>comercial</w:t>
      </w:r>
    </w:p>
    <w:p w14:paraId="00FE02C5" w14:textId="77777777" w:rsidR="00170F05" w:rsidRDefault="00C66DC1">
      <w:pPr>
        <w:pStyle w:val="Corpodetexto"/>
        <w:spacing w:before="142" w:line="360" w:lineRule="auto"/>
        <w:ind w:left="316" w:right="283" w:firstLine="710"/>
        <w:jc w:val="both"/>
      </w:pPr>
      <w:r>
        <w:t xml:space="preserve">O uso de amostras de sangue controle comercial do fabricante do aparelho em três níveis (baixo, médio e alto) deve ser </w:t>
      </w:r>
      <w:r>
        <w:rPr>
          <w:spacing w:val="-3"/>
        </w:rPr>
        <w:t xml:space="preserve">uma </w:t>
      </w:r>
      <w:r>
        <w:t xml:space="preserve">prática nos laboratórios clínicos. A aplicação das regras </w:t>
      </w:r>
      <w:proofErr w:type="gramStart"/>
      <w:r>
        <w:t>de ”Controle</w:t>
      </w:r>
      <w:proofErr w:type="gramEnd"/>
      <w:r>
        <w:t xml:space="preserve"> Qualidade de regra múltipla” tem sido eficiente </w:t>
      </w:r>
      <w:r>
        <w:lastRenderedPageBreak/>
        <w:t>quando se util</w:t>
      </w:r>
      <w:r>
        <w:t xml:space="preserve">iza sangue controle comercial. Os resultados são analisados por 20 dias consecutivos. Essas regras devem ser empregadas para rejeitar corridas, deixar resultados em alerta ou mostrar tendências. </w:t>
      </w:r>
      <w:r>
        <w:rPr>
          <w:spacing w:val="4"/>
        </w:rPr>
        <w:t xml:space="preserve">Em </w:t>
      </w:r>
      <w:r>
        <w:t>estudo desenvolvido no Hospital Governador Israel Pinheiro</w:t>
      </w:r>
      <w:r>
        <w:t>, FERREIRA et al. (2002), constatou a eficácia do controle de qualidade quando se empregaram as seguintes regras dos critérios de rejeição de controles:</w:t>
      </w:r>
    </w:p>
    <w:p w14:paraId="00FE02C6" w14:textId="77777777" w:rsidR="00170F05" w:rsidRDefault="00C66DC1">
      <w:pPr>
        <w:pStyle w:val="Corpodetexto"/>
        <w:ind w:left="676"/>
      </w:pPr>
      <w:r>
        <w:rPr>
          <w:noProof/>
          <w:position w:val="-4"/>
        </w:rPr>
        <w:drawing>
          <wp:inline distT="0" distB="0" distL="0" distR="0" wp14:anchorId="00FE0489" wp14:editId="00FE048A">
            <wp:extent cx="140208" cy="185927"/>
            <wp:effectExtent l="0" t="0" r="0" b="0"/>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1</w:t>
      </w:r>
      <w:r>
        <w:rPr>
          <w:vertAlign w:val="subscript"/>
        </w:rPr>
        <w:t>3s</w:t>
      </w:r>
      <w:r>
        <w:t xml:space="preserve"> - um resultado fora de ± 3</w:t>
      </w:r>
      <w:r>
        <w:rPr>
          <w:spacing w:val="-15"/>
        </w:rPr>
        <w:t xml:space="preserve"> </w:t>
      </w:r>
      <w:r>
        <w:t>DP;</w:t>
      </w:r>
    </w:p>
    <w:p w14:paraId="00FE02C7" w14:textId="77777777" w:rsidR="00170F05" w:rsidRDefault="00C66DC1">
      <w:pPr>
        <w:pStyle w:val="Corpodetexto"/>
        <w:spacing w:before="139" w:line="350" w:lineRule="auto"/>
        <w:ind w:left="676" w:right="1070"/>
      </w:pPr>
      <w:r>
        <w:rPr>
          <w:noProof/>
          <w:position w:val="-4"/>
        </w:rPr>
        <w:drawing>
          <wp:inline distT="0" distB="0" distL="0" distR="0" wp14:anchorId="00FE048B" wp14:editId="00FE048C">
            <wp:extent cx="140208" cy="185928"/>
            <wp:effectExtent l="0" t="0" r="0" b="0"/>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2</w:t>
      </w:r>
      <w:r>
        <w:rPr>
          <w:vertAlign w:val="subscript"/>
        </w:rPr>
        <w:t>2s</w:t>
      </w:r>
      <w:r>
        <w:t xml:space="preserve"> - dois resultados consecutivos fora de 2 </w:t>
      </w:r>
      <w:r>
        <w:rPr>
          <w:spacing w:val="-3"/>
        </w:rPr>
        <w:t xml:space="preserve">DP </w:t>
      </w:r>
      <w:r>
        <w:t>do mesmo lad</w:t>
      </w:r>
      <w:r>
        <w:t>o</w:t>
      </w:r>
      <w:r>
        <w:rPr>
          <w:spacing w:val="-15"/>
        </w:rPr>
        <w:t xml:space="preserve"> </w:t>
      </w:r>
      <w:r>
        <w:t>da</w:t>
      </w:r>
      <w:r>
        <w:rPr>
          <w:spacing w:val="-6"/>
        </w:rPr>
        <w:t xml:space="preserve"> </w:t>
      </w:r>
      <w:r>
        <w:t>média;</w:t>
      </w:r>
      <w:r>
        <w:t xml:space="preserve"> </w:t>
      </w:r>
      <w:r>
        <w:rPr>
          <w:noProof/>
          <w:position w:val="-4"/>
        </w:rPr>
        <w:drawing>
          <wp:inline distT="0" distB="0" distL="0" distR="0" wp14:anchorId="00FE048D" wp14:editId="00FE048E">
            <wp:extent cx="140208" cy="185927"/>
            <wp:effectExtent l="0" t="0" r="0" b="0"/>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rPr>
        <w:t xml:space="preserve"> </w:t>
      </w:r>
      <w:r>
        <w:rPr>
          <w:rFonts w:ascii="Times New Roman" w:hAnsi="Times New Roman"/>
          <w:spacing w:val="19"/>
        </w:rPr>
        <w:t xml:space="preserve"> </w:t>
      </w:r>
      <w:r>
        <w:t>R</w:t>
      </w:r>
      <w:r>
        <w:rPr>
          <w:vertAlign w:val="subscript"/>
        </w:rPr>
        <w:t>4s</w:t>
      </w:r>
      <w:r>
        <w:t xml:space="preserve"> - dois resultados consecutivos fora de 2 </w:t>
      </w:r>
      <w:r>
        <w:rPr>
          <w:spacing w:val="-3"/>
        </w:rPr>
        <w:t xml:space="preserve">DP </w:t>
      </w:r>
      <w:r>
        <w:rPr>
          <w:spacing w:val="3"/>
        </w:rPr>
        <w:t xml:space="preserve">em </w:t>
      </w:r>
      <w:r>
        <w:t>sentidos</w:t>
      </w:r>
      <w:r>
        <w:rPr>
          <w:spacing w:val="-48"/>
        </w:rPr>
        <w:t xml:space="preserve"> </w:t>
      </w:r>
      <w:r>
        <w:t>opostos</w:t>
      </w:r>
    </w:p>
    <w:p w14:paraId="00FE02C8" w14:textId="77777777" w:rsidR="00170F05" w:rsidRDefault="00C66DC1">
      <w:pPr>
        <w:pStyle w:val="Corpodetexto"/>
        <w:spacing w:before="4" w:line="350" w:lineRule="auto"/>
        <w:ind w:left="676" w:right="375"/>
      </w:pPr>
      <w:r>
        <w:rPr>
          <w:noProof/>
          <w:position w:val="-4"/>
        </w:rPr>
        <w:drawing>
          <wp:inline distT="0" distB="0" distL="0" distR="0" wp14:anchorId="00FE048F" wp14:editId="00FE0490">
            <wp:extent cx="140208" cy="185927"/>
            <wp:effectExtent l="0" t="0" r="0" b="0"/>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2 de 3</w:t>
      </w:r>
      <w:r>
        <w:rPr>
          <w:vertAlign w:val="subscript"/>
        </w:rPr>
        <w:t>2s</w:t>
      </w:r>
      <w:r>
        <w:t xml:space="preserve"> ou 3 de 3</w:t>
      </w:r>
      <w:r>
        <w:rPr>
          <w:vertAlign w:val="subscript"/>
        </w:rPr>
        <w:t>2s</w:t>
      </w:r>
      <w:r>
        <w:t xml:space="preserve"> - dois ou três resultados consecutivos fora do </w:t>
      </w:r>
      <w:r>
        <w:rPr>
          <w:spacing w:val="-3"/>
        </w:rPr>
        <w:t>mesmo</w:t>
      </w:r>
      <w:r>
        <w:rPr>
          <w:spacing w:val="-30"/>
        </w:rPr>
        <w:t xml:space="preserve"> </w:t>
      </w:r>
      <w:r>
        <w:t>2 DP;</w:t>
      </w:r>
      <w:r>
        <w:t xml:space="preserve"> </w:t>
      </w:r>
      <w:r>
        <w:rPr>
          <w:noProof/>
          <w:position w:val="-4"/>
        </w:rPr>
        <w:drawing>
          <wp:inline distT="0" distB="0" distL="0" distR="0" wp14:anchorId="00FE0491" wp14:editId="00FE0492">
            <wp:extent cx="140208" cy="185928"/>
            <wp:effectExtent l="0" t="0" r="0" b="0"/>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rPr>
        <w:t xml:space="preserve"> </w:t>
      </w:r>
      <w:r>
        <w:rPr>
          <w:rFonts w:ascii="Times New Roman" w:hAnsi="Times New Roman"/>
          <w:spacing w:val="19"/>
        </w:rPr>
        <w:t xml:space="preserve"> </w:t>
      </w:r>
      <w:r>
        <w:t>4</w:t>
      </w:r>
      <w:r>
        <w:rPr>
          <w:vertAlign w:val="subscript"/>
        </w:rPr>
        <w:t>1s</w:t>
      </w:r>
      <w:r>
        <w:t xml:space="preserve"> - quatro resultados consecutivos fora de ± 1</w:t>
      </w:r>
      <w:r>
        <w:rPr>
          <w:spacing w:val="-15"/>
        </w:rPr>
        <w:t xml:space="preserve"> </w:t>
      </w:r>
      <w:r>
        <w:t>DP;</w:t>
      </w:r>
    </w:p>
    <w:p w14:paraId="00FE02C9" w14:textId="77777777" w:rsidR="00170F05" w:rsidRDefault="00C66DC1">
      <w:pPr>
        <w:pStyle w:val="Corpodetexto"/>
        <w:spacing w:before="5"/>
        <w:ind w:left="676"/>
      </w:pPr>
      <w:r>
        <w:rPr>
          <w:noProof/>
          <w:position w:val="-4"/>
        </w:rPr>
        <w:drawing>
          <wp:inline distT="0" distB="0" distL="0" distR="0" wp14:anchorId="00FE0493" wp14:editId="00FE0494">
            <wp:extent cx="140208" cy="185928"/>
            <wp:effectExtent l="0" t="0" r="0" b="0"/>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10</w:t>
      </w:r>
      <w:r>
        <w:rPr>
          <w:vertAlign w:val="subscript"/>
        </w:rPr>
        <w:t>xm</w:t>
      </w:r>
      <w:r>
        <w:t xml:space="preserve"> - dez resultados de controles do </w:t>
      </w:r>
      <w:r>
        <w:rPr>
          <w:spacing w:val="-3"/>
        </w:rPr>
        <w:t xml:space="preserve">mesmo </w:t>
      </w:r>
      <w:r>
        <w:t>lado da</w:t>
      </w:r>
      <w:r>
        <w:rPr>
          <w:spacing w:val="-2"/>
        </w:rPr>
        <w:t xml:space="preserve"> </w:t>
      </w:r>
      <w:r>
        <w:t>média.</w:t>
      </w:r>
    </w:p>
    <w:p w14:paraId="00FE02D0" w14:textId="77777777" w:rsidR="00170F05" w:rsidRDefault="00170F05">
      <w:pPr>
        <w:pStyle w:val="Corpodetexto"/>
        <w:spacing w:before="5"/>
        <w:rPr>
          <w:sz w:val="22"/>
        </w:rPr>
      </w:pPr>
    </w:p>
    <w:p w14:paraId="00FE02D1" w14:textId="27669622" w:rsidR="00170F05" w:rsidRDefault="00C66DC1">
      <w:pPr>
        <w:pStyle w:val="Corpodetexto"/>
        <w:spacing w:line="360" w:lineRule="auto"/>
        <w:ind w:left="316" w:right="285" w:firstLine="720"/>
        <w:jc w:val="both"/>
      </w:pPr>
      <w:proofErr w:type="gramStart"/>
      <w:r>
        <w:t>As  regras</w:t>
      </w:r>
      <w:proofErr w:type="gramEnd"/>
      <w:r>
        <w:t xml:space="preserve">  1</w:t>
      </w:r>
      <w:r>
        <w:rPr>
          <w:vertAlign w:val="subscript"/>
        </w:rPr>
        <w:t>3s</w:t>
      </w:r>
      <w:r>
        <w:t xml:space="preserve">  e  R</w:t>
      </w:r>
      <w:r>
        <w:rPr>
          <w:vertAlign w:val="subscript"/>
        </w:rPr>
        <w:t>4s</w:t>
      </w:r>
      <w:r>
        <w:t xml:space="preserve">  indicam  erros   aleatórios   e   os   erros   sistemáticos são detectados pelas regras 2</w:t>
      </w:r>
      <w:r>
        <w:rPr>
          <w:vertAlign w:val="subscript"/>
        </w:rPr>
        <w:t>2s</w:t>
      </w:r>
      <w:r>
        <w:t>, 2</w:t>
      </w:r>
      <w:r>
        <w:t xml:space="preserve"> de 3</w:t>
      </w:r>
      <w:r>
        <w:rPr>
          <w:vertAlign w:val="subscript"/>
        </w:rPr>
        <w:t>2s</w:t>
      </w:r>
      <w:r>
        <w:t xml:space="preserve"> ou 3 de </w:t>
      </w:r>
      <w:r>
        <w:rPr>
          <w:vertAlign w:val="subscript"/>
        </w:rPr>
        <w:t>2s</w:t>
      </w:r>
      <w:r>
        <w:t>, 4</w:t>
      </w:r>
      <w:r>
        <w:rPr>
          <w:vertAlign w:val="subscript"/>
        </w:rPr>
        <w:t>1s</w:t>
      </w:r>
      <w:r>
        <w:t>, e 10</w:t>
      </w:r>
      <w:r>
        <w:rPr>
          <w:vertAlign w:val="subscript"/>
        </w:rPr>
        <w:t>xm</w:t>
      </w:r>
      <w:r>
        <w:t>. Os critérios de aceitabilidade dessas regras variam para cada sistema analítico, nem sempre precisam ser r</w:t>
      </w:r>
      <w:r w:rsidR="00D82951">
        <w:t>i</w:t>
      </w:r>
      <w:r>
        <w:t>gidamente obedecidos (VIEIRA,</w:t>
      </w:r>
      <w:r>
        <w:rPr>
          <w:spacing w:val="-4"/>
        </w:rPr>
        <w:t xml:space="preserve"> </w:t>
      </w:r>
      <w:r>
        <w:t>2008).</w:t>
      </w:r>
    </w:p>
    <w:p w14:paraId="00FE02D2" w14:textId="77777777" w:rsidR="00170F05" w:rsidRDefault="00170F05">
      <w:pPr>
        <w:pStyle w:val="Corpodetexto"/>
        <w:spacing w:before="6"/>
        <w:rPr>
          <w:sz w:val="35"/>
        </w:rPr>
      </w:pPr>
    </w:p>
    <w:p w14:paraId="00FE02D3" w14:textId="77777777" w:rsidR="00170F05" w:rsidRDefault="00C66DC1">
      <w:pPr>
        <w:pStyle w:val="Ttulo2"/>
        <w:numPr>
          <w:ilvl w:val="2"/>
          <w:numId w:val="1"/>
        </w:numPr>
        <w:tabs>
          <w:tab w:val="left" w:pos="921"/>
        </w:tabs>
        <w:spacing w:before="1"/>
        <w:ind w:hanging="605"/>
      </w:pPr>
      <w:bookmarkStart w:id="18" w:name="_bookmark26"/>
      <w:bookmarkEnd w:id="18"/>
      <w:r>
        <w:t>A</w:t>
      </w:r>
      <w:r>
        <w:t>nálise de repetição de amostras de sangue</w:t>
      </w:r>
      <w:r>
        <w:rPr>
          <w:spacing w:val="-14"/>
        </w:rPr>
        <w:t xml:space="preserve"> </w:t>
      </w:r>
      <w:r>
        <w:t>fresco</w:t>
      </w:r>
    </w:p>
    <w:p w14:paraId="00FE02D4" w14:textId="77777777" w:rsidR="00170F05" w:rsidRDefault="00C66DC1">
      <w:pPr>
        <w:pStyle w:val="Corpodetexto"/>
        <w:spacing w:before="141" w:line="360" w:lineRule="auto"/>
        <w:ind w:left="316" w:right="295" w:firstLine="706"/>
        <w:jc w:val="both"/>
      </w:pPr>
      <w:r>
        <w:t>Na ausência de amostras controle comerciais, é aceitável o uso de amostras de sangue fresco do dia anterior devidamente acondicionadas em geladeira, podendo esse procedimento ser adotado diariamente para gar</w:t>
      </w:r>
      <w:r>
        <w:t>antir a qualidade das análises realizadas no laboratório</w:t>
      </w:r>
      <w:r>
        <w:rPr>
          <w:spacing w:val="-5"/>
        </w:rPr>
        <w:t xml:space="preserve"> </w:t>
      </w:r>
      <w:r>
        <w:t>clínico.</w:t>
      </w:r>
    </w:p>
    <w:p w14:paraId="00FE02D5" w14:textId="77777777" w:rsidR="00170F05" w:rsidRDefault="00170F05">
      <w:pPr>
        <w:pStyle w:val="Corpodetexto"/>
        <w:rPr>
          <w:sz w:val="36"/>
        </w:rPr>
      </w:pPr>
    </w:p>
    <w:p w14:paraId="00FE02D6" w14:textId="77777777" w:rsidR="00170F05" w:rsidRDefault="00C66DC1">
      <w:pPr>
        <w:pStyle w:val="Ttulo2"/>
        <w:numPr>
          <w:ilvl w:val="2"/>
          <w:numId w:val="1"/>
        </w:numPr>
        <w:tabs>
          <w:tab w:val="left" w:pos="921"/>
        </w:tabs>
        <w:ind w:hanging="605"/>
      </w:pPr>
      <w:bookmarkStart w:id="19" w:name="_bookmark27"/>
      <w:bookmarkEnd w:id="19"/>
      <w:r>
        <w:t>Cálculo das médias móveis de</w:t>
      </w:r>
      <w:r>
        <w:rPr>
          <w:spacing w:val="-7"/>
        </w:rPr>
        <w:t xml:space="preserve"> </w:t>
      </w:r>
      <w:r>
        <w:t>Bull</w:t>
      </w:r>
    </w:p>
    <w:p w14:paraId="00FE02D7" w14:textId="77777777" w:rsidR="00170F05" w:rsidRDefault="00C66DC1">
      <w:pPr>
        <w:pStyle w:val="Corpodetexto"/>
        <w:spacing w:before="141" w:line="360" w:lineRule="auto"/>
        <w:ind w:left="316" w:right="281" w:firstLine="706"/>
        <w:jc w:val="both"/>
      </w:pPr>
      <w:r>
        <w:t xml:space="preserve">As médias de Bull determinam que as médias dos valores dos índices </w:t>
      </w:r>
      <w:proofErr w:type="spellStart"/>
      <w:r>
        <w:t>hematimétricos</w:t>
      </w:r>
      <w:proofErr w:type="spellEnd"/>
      <w:r>
        <w:t xml:space="preserve"> </w:t>
      </w:r>
      <w:r>
        <w:rPr>
          <w:spacing w:val="-3"/>
        </w:rPr>
        <w:t xml:space="preserve">já </w:t>
      </w:r>
      <w:r>
        <w:t>conhecidos como VCM, hemoglobina corpuscular média (HCM) e concentraçã</w:t>
      </w:r>
      <w:r>
        <w:t xml:space="preserve">o </w:t>
      </w:r>
      <w:proofErr w:type="spellStart"/>
      <w:r>
        <w:t>hemoglobínica</w:t>
      </w:r>
      <w:proofErr w:type="spellEnd"/>
      <w:r>
        <w:t xml:space="preserve"> corpuscular média (CHCM), sejam relativamente fixas e tendam a variações mínimas (OLIVEIRA, 2007). Um coeficiente de variação de ± 3,0% em relação a médias anteriores sugere um erro na calibração do analisador. Foi demonstrado que a diminui</w:t>
      </w:r>
      <w:r>
        <w:t xml:space="preserve">ção do CHCM, em relação a médias anteriores, significa erros para menos na dosagem de hemoglobina, aumento do VCM ou contagem para mais dos eritrócitos. Os valores encontrados por Bull em 3600 pacientes hospitalizados de três continentes foram VCM=89,5 </w:t>
      </w:r>
      <w:proofErr w:type="spellStart"/>
      <w:r>
        <w:t>fL</w:t>
      </w:r>
      <w:proofErr w:type="spellEnd"/>
      <w:r>
        <w:t>,</w:t>
      </w:r>
      <w:r>
        <w:t xml:space="preserve"> HCM=30,5 </w:t>
      </w:r>
      <w:proofErr w:type="spellStart"/>
      <w:r>
        <w:t>pg</w:t>
      </w:r>
      <w:proofErr w:type="spellEnd"/>
      <w:r>
        <w:t xml:space="preserve"> e CHCM de 34,0%. </w:t>
      </w:r>
      <w:proofErr w:type="gramStart"/>
      <w:r>
        <w:t>A análise das médias móveis ao longo dos turnos representam</w:t>
      </w:r>
      <w:proofErr w:type="gramEnd"/>
      <w:r>
        <w:t xml:space="preserve"> a melhor avaliação da estabilidade dos equipamentos (KRAUSE,</w:t>
      </w:r>
      <w:r>
        <w:rPr>
          <w:spacing w:val="-2"/>
        </w:rPr>
        <w:t xml:space="preserve"> </w:t>
      </w:r>
      <w:r>
        <w:t>2002).</w:t>
      </w:r>
    </w:p>
    <w:p w14:paraId="00FE02D8" w14:textId="77777777" w:rsidR="00170F05" w:rsidRDefault="00170F05">
      <w:pPr>
        <w:pStyle w:val="Corpodetexto"/>
        <w:spacing w:before="9"/>
        <w:rPr>
          <w:sz w:val="35"/>
        </w:rPr>
      </w:pPr>
    </w:p>
    <w:p w14:paraId="00FE02D9" w14:textId="77777777" w:rsidR="00170F05" w:rsidRDefault="00C66DC1">
      <w:pPr>
        <w:pStyle w:val="Ttulo2"/>
        <w:numPr>
          <w:ilvl w:val="2"/>
          <w:numId w:val="1"/>
        </w:numPr>
        <w:tabs>
          <w:tab w:val="left" w:pos="921"/>
        </w:tabs>
        <w:ind w:hanging="605"/>
      </w:pPr>
      <w:bookmarkStart w:id="20" w:name="_bookmark28"/>
      <w:bookmarkEnd w:id="20"/>
      <w:r>
        <w:t>Delta</w:t>
      </w:r>
      <w:r>
        <w:rPr>
          <w:spacing w:val="-1"/>
        </w:rPr>
        <w:t xml:space="preserve"> </w:t>
      </w:r>
      <w:proofErr w:type="spellStart"/>
      <w:r>
        <w:t>checks</w:t>
      </w:r>
      <w:proofErr w:type="spellEnd"/>
    </w:p>
    <w:p w14:paraId="00FE02DC" w14:textId="227EB481" w:rsidR="00170F05" w:rsidRDefault="00C66DC1" w:rsidP="00D82951">
      <w:pPr>
        <w:pStyle w:val="Corpodetexto"/>
        <w:spacing w:before="142" w:line="360" w:lineRule="auto"/>
        <w:ind w:left="316" w:right="280"/>
        <w:jc w:val="both"/>
        <w:rPr>
          <w:sz w:val="20"/>
        </w:rPr>
      </w:pPr>
      <w:r>
        <w:lastRenderedPageBreak/>
        <w:t xml:space="preserve">Avaliações estatísticas dos resultados do mesmo paciente, em momentos diferentes, são denominadas delta </w:t>
      </w:r>
      <w:proofErr w:type="spellStart"/>
      <w:r>
        <w:t>checks.Os</w:t>
      </w:r>
      <w:proofErr w:type="spellEnd"/>
      <w:r>
        <w:t xml:space="preserve"> valores encontrados não podem ultrapassar a 10% para hemoglobina e de 20 a 25% para leucócitos e plaquetas, desde que o quadro clínico do paci</w:t>
      </w:r>
      <w:r>
        <w:t>ente se mantenha estável (FERREIRA et al., 2002).</w:t>
      </w:r>
    </w:p>
    <w:p w14:paraId="00FE02DD" w14:textId="77777777" w:rsidR="00170F05" w:rsidRDefault="00170F05">
      <w:pPr>
        <w:pStyle w:val="Corpodetexto"/>
        <w:spacing w:before="9"/>
        <w:rPr>
          <w:sz w:val="21"/>
        </w:rPr>
      </w:pPr>
    </w:p>
    <w:p w14:paraId="00FE02DE" w14:textId="77777777" w:rsidR="00170F05" w:rsidRDefault="00C66DC1">
      <w:pPr>
        <w:pStyle w:val="Ttulo2"/>
        <w:numPr>
          <w:ilvl w:val="2"/>
          <w:numId w:val="1"/>
        </w:numPr>
        <w:tabs>
          <w:tab w:val="left" w:pos="921"/>
        </w:tabs>
        <w:spacing w:before="92"/>
        <w:ind w:hanging="605"/>
      </w:pPr>
      <w:bookmarkStart w:id="21" w:name="_bookmark29"/>
      <w:bookmarkEnd w:id="21"/>
      <w:r>
        <w:t>Controle externo da</w:t>
      </w:r>
      <w:r>
        <w:rPr>
          <w:spacing w:val="-8"/>
        </w:rPr>
        <w:t xml:space="preserve"> </w:t>
      </w:r>
      <w:r>
        <w:t>qualidade</w:t>
      </w:r>
    </w:p>
    <w:p w14:paraId="00FE02DF" w14:textId="77777777" w:rsidR="00170F05" w:rsidRDefault="00C66DC1">
      <w:pPr>
        <w:pStyle w:val="Corpodetexto"/>
        <w:spacing w:before="147" w:line="360" w:lineRule="auto"/>
        <w:ind w:left="316" w:right="284" w:firstLine="710"/>
        <w:jc w:val="both"/>
      </w:pPr>
      <w:r>
        <w:t>A participação dos laboratórios em testes de proficiência da SBPC (PELM) ou da SBAC (PNCQ) permite comparar os resultados entre laboratórios. A análise crítica de resultados é importante para ações corretivas, quando necessário. Para o cliente, isso repres</w:t>
      </w:r>
      <w:r>
        <w:t>enta maior confiabilidade (FERREIRA et al., 2002).</w:t>
      </w:r>
    </w:p>
    <w:p w14:paraId="00FE02E0" w14:textId="77777777" w:rsidR="00170F05" w:rsidRDefault="00170F05">
      <w:pPr>
        <w:pStyle w:val="Corpodetexto"/>
        <w:spacing w:before="6"/>
        <w:rPr>
          <w:sz w:val="35"/>
        </w:rPr>
      </w:pPr>
    </w:p>
    <w:p w14:paraId="00FE02E1" w14:textId="77777777" w:rsidR="00170F05" w:rsidRDefault="00C66DC1">
      <w:pPr>
        <w:pStyle w:val="Ttulo2"/>
        <w:numPr>
          <w:ilvl w:val="2"/>
          <w:numId w:val="1"/>
        </w:numPr>
        <w:tabs>
          <w:tab w:val="left" w:pos="921"/>
        </w:tabs>
        <w:ind w:hanging="605"/>
      </w:pPr>
      <w:bookmarkStart w:id="22" w:name="_bookmark30"/>
      <w:bookmarkEnd w:id="22"/>
      <w:r>
        <w:t>Revisão de</w:t>
      </w:r>
      <w:r>
        <w:rPr>
          <w:spacing w:val="-4"/>
        </w:rPr>
        <w:t xml:space="preserve"> </w:t>
      </w:r>
      <w:r>
        <w:t>lâminas</w:t>
      </w:r>
    </w:p>
    <w:p w14:paraId="00FE02E2" w14:textId="77777777" w:rsidR="00170F05" w:rsidRDefault="00C66DC1">
      <w:pPr>
        <w:pStyle w:val="Corpodetexto"/>
        <w:spacing w:before="142" w:line="360" w:lineRule="auto"/>
        <w:ind w:left="316" w:right="284" w:firstLine="706"/>
        <w:jc w:val="both"/>
      </w:pPr>
      <w:r>
        <w:t xml:space="preserve">Resultados de hemogramas com </w:t>
      </w:r>
      <w:r>
        <w:rPr>
          <w:i/>
        </w:rPr>
        <w:t>flags</w:t>
      </w:r>
      <w:r>
        <w:t xml:space="preserve">, resultados numéricos fora dos limites de referência, amostras de pacientes menores de 5 anos ou maiores de 75 anos, hemogramas de clínicas </w:t>
      </w:r>
      <w:proofErr w:type="spellStart"/>
      <w:r>
        <w:t>onco</w:t>
      </w:r>
      <w:proofErr w:type="spellEnd"/>
      <w:r>
        <w:t>-hemat</w:t>
      </w:r>
      <w:r>
        <w:t xml:space="preserve">ológicas ou da UTI (unidade de terapia intensiva), além de pedidos médicos específicos, como pesquisa de linfócitos atípicos, de </w:t>
      </w:r>
      <w:proofErr w:type="spellStart"/>
      <w:r>
        <w:t>esferócitos</w:t>
      </w:r>
      <w:proofErr w:type="spellEnd"/>
      <w:r>
        <w:t>, constituem alguns dos critérios utilizados para revisão obrigatória da lâmina do paciente. Com o uso desses critér</w:t>
      </w:r>
      <w:r>
        <w:t>ios, cerca de 10% a 20% das lâminas são revisadas. Mesmo com esses cuidados, algumas alterações podem passar despercebidas pelos analisadores. Alguns desses exemplos são mostrados a seguir (FAILACE, 2009):</w:t>
      </w:r>
    </w:p>
    <w:p w14:paraId="00FE02E3" w14:textId="77777777" w:rsidR="00170F05" w:rsidRDefault="00170F05">
      <w:pPr>
        <w:pStyle w:val="Corpodetexto"/>
        <w:spacing w:before="2"/>
      </w:pPr>
    </w:p>
    <w:p w14:paraId="00FE02E4" w14:textId="77777777" w:rsidR="00170F05" w:rsidRDefault="00C66DC1">
      <w:pPr>
        <w:pStyle w:val="Corpodetexto"/>
        <w:ind w:left="316"/>
      </w:pPr>
      <w:r>
        <w:t>NO</w:t>
      </w:r>
      <w:r>
        <w:rPr>
          <w:spacing w:val="-7"/>
        </w:rPr>
        <w:t xml:space="preserve"> </w:t>
      </w:r>
      <w:r>
        <w:t>ERITROGRAMA</w:t>
      </w:r>
    </w:p>
    <w:p w14:paraId="00FE02E5" w14:textId="77777777" w:rsidR="00170F05" w:rsidRDefault="00170F05">
      <w:pPr>
        <w:pStyle w:val="Corpodetexto"/>
        <w:spacing w:before="3"/>
        <w:rPr>
          <w:sz w:val="25"/>
        </w:rPr>
      </w:pPr>
    </w:p>
    <w:p w14:paraId="00FE02E6" w14:textId="77777777" w:rsidR="00170F05" w:rsidRDefault="00C66DC1">
      <w:pPr>
        <w:pStyle w:val="Corpodetexto"/>
        <w:ind w:left="1036"/>
      </w:pPr>
      <w:r>
        <w:rPr>
          <w:noProof/>
        </w:rPr>
        <w:drawing>
          <wp:anchor distT="0" distB="0" distL="0" distR="0" simplePos="0" relativeHeight="251671552" behindDoc="0" locked="0" layoutInCell="1" allowOverlap="1" wp14:anchorId="00FE0495" wp14:editId="00FE0496">
            <wp:simplePos x="0" y="0"/>
            <wp:positionH relativeFrom="page">
              <wp:posOffset>1128369</wp:posOffset>
            </wp:positionH>
            <wp:positionV relativeFrom="paragraph">
              <wp:posOffset>-9450</wp:posOffset>
            </wp:positionV>
            <wp:extent cx="140208" cy="1485011"/>
            <wp:effectExtent l="0" t="0" r="0" b="0"/>
            <wp:wrapNone/>
            <wp:docPr id="1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png"/>
                    <pic:cNvPicPr/>
                  </pic:nvPicPr>
                  <pic:blipFill>
                    <a:blip r:embed="rId18" cstate="print"/>
                    <a:stretch>
                      <a:fillRect/>
                    </a:stretch>
                  </pic:blipFill>
                  <pic:spPr>
                    <a:xfrm>
                      <a:off x="0" y="0"/>
                      <a:ext cx="140208" cy="1485011"/>
                    </a:xfrm>
                    <a:prstGeom prst="rect">
                      <a:avLst/>
                    </a:prstGeom>
                  </pic:spPr>
                </pic:pic>
              </a:graphicData>
            </a:graphic>
          </wp:anchor>
        </w:drawing>
      </w:r>
      <w:proofErr w:type="spellStart"/>
      <w:r>
        <w:t>Policromatose</w:t>
      </w:r>
      <w:proofErr w:type="spellEnd"/>
    </w:p>
    <w:p w14:paraId="00FE02E7" w14:textId="77777777" w:rsidR="00170F05" w:rsidRDefault="00C66DC1">
      <w:pPr>
        <w:pStyle w:val="Corpodetexto"/>
        <w:spacing w:before="18" w:line="254" w:lineRule="auto"/>
        <w:ind w:left="1036" w:right="5472"/>
      </w:pPr>
      <w:proofErr w:type="spellStart"/>
      <w:r>
        <w:t>Pecilocitose</w:t>
      </w:r>
      <w:proofErr w:type="spellEnd"/>
      <w:r>
        <w:t xml:space="preserve"> (de u</w:t>
      </w:r>
      <w:r>
        <w:t xml:space="preserve">m modo geral) </w:t>
      </w:r>
      <w:proofErr w:type="spellStart"/>
      <w:r>
        <w:t>Ovalócitos</w:t>
      </w:r>
      <w:proofErr w:type="spellEnd"/>
    </w:p>
    <w:p w14:paraId="00FE02E8" w14:textId="77777777" w:rsidR="00170F05" w:rsidRDefault="00C66DC1">
      <w:pPr>
        <w:pStyle w:val="Corpodetexto"/>
        <w:spacing w:line="254" w:lineRule="auto"/>
        <w:ind w:left="1036" w:right="7673"/>
      </w:pPr>
      <w:proofErr w:type="spellStart"/>
      <w:r>
        <w:t>Esferócitos</w:t>
      </w:r>
      <w:proofErr w:type="spellEnd"/>
      <w:r>
        <w:t xml:space="preserve"> </w:t>
      </w:r>
      <w:proofErr w:type="spellStart"/>
      <w:r>
        <w:t>Acantócitos</w:t>
      </w:r>
      <w:proofErr w:type="spellEnd"/>
    </w:p>
    <w:p w14:paraId="00FE02E9" w14:textId="77777777" w:rsidR="00170F05" w:rsidRDefault="00C66DC1">
      <w:pPr>
        <w:pStyle w:val="Corpodetexto"/>
        <w:spacing w:line="254" w:lineRule="auto"/>
        <w:ind w:left="1036" w:right="3731"/>
        <w:rPr>
          <w:i/>
        </w:rPr>
      </w:pPr>
      <w:r>
        <w:t xml:space="preserve">Inclusões </w:t>
      </w:r>
      <w:proofErr w:type="gramStart"/>
      <w:r>
        <w:t>( Howell</w:t>
      </w:r>
      <w:proofErr w:type="gramEnd"/>
      <w:r>
        <w:t xml:space="preserve"> </w:t>
      </w:r>
      <w:proofErr w:type="spellStart"/>
      <w:r>
        <w:t>Jolly</w:t>
      </w:r>
      <w:proofErr w:type="spellEnd"/>
      <w:r>
        <w:t xml:space="preserve">, pontilhado basófilo) </w:t>
      </w:r>
      <w:proofErr w:type="spellStart"/>
      <w:r>
        <w:t>Eritroblastos</w:t>
      </w:r>
      <w:proofErr w:type="spellEnd"/>
      <w:r>
        <w:t xml:space="preserve"> &lt;5% (o </w:t>
      </w:r>
      <w:proofErr w:type="spellStart"/>
      <w:r>
        <w:t>Cell-Dyn</w:t>
      </w:r>
      <w:proofErr w:type="spellEnd"/>
      <w:r>
        <w:t xml:space="preserve"> 4000 identifica-os) </w:t>
      </w:r>
      <w:proofErr w:type="spellStart"/>
      <w:r>
        <w:rPr>
          <w:i/>
        </w:rPr>
        <w:t>Rouleaux</w:t>
      </w:r>
      <w:proofErr w:type="spellEnd"/>
    </w:p>
    <w:p w14:paraId="00FE02EA" w14:textId="77777777" w:rsidR="00170F05" w:rsidRDefault="00170F05">
      <w:pPr>
        <w:pStyle w:val="Corpodetexto"/>
        <w:spacing w:before="3"/>
        <w:rPr>
          <w:i/>
          <w:sz w:val="22"/>
        </w:rPr>
      </w:pPr>
    </w:p>
    <w:p w14:paraId="00FE02EB" w14:textId="77777777" w:rsidR="00170F05" w:rsidRDefault="00C66DC1">
      <w:pPr>
        <w:pStyle w:val="Corpodetexto"/>
        <w:spacing w:before="1"/>
        <w:ind w:left="316"/>
      </w:pPr>
      <w:r>
        <w:t>NO LEUCOGRAMA</w:t>
      </w:r>
    </w:p>
    <w:p w14:paraId="00FE02EC" w14:textId="77777777" w:rsidR="00170F05" w:rsidRDefault="00170F05">
      <w:pPr>
        <w:pStyle w:val="Corpodetexto"/>
        <w:spacing w:before="10"/>
        <w:rPr>
          <w:sz w:val="23"/>
        </w:rPr>
      </w:pPr>
    </w:p>
    <w:p w14:paraId="00FE02ED" w14:textId="77777777" w:rsidR="00170F05" w:rsidRDefault="00C66DC1">
      <w:pPr>
        <w:pStyle w:val="Corpodetexto"/>
        <w:spacing w:before="1" w:line="242" w:lineRule="auto"/>
        <w:ind w:left="1036" w:right="1260" w:hanging="361"/>
      </w:pPr>
      <w:r>
        <w:rPr>
          <w:noProof/>
        </w:rPr>
        <w:drawing>
          <wp:anchor distT="0" distB="0" distL="0" distR="0" simplePos="0" relativeHeight="251672576" behindDoc="0" locked="0" layoutInCell="1" allowOverlap="1" wp14:anchorId="00FE0497" wp14:editId="00FE0498">
            <wp:simplePos x="0" y="0"/>
            <wp:positionH relativeFrom="page">
              <wp:posOffset>1128369</wp:posOffset>
            </wp:positionH>
            <wp:positionV relativeFrom="paragraph">
              <wp:posOffset>537337</wp:posOffset>
            </wp:positionV>
            <wp:extent cx="140208" cy="557784"/>
            <wp:effectExtent l="0" t="0" r="0" b="0"/>
            <wp:wrapNone/>
            <wp:docPr id="1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png"/>
                    <pic:cNvPicPr/>
                  </pic:nvPicPr>
                  <pic:blipFill>
                    <a:blip r:embed="rId19" cstate="print"/>
                    <a:stretch>
                      <a:fillRect/>
                    </a:stretch>
                  </pic:blipFill>
                  <pic:spPr>
                    <a:xfrm>
                      <a:off x="0" y="0"/>
                      <a:ext cx="140208" cy="557784"/>
                    </a:xfrm>
                    <a:prstGeom prst="rect">
                      <a:avLst/>
                    </a:prstGeom>
                  </pic:spPr>
                </pic:pic>
              </a:graphicData>
            </a:graphic>
          </wp:anchor>
        </w:drawing>
      </w:r>
      <w:r>
        <w:rPr>
          <w:noProof/>
          <w:position w:val="-4"/>
        </w:rPr>
        <w:drawing>
          <wp:inline distT="0" distB="0" distL="0" distR="0" wp14:anchorId="00FE0499" wp14:editId="00FE049A">
            <wp:extent cx="140208" cy="185928"/>
            <wp:effectExtent l="0" t="0" r="0" b="0"/>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 xml:space="preserve">Desvio à esquerda (há um </w:t>
      </w:r>
      <w:r>
        <w:rPr>
          <w:i/>
        </w:rPr>
        <w:t xml:space="preserve">flag </w:t>
      </w:r>
      <w:proofErr w:type="spellStart"/>
      <w:r>
        <w:rPr>
          <w:i/>
        </w:rPr>
        <w:t>Imm</w:t>
      </w:r>
      <w:proofErr w:type="spellEnd"/>
      <w:r>
        <w:rPr>
          <w:i/>
        </w:rPr>
        <w:t xml:space="preserve"> </w:t>
      </w:r>
      <w:proofErr w:type="spellStart"/>
      <w:r>
        <w:rPr>
          <w:i/>
        </w:rPr>
        <w:t>Grans</w:t>
      </w:r>
      <w:proofErr w:type="spellEnd"/>
      <w:r>
        <w:rPr>
          <w:i/>
        </w:rPr>
        <w:t>/</w:t>
      </w:r>
      <w:proofErr w:type="spellStart"/>
      <w:r>
        <w:rPr>
          <w:i/>
        </w:rPr>
        <w:t>Bands</w:t>
      </w:r>
      <w:proofErr w:type="spellEnd"/>
      <w:r>
        <w:rPr>
          <w:i/>
        </w:rPr>
        <w:t xml:space="preserve"> </w:t>
      </w:r>
      <w:r>
        <w:t xml:space="preserve">em 80% dos casos com leucocitose, </w:t>
      </w:r>
      <w:r>
        <w:rPr>
          <w:spacing w:val="-3"/>
        </w:rPr>
        <w:t xml:space="preserve">mas </w:t>
      </w:r>
      <w:r>
        <w:rPr>
          <w:spacing w:val="3"/>
        </w:rPr>
        <w:t xml:space="preserve">em </w:t>
      </w:r>
      <w:r>
        <w:t xml:space="preserve">menos de 40% dos casos sem leucocitose); a anomalia de </w:t>
      </w:r>
      <w:proofErr w:type="spellStart"/>
      <w:r>
        <w:t>Pelger-Huët</w:t>
      </w:r>
      <w:proofErr w:type="spellEnd"/>
      <w:r>
        <w:t xml:space="preserve"> nunca é</w:t>
      </w:r>
      <w:r>
        <w:rPr>
          <w:spacing w:val="-5"/>
        </w:rPr>
        <w:t xml:space="preserve"> </w:t>
      </w:r>
      <w:r>
        <w:t>notada</w:t>
      </w:r>
    </w:p>
    <w:p w14:paraId="00FE02EE" w14:textId="77777777" w:rsidR="00170F05" w:rsidRDefault="00C66DC1">
      <w:pPr>
        <w:pStyle w:val="Corpodetexto"/>
        <w:spacing w:before="6" w:line="254" w:lineRule="auto"/>
        <w:ind w:left="1036" w:right="4725"/>
      </w:pPr>
      <w:r>
        <w:t xml:space="preserve">Granulações tóxicas e corpos de </w:t>
      </w:r>
      <w:proofErr w:type="spellStart"/>
      <w:r>
        <w:t>Döhle</w:t>
      </w:r>
      <w:proofErr w:type="spellEnd"/>
      <w:r>
        <w:t xml:space="preserve"> Plasmócitos</w:t>
      </w:r>
    </w:p>
    <w:p w14:paraId="00FE02EF" w14:textId="77777777" w:rsidR="00170F05" w:rsidRDefault="00C66DC1">
      <w:pPr>
        <w:pStyle w:val="Corpodetexto"/>
        <w:spacing w:before="1"/>
        <w:ind w:left="1036" w:right="1417"/>
      </w:pPr>
      <w:r>
        <w:rPr>
          <w:noProof/>
        </w:rPr>
        <w:drawing>
          <wp:anchor distT="0" distB="0" distL="0" distR="0" simplePos="0" relativeHeight="251673600" behindDoc="0" locked="0" layoutInCell="1" allowOverlap="1" wp14:anchorId="00FE049B" wp14:editId="00FE049C">
            <wp:simplePos x="0" y="0"/>
            <wp:positionH relativeFrom="page">
              <wp:posOffset>1128369</wp:posOffset>
            </wp:positionH>
            <wp:positionV relativeFrom="paragraph">
              <wp:posOffset>528013</wp:posOffset>
            </wp:positionV>
            <wp:extent cx="140208" cy="554685"/>
            <wp:effectExtent l="0" t="0" r="0" b="0"/>
            <wp:wrapNone/>
            <wp:docPr id="1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png"/>
                    <pic:cNvPicPr/>
                  </pic:nvPicPr>
                  <pic:blipFill>
                    <a:blip r:embed="rId20" cstate="print"/>
                    <a:stretch>
                      <a:fillRect/>
                    </a:stretch>
                  </pic:blipFill>
                  <pic:spPr>
                    <a:xfrm>
                      <a:off x="0" y="0"/>
                      <a:ext cx="140208" cy="554685"/>
                    </a:xfrm>
                    <a:prstGeom prst="rect">
                      <a:avLst/>
                    </a:prstGeom>
                  </pic:spPr>
                </pic:pic>
              </a:graphicData>
            </a:graphic>
          </wp:anchor>
        </w:drawing>
      </w:r>
      <w:r>
        <w:t xml:space="preserve">Linfócitos atípicos (há </w:t>
      </w:r>
      <w:r>
        <w:rPr>
          <w:i/>
        </w:rPr>
        <w:t xml:space="preserve">flag </w:t>
      </w:r>
      <w:proofErr w:type="spellStart"/>
      <w:r>
        <w:rPr>
          <w:i/>
        </w:rPr>
        <w:t>Variant</w:t>
      </w:r>
      <w:proofErr w:type="spellEnd"/>
      <w:r>
        <w:rPr>
          <w:i/>
        </w:rPr>
        <w:t xml:space="preserve"> </w:t>
      </w:r>
      <w:proofErr w:type="spellStart"/>
      <w:r>
        <w:rPr>
          <w:i/>
        </w:rPr>
        <w:t>lymphs</w:t>
      </w:r>
      <w:proofErr w:type="spellEnd"/>
      <w:r>
        <w:rPr>
          <w:i/>
        </w:rPr>
        <w:t xml:space="preserve"> </w:t>
      </w:r>
      <w:r>
        <w:t xml:space="preserve">em 80% dos casos com </w:t>
      </w:r>
      <w:proofErr w:type="gramStart"/>
      <w:r>
        <w:t>linfocitose</w:t>
      </w:r>
      <w:proofErr w:type="gramEnd"/>
      <w:r>
        <w:t xml:space="preserve"> mas, em menos de 30%, sem linfocitose; identificam muitos como monócitos)</w:t>
      </w:r>
    </w:p>
    <w:p w14:paraId="00FE02F0" w14:textId="77777777" w:rsidR="00170F05" w:rsidRDefault="00C66DC1">
      <w:pPr>
        <w:pStyle w:val="Corpodetexto"/>
        <w:spacing w:before="17"/>
        <w:ind w:left="1036"/>
      </w:pPr>
      <w:r>
        <w:t>Linfócitos clivados</w:t>
      </w:r>
    </w:p>
    <w:p w14:paraId="00FE02F1" w14:textId="77777777" w:rsidR="00170F05" w:rsidRDefault="00C66DC1">
      <w:pPr>
        <w:pStyle w:val="Corpodetexto"/>
        <w:spacing w:before="12"/>
        <w:ind w:left="1036"/>
      </w:pPr>
      <w:r>
        <w:t>Linfócitos com granulação ou vacuolização anormais</w:t>
      </w:r>
    </w:p>
    <w:p w14:paraId="00FE02F2" w14:textId="77777777" w:rsidR="00170F05" w:rsidRDefault="00C66DC1">
      <w:pPr>
        <w:spacing w:before="17"/>
        <w:ind w:left="1036"/>
        <w:rPr>
          <w:sz w:val="24"/>
        </w:rPr>
      </w:pPr>
      <w:proofErr w:type="spellStart"/>
      <w:r>
        <w:rPr>
          <w:i/>
          <w:sz w:val="24"/>
        </w:rPr>
        <w:lastRenderedPageBreak/>
        <w:t>Hairy</w:t>
      </w:r>
      <w:proofErr w:type="spellEnd"/>
      <w:r>
        <w:rPr>
          <w:i/>
          <w:sz w:val="24"/>
        </w:rPr>
        <w:t xml:space="preserve"> </w:t>
      </w:r>
      <w:proofErr w:type="spellStart"/>
      <w:r>
        <w:rPr>
          <w:i/>
          <w:sz w:val="24"/>
        </w:rPr>
        <w:t>cells</w:t>
      </w:r>
      <w:proofErr w:type="spellEnd"/>
      <w:r>
        <w:rPr>
          <w:i/>
          <w:sz w:val="24"/>
        </w:rPr>
        <w:t xml:space="preserve"> </w:t>
      </w:r>
      <w:r>
        <w:rPr>
          <w:sz w:val="24"/>
        </w:rPr>
        <w:t>(aparecem como monócitos)</w:t>
      </w:r>
    </w:p>
    <w:p w14:paraId="00FE02FA" w14:textId="77777777" w:rsidR="00170F05" w:rsidRDefault="00170F05">
      <w:pPr>
        <w:pStyle w:val="Corpodetexto"/>
        <w:spacing w:before="11"/>
        <w:rPr>
          <w:sz w:val="29"/>
        </w:rPr>
      </w:pPr>
    </w:p>
    <w:p w14:paraId="00FE02FB" w14:textId="77777777" w:rsidR="00170F05" w:rsidRDefault="00C66DC1">
      <w:pPr>
        <w:pStyle w:val="Ttulo2"/>
        <w:numPr>
          <w:ilvl w:val="1"/>
          <w:numId w:val="1"/>
        </w:numPr>
        <w:tabs>
          <w:tab w:val="left" w:pos="719"/>
        </w:tabs>
        <w:spacing w:before="92"/>
      </w:pPr>
      <w:bookmarkStart w:id="23" w:name="_bookmark31"/>
      <w:bookmarkEnd w:id="23"/>
      <w:r>
        <w:t>CAUSAS DE ERROS</w:t>
      </w:r>
      <w:r>
        <w:t xml:space="preserve"> EM CONTADORES</w:t>
      </w:r>
      <w:r>
        <w:rPr>
          <w:spacing w:val="-9"/>
        </w:rPr>
        <w:t xml:space="preserve"> </w:t>
      </w:r>
      <w:r>
        <w:t>HEMATOLÓGICOS</w:t>
      </w:r>
    </w:p>
    <w:p w14:paraId="00FE02FC" w14:textId="77777777" w:rsidR="00170F05" w:rsidRDefault="00170F05">
      <w:pPr>
        <w:pStyle w:val="Corpodetexto"/>
        <w:rPr>
          <w:b/>
          <w:sz w:val="26"/>
        </w:rPr>
      </w:pPr>
    </w:p>
    <w:p w14:paraId="00FE02FD" w14:textId="77777777" w:rsidR="00170F05" w:rsidRDefault="00170F05">
      <w:pPr>
        <w:pStyle w:val="Corpodetexto"/>
        <w:spacing w:before="2"/>
        <w:rPr>
          <w:b/>
          <w:sz w:val="22"/>
        </w:rPr>
      </w:pPr>
    </w:p>
    <w:p w14:paraId="00FE02FE" w14:textId="77777777" w:rsidR="00170F05" w:rsidRDefault="00C66DC1">
      <w:pPr>
        <w:pStyle w:val="Ttulo2"/>
        <w:numPr>
          <w:ilvl w:val="2"/>
          <w:numId w:val="1"/>
        </w:numPr>
        <w:tabs>
          <w:tab w:val="left" w:pos="921"/>
        </w:tabs>
        <w:spacing w:before="1"/>
        <w:ind w:hanging="605"/>
      </w:pPr>
      <w:bookmarkStart w:id="24" w:name="_bookmark32"/>
      <w:bookmarkEnd w:id="24"/>
      <w:r>
        <w:t>Plaquetas</w:t>
      </w:r>
    </w:p>
    <w:p w14:paraId="00FE02FF" w14:textId="77777777" w:rsidR="00170F05" w:rsidRDefault="00C66DC1">
      <w:pPr>
        <w:pStyle w:val="Corpodetexto"/>
        <w:spacing w:before="141" w:line="360" w:lineRule="auto"/>
        <w:ind w:left="316" w:right="296" w:firstLine="710"/>
        <w:jc w:val="both"/>
      </w:pPr>
      <w:r>
        <w:t>As plaquetas, fragmentos do citoplasma do megacariócito, desempenham funções hemostáticas insubstituíveis, circulam na corrente sanguínea durante sete a dez dias e aproximadamente 100 bilhões são produzidas por dia.</w:t>
      </w:r>
    </w:p>
    <w:p w14:paraId="00FE0300" w14:textId="77777777" w:rsidR="00170F05" w:rsidRDefault="00C66DC1">
      <w:pPr>
        <w:pStyle w:val="Corpodetexto"/>
        <w:spacing w:before="2" w:line="360" w:lineRule="auto"/>
        <w:ind w:left="316" w:right="289" w:firstLine="706"/>
        <w:jc w:val="both"/>
      </w:pPr>
      <w:r>
        <w:t xml:space="preserve">Quadros clínicos com sangramento </w:t>
      </w:r>
      <w:proofErr w:type="spellStart"/>
      <w:r>
        <w:t>mucocut</w:t>
      </w:r>
      <w:r>
        <w:t>âneo</w:t>
      </w:r>
      <w:proofErr w:type="spellEnd"/>
      <w:r>
        <w:t xml:space="preserve">, desencadeados por plaquetopenias e </w:t>
      </w:r>
      <w:proofErr w:type="spellStart"/>
      <w:r>
        <w:t>plaquetocitose</w:t>
      </w:r>
      <w:proofErr w:type="spellEnd"/>
      <w:r>
        <w:t xml:space="preserve"> relacionada a </w:t>
      </w:r>
      <w:proofErr w:type="spellStart"/>
      <w:r>
        <w:t>rísco</w:t>
      </w:r>
      <w:proofErr w:type="spellEnd"/>
      <w:r>
        <w:t xml:space="preserve"> trombótico aumentado, justificam a preocupação dos analistas clínicos com a acurácia na contagem de plaquetas (COMAR et al., 2009). O uso generalizado de analisadores hematológicos</w:t>
      </w:r>
      <w:r>
        <w:t xml:space="preserve"> tem levado à melhoria da hematologia celular, propiciando a contagem rápida e precisa das plaquetas na maioria dos casos. Entretanto, resultados falsos têm sido observados em várias situações. Consequentemente é importante que os operadores estejam famili</w:t>
      </w:r>
      <w:r>
        <w:t>arizados com seus analisadores e saibam reconhecer falsos resultados (BAIN &amp; BATES, 2006).</w:t>
      </w:r>
    </w:p>
    <w:p w14:paraId="00FE0301" w14:textId="77777777" w:rsidR="00170F05" w:rsidRDefault="00C66DC1">
      <w:pPr>
        <w:pStyle w:val="Corpodetexto"/>
        <w:spacing w:before="1" w:line="360" w:lineRule="auto"/>
        <w:ind w:left="316" w:right="289" w:firstLine="710"/>
        <w:jc w:val="both"/>
      </w:pPr>
      <w:r>
        <w:t xml:space="preserve">Em instrumentos que têm a impedância elétrica como princípio, partículas analisadas são suspensas em uma solução eletrolítica e essa diluição é passada através de </w:t>
      </w:r>
      <w:r>
        <w:rPr>
          <w:spacing w:val="-3"/>
        </w:rPr>
        <w:t>um</w:t>
      </w:r>
      <w:r>
        <w:rPr>
          <w:spacing w:val="-3"/>
        </w:rPr>
        <w:t xml:space="preserve">a </w:t>
      </w:r>
      <w:r>
        <w:t xml:space="preserve">abertura que </w:t>
      </w:r>
      <w:r>
        <w:rPr>
          <w:spacing w:val="2"/>
        </w:rPr>
        <w:t xml:space="preserve">liga </w:t>
      </w:r>
      <w:r>
        <w:t xml:space="preserve">duas câmaras, </w:t>
      </w:r>
      <w:r>
        <w:rPr>
          <w:spacing w:val="-3"/>
        </w:rPr>
        <w:t xml:space="preserve">uma </w:t>
      </w:r>
      <w:r>
        <w:t xml:space="preserve">contendo o eletrodo positivo e outra, o eletrodo negativo. Quando as células passam pelo orifício, causam </w:t>
      </w:r>
      <w:r>
        <w:rPr>
          <w:spacing w:val="5"/>
        </w:rPr>
        <w:t xml:space="preserve">um </w:t>
      </w:r>
      <w:r>
        <w:t xml:space="preserve">aumento na resistência elétrica, que registra </w:t>
      </w:r>
      <w:r>
        <w:rPr>
          <w:spacing w:val="2"/>
        </w:rPr>
        <w:t xml:space="preserve">um </w:t>
      </w:r>
      <w:r>
        <w:t xml:space="preserve">pulso. Cada pulso representa </w:t>
      </w:r>
      <w:r>
        <w:rPr>
          <w:spacing w:val="-3"/>
        </w:rPr>
        <w:t xml:space="preserve">uma </w:t>
      </w:r>
      <w:r>
        <w:t>célula e o tamanho do pulso</w:t>
      </w:r>
      <w:r>
        <w:t xml:space="preserve"> é proporcional ao tamanho da célula. As plaquetas e hemácias são analisadas no </w:t>
      </w:r>
      <w:r>
        <w:rPr>
          <w:spacing w:val="-3"/>
        </w:rPr>
        <w:t xml:space="preserve">mesmo </w:t>
      </w:r>
      <w:r>
        <w:t xml:space="preserve">canal. Os contadores por impedância registram partículas variando de 2 </w:t>
      </w:r>
      <w:proofErr w:type="spellStart"/>
      <w:r>
        <w:t>fL</w:t>
      </w:r>
      <w:proofErr w:type="spellEnd"/>
      <w:r>
        <w:t xml:space="preserve"> a 20 </w:t>
      </w:r>
      <w:proofErr w:type="spellStart"/>
      <w:r>
        <w:t>fL</w:t>
      </w:r>
      <w:proofErr w:type="spellEnd"/>
      <w:r>
        <w:t xml:space="preserve"> como sendo</w:t>
      </w:r>
      <w:r>
        <w:rPr>
          <w:spacing w:val="-1"/>
        </w:rPr>
        <w:t xml:space="preserve"> </w:t>
      </w:r>
      <w:r>
        <w:t>plaquetas.</w:t>
      </w:r>
    </w:p>
    <w:p w14:paraId="00FE0302" w14:textId="77777777" w:rsidR="00170F05" w:rsidRDefault="00C66DC1">
      <w:pPr>
        <w:pStyle w:val="Corpodetexto"/>
        <w:spacing w:line="362" w:lineRule="auto"/>
        <w:ind w:left="316" w:right="297" w:firstLine="706"/>
        <w:jc w:val="both"/>
      </w:pPr>
      <w:r>
        <w:t xml:space="preserve">A ocorrência de </w:t>
      </w:r>
      <w:r>
        <w:rPr>
          <w:i/>
        </w:rPr>
        <w:t xml:space="preserve">flags </w:t>
      </w:r>
      <w:r>
        <w:t>sinalizam para o analista a presença de parâ</w:t>
      </w:r>
      <w:r>
        <w:t xml:space="preserve">metros fora da normalidade e são emitidos, quando o aparelho não consegue separar plaquetas de hemácias ou em situações de </w:t>
      </w:r>
      <w:proofErr w:type="spellStart"/>
      <w:r>
        <w:t>plaquetocitose</w:t>
      </w:r>
      <w:proofErr w:type="spellEnd"/>
      <w:r>
        <w:t xml:space="preserve"> ou plaquetopenia.</w:t>
      </w:r>
    </w:p>
    <w:p w14:paraId="00FE0303" w14:textId="77777777" w:rsidR="00170F05" w:rsidRDefault="00C66DC1">
      <w:pPr>
        <w:pStyle w:val="Corpodetexto"/>
        <w:spacing w:line="360" w:lineRule="auto"/>
        <w:ind w:left="316" w:right="285" w:firstLine="706"/>
        <w:jc w:val="both"/>
      </w:pPr>
      <w:r>
        <w:t>Em aparelhos a laser, as partículas passam através de um feixe de laser, provocando dispersão da luz</w:t>
      </w:r>
      <w:r>
        <w:t xml:space="preserve">, que é detectada por um </w:t>
      </w:r>
      <w:r>
        <w:rPr>
          <w:shd w:val="clear" w:color="auto" w:fill="FFFF00"/>
        </w:rPr>
        <w:t>fotodiodo.</w:t>
      </w:r>
      <w:r>
        <w:t xml:space="preserve"> A quantidade de luz difusa é proporcional ao volume da partícula. As plaquetas são identificadas em um histograma de dispersão com base no seu volume e índice de refração (ZANDECKI et al., 2007).</w:t>
      </w:r>
    </w:p>
    <w:p w14:paraId="00FE0304" w14:textId="77777777" w:rsidR="00170F05" w:rsidRDefault="00170F05">
      <w:pPr>
        <w:spacing w:line="360" w:lineRule="auto"/>
        <w:jc w:val="both"/>
        <w:sectPr w:rsidR="00170F05">
          <w:pgSz w:w="11910" w:h="16840"/>
          <w:pgMar w:top="820" w:right="840" w:bottom="280" w:left="1100" w:header="569" w:footer="0" w:gutter="0"/>
          <w:cols w:space="720"/>
        </w:sectPr>
      </w:pPr>
    </w:p>
    <w:p w14:paraId="00FE030C" w14:textId="77777777" w:rsidR="00170F05" w:rsidRDefault="00C66DC1">
      <w:pPr>
        <w:pStyle w:val="Corpodetexto"/>
        <w:spacing w:before="211" w:line="360" w:lineRule="auto"/>
        <w:ind w:left="316" w:right="290" w:firstLine="739"/>
        <w:jc w:val="both"/>
      </w:pPr>
      <w:r>
        <w:lastRenderedPageBreak/>
        <w:t>Analisadores hematológicos de última geração são mais precisos e exatos para contagem de plaquetas, mas ainda podem gerar contagens espúrias em algumas situações. Uma imprecisão na contagem de plaquetas pode ser gerada principalmente em valores abaixo de 1</w:t>
      </w:r>
      <w:r>
        <w:t>0.000 p/mm³ (COMAR et al., 2009). Entretanto, as maiores causas de erros podem resultar de características das amostras de sangue, como:</w:t>
      </w:r>
    </w:p>
    <w:p w14:paraId="00FE030D" w14:textId="77777777" w:rsidR="00170F05" w:rsidRDefault="00C66DC1">
      <w:pPr>
        <w:pStyle w:val="Corpodetexto"/>
        <w:spacing w:line="357" w:lineRule="auto"/>
        <w:ind w:left="1036" w:right="290" w:hanging="361"/>
        <w:jc w:val="both"/>
      </w:pPr>
      <w:r>
        <w:rPr>
          <w:noProof/>
          <w:position w:val="-4"/>
        </w:rPr>
        <w:drawing>
          <wp:inline distT="0" distB="0" distL="0" distR="0" wp14:anchorId="00FE049D" wp14:editId="00FE049E">
            <wp:extent cx="140208" cy="185927"/>
            <wp:effectExtent l="0" t="0" r="0" b="0"/>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proofErr w:type="spellStart"/>
      <w:r>
        <w:t>pseudoplaquetopenia</w:t>
      </w:r>
      <w:proofErr w:type="spellEnd"/>
      <w:r>
        <w:t xml:space="preserve"> induzida por EDTA, fenômeno </w:t>
      </w:r>
      <w:r>
        <w:rPr>
          <w:i/>
          <w:spacing w:val="-3"/>
        </w:rPr>
        <w:t xml:space="preserve">in </w:t>
      </w:r>
      <w:r>
        <w:rPr>
          <w:i/>
        </w:rPr>
        <w:t xml:space="preserve">vitro, </w:t>
      </w:r>
      <w:r>
        <w:t>causado por proteínas específicas que reagem com plaquetas em presença de EDTA formando agregados</w:t>
      </w:r>
      <w:r>
        <w:rPr>
          <w:spacing w:val="-1"/>
        </w:rPr>
        <w:t xml:space="preserve"> </w:t>
      </w:r>
      <w:r>
        <w:t>plaquetários;</w:t>
      </w:r>
    </w:p>
    <w:p w14:paraId="00FE030E" w14:textId="77777777" w:rsidR="00170F05" w:rsidRDefault="00C66DC1">
      <w:pPr>
        <w:pStyle w:val="Corpodetexto"/>
        <w:spacing w:line="360" w:lineRule="auto"/>
        <w:ind w:left="1036" w:right="286" w:hanging="361"/>
        <w:jc w:val="both"/>
      </w:pPr>
      <w:r>
        <w:rPr>
          <w:noProof/>
          <w:position w:val="-4"/>
        </w:rPr>
        <w:drawing>
          <wp:inline distT="0" distB="0" distL="0" distR="0" wp14:anchorId="00FE049F" wp14:editId="00FE04A0">
            <wp:extent cx="140208" cy="185927"/>
            <wp:effectExtent l="0" t="0" r="0" b="0"/>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aglutinação de plaquetas em presença de EDTA, fenômeno que ocorre geralmente em poucos minutos após exposição do sangue ao anticoagulante, s</w:t>
      </w:r>
      <w:r>
        <w:t>endo mais visível em amostras de sangue mantidas à temperatura ambiente. Agregados são de tamanhos variados quando observados em lâminas coradas ou em câmara de Neubauer. Se os agregados de plaquetas atingirem o tamanho de leucócitos, pode-se observar núme</w:t>
      </w:r>
      <w:r>
        <w:t>ro de leucócitos falsamente elevados. Nesses casos, os aparelhos emitem alarmes relacionados à imprecisão para determinar a contagem de leucócitos ou para fazer diferencial de leucócitos. Analisadores que não realizam diferencial de leucócitos negligenciam</w:t>
      </w:r>
      <w:r>
        <w:t xml:space="preserve"> </w:t>
      </w:r>
      <w:r>
        <w:rPr>
          <w:spacing w:val="2"/>
        </w:rPr>
        <w:t xml:space="preserve">esses </w:t>
      </w:r>
      <w:r>
        <w:t>agregados plaquetários. A aglutinação ocorre à temperatura ambiente e não pode ser revertida por aquecimento e, na maioria dos casos, leva a um aumento dos aglomerados. Vários outros anticoagulantes têm sido propostos para evitar ou diminuir a forma</w:t>
      </w:r>
      <w:r>
        <w:t>ção desses agregados, incluindo ACD (citrato, ácido cítrico e dextrose), MgSO</w:t>
      </w:r>
      <w:r>
        <w:rPr>
          <w:vertAlign w:val="subscript"/>
        </w:rPr>
        <w:t>4</w:t>
      </w:r>
      <w:r>
        <w:t xml:space="preserve"> (sulfato de magnésio) ou adição de aminoglicosídeos para dissolvê-lo ou prevenir o fenômeno (ZANDECKI et al., 2007).</w:t>
      </w:r>
    </w:p>
    <w:p w14:paraId="00FE030F" w14:textId="77777777" w:rsidR="00170F05" w:rsidRDefault="00C66DC1">
      <w:pPr>
        <w:pStyle w:val="Corpodetexto"/>
        <w:spacing w:line="360" w:lineRule="auto"/>
        <w:ind w:left="1036" w:right="283" w:hanging="361"/>
        <w:jc w:val="both"/>
      </w:pPr>
      <w:r>
        <w:rPr>
          <w:noProof/>
          <w:position w:val="-4"/>
        </w:rPr>
        <w:drawing>
          <wp:inline distT="0" distB="0" distL="0" distR="0" wp14:anchorId="00FE04A1" wp14:editId="00FE04A2">
            <wp:extent cx="140208" cy="185928"/>
            <wp:effectExtent l="0" t="0" r="0" b="0"/>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proofErr w:type="spellStart"/>
      <w:r>
        <w:t>pseudoplaquetopenia</w:t>
      </w:r>
      <w:proofErr w:type="spellEnd"/>
      <w:r>
        <w:t xml:space="preserve"> relacionada ao satelitismo plaquetár</w:t>
      </w:r>
      <w:r>
        <w:t xml:space="preserve">io em </w:t>
      </w:r>
      <w:r>
        <w:rPr>
          <w:spacing w:val="2"/>
        </w:rPr>
        <w:t xml:space="preserve">torno </w:t>
      </w:r>
      <w:r>
        <w:t xml:space="preserve">dos leucócitos. Consiste em </w:t>
      </w:r>
      <w:r>
        <w:rPr>
          <w:spacing w:val="2"/>
        </w:rPr>
        <w:t xml:space="preserve">um </w:t>
      </w:r>
      <w:r>
        <w:t xml:space="preserve">fenômeno </w:t>
      </w:r>
      <w:r>
        <w:rPr>
          <w:i/>
          <w:spacing w:val="-3"/>
        </w:rPr>
        <w:t xml:space="preserve">in </w:t>
      </w:r>
      <w:r>
        <w:rPr>
          <w:i/>
        </w:rPr>
        <w:t xml:space="preserve">vitro, </w:t>
      </w:r>
      <w:r>
        <w:t xml:space="preserve">relacionado com a aderência da plaqueta aos neutrófilos e ocasionalmente outras células. Esse fenômeno é raro e pode estar relacionado a um processo </w:t>
      </w:r>
      <w:proofErr w:type="spellStart"/>
      <w:proofErr w:type="gramStart"/>
      <w:r>
        <w:t>autoimune.Todavia</w:t>
      </w:r>
      <w:proofErr w:type="spellEnd"/>
      <w:proofErr w:type="gramEnd"/>
      <w:r>
        <w:t>, seu significado clínico nã</w:t>
      </w:r>
      <w:r>
        <w:t xml:space="preserve">o é bem conhecido. A sinalização não é consistente na maioria dos casos, e aparece após análise do diagrama </w:t>
      </w:r>
      <w:r>
        <w:rPr>
          <w:spacing w:val="3"/>
        </w:rPr>
        <w:t xml:space="preserve">de </w:t>
      </w:r>
      <w:r>
        <w:t xml:space="preserve">dispersão referente </w:t>
      </w:r>
      <w:r>
        <w:rPr>
          <w:spacing w:val="6"/>
        </w:rPr>
        <w:t xml:space="preserve">ao </w:t>
      </w:r>
      <w:r>
        <w:t xml:space="preserve">diferencial de leucócitos. </w:t>
      </w:r>
      <w:r>
        <w:rPr>
          <w:spacing w:val="-3"/>
        </w:rPr>
        <w:t xml:space="preserve">No </w:t>
      </w:r>
      <w:r>
        <w:t>entanto, essa alteração pode variar com o tempo de coleta. Nas três primeiras horas após a c</w:t>
      </w:r>
      <w:r>
        <w:t>oleta, ocorre um aumento de células</w:t>
      </w:r>
      <w:r>
        <w:rPr>
          <w:spacing w:val="21"/>
        </w:rPr>
        <w:t xml:space="preserve"> </w:t>
      </w:r>
      <w:r>
        <w:rPr>
          <w:spacing w:val="2"/>
        </w:rPr>
        <w:t>com</w:t>
      </w:r>
    </w:p>
    <w:p w14:paraId="00FE0310" w14:textId="77777777" w:rsidR="00170F05" w:rsidRDefault="00170F05">
      <w:pPr>
        <w:spacing w:line="360" w:lineRule="auto"/>
        <w:jc w:val="both"/>
        <w:sectPr w:rsidR="00170F05">
          <w:pgSz w:w="11910" w:h="16840"/>
          <w:pgMar w:top="820" w:right="840" w:bottom="280" w:left="1100" w:header="569" w:footer="0" w:gutter="0"/>
          <w:cols w:space="720"/>
        </w:sectPr>
      </w:pPr>
    </w:p>
    <w:p w14:paraId="00FE0311" w14:textId="77777777" w:rsidR="00170F05" w:rsidRDefault="00170F05">
      <w:pPr>
        <w:pStyle w:val="Corpodetexto"/>
        <w:rPr>
          <w:sz w:val="20"/>
        </w:rPr>
      </w:pPr>
    </w:p>
    <w:p w14:paraId="00FE0312" w14:textId="77777777" w:rsidR="00170F05" w:rsidRDefault="00170F05">
      <w:pPr>
        <w:pStyle w:val="Corpodetexto"/>
        <w:spacing w:before="2"/>
        <w:rPr>
          <w:sz w:val="22"/>
        </w:rPr>
      </w:pPr>
    </w:p>
    <w:p w14:paraId="00FE0313" w14:textId="77777777" w:rsidR="00170F05" w:rsidRDefault="00C66DC1">
      <w:pPr>
        <w:pStyle w:val="Corpodetexto"/>
        <w:spacing w:before="93" w:line="362" w:lineRule="auto"/>
        <w:ind w:left="1036" w:right="288"/>
        <w:jc w:val="both"/>
      </w:pPr>
      <w:r>
        <w:t>satelitismo, sendo que após 4h a 6h, o ritmo de formação dessas células torna- se mais lento (ZANDECKI et al., 2007).</w:t>
      </w:r>
    </w:p>
    <w:p w14:paraId="00FE0314" w14:textId="77777777" w:rsidR="00170F05" w:rsidRDefault="00C66DC1">
      <w:pPr>
        <w:pStyle w:val="Corpodetexto"/>
        <w:spacing w:line="360" w:lineRule="auto"/>
        <w:ind w:left="316" w:right="287" w:firstLine="706"/>
        <w:jc w:val="both"/>
      </w:pPr>
      <w:r>
        <w:t xml:space="preserve">Outros fatores têm sido relatados como causas de </w:t>
      </w:r>
      <w:proofErr w:type="spellStart"/>
      <w:r>
        <w:t>pseudoplaquetopenias</w:t>
      </w:r>
      <w:proofErr w:type="spellEnd"/>
      <w:r>
        <w:t xml:space="preserve">, como a </w:t>
      </w:r>
      <w:r>
        <w:t>presença de coágulos de fibrina indetectáveis, agregação plaquetária devido à coleta difícil, quantidade de anticoagulante inadequada, processos infecciosos, aglutininas frias e plaquetas</w:t>
      </w:r>
      <w:r>
        <w:rPr>
          <w:spacing w:val="-1"/>
        </w:rPr>
        <w:t xml:space="preserve"> </w:t>
      </w:r>
      <w:r>
        <w:t>gigantes.</w:t>
      </w:r>
    </w:p>
    <w:p w14:paraId="00FE0315" w14:textId="77777777" w:rsidR="00170F05" w:rsidRDefault="00C66DC1">
      <w:pPr>
        <w:pStyle w:val="Corpodetexto"/>
        <w:spacing w:line="360" w:lineRule="auto"/>
        <w:ind w:left="316" w:right="285" w:firstLine="706"/>
        <w:jc w:val="both"/>
      </w:pPr>
      <w:r>
        <w:t>A constatação de contagens de plaquetas falsamente diminuí</w:t>
      </w:r>
      <w:r>
        <w:t>das a partir de avaliação plaquetária em lâminas é muito importante, sobretudo para evitar investigação e tratamento desnecessário ao paciente. A precisão e a exatidão da contagem de plaquetas em aparelhos automatizados são maiores que no método manual. Em</w:t>
      </w:r>
      <w:r>
        <w:t xml:space="preserve"> situações de plaquetopenia abaixo de 20.000/mm³, o coeficiente de variação é de 22% a 66%. Nessas situações, em método mais recentemente desenvolvido para contagem de plaquetas, utiliza-se anticorpos monoclonais específicos e fluorescentes contra as glico</w:t>
      </w:r>
      <w:r>
        <w:t>proteínas de superfície da membrana plaquetária CD41 (</w:t>
      </w:r>
      <w:proofErr w:type="spellStart"/>
      <w:r>
        <w:t>GPIIa</w:t>
      </w:r>
      <w:proofErr w:type="spellEnd"/>
      <w:r>
        <w:t xml:space="preserve">) e CD61 (GP </w:t>
      </w:r>
      <w:proofErr w:type="spellStart"/>
      <w:r>
        <w:t>IIIa</w:t>
      </w:r>
      <w:proofErr w:type="spellEnd"/>
      <w:r>
        <w:t xml:space="preserve">) conjuntamente à análise por </w:t>
      </w:r>
      <w:proofErr w:type="spellStart"/>
      <w:r>
        <w:t>citometria</w:t>
      </w:r>
      <w:proofErr w:type="spellEnd"/>
      <w:r>
        <w:t xml:space="preserve"> de fluxo. Atualmente, há apenas o </w:t>
      </w:r>
      <w:proofErr w:type="spellStart"/>
      <w:r>
        <w:rPr>
          <w:i/>
        </w:rPr>
        <w:t>Cell-Dyn</w:t>
      </w:r>
      <w:proofErr w:type="spellEnd"/>
      <w:r>
        <w:rPr>
          <w:i/>
        </w:rPr>
        <w:t xml:space="preserve"> 4000 </w:t>
      </w:r>
      <w:r>
        <w:t xml:space="preserve">ou </w:t>
      </w:r>
      <w:proofErr w:type="spellStart"/>
      <w:r>
        <w:rPr>
          <w:i/>
        </w:rPr>
        <w:t>Cell-Dyn</w:t>
      </w:r>
      <w:proofErr w:type="spellEnd"/>
      <w:r>
        <w:rPr>
          <w:i/>
        </w:rPr>
        <w:t xml:space="preserve"> </w:t>
      </w:r>
      <w:proofErr w:type="spellStart"/>
      <w:r>
        <w:rPr>
          <w:i/>
        </w:rPr>
        <w:t>Sapphire</w:t>
      </w:r>
      <w:proofErr w:type="spellEnd"/>
      <w:r>
        <w:rPr>
          <w:i/>
        </w:rPr>
        <w:t xml:space="preserve"> </w:t>
      </w:r>
      <w:r>
        <w:t xml:space="preserve">com essa tecnologia, que tem sido proposta pela </w:t>
      </w:r>
      <w:proofErr w:type="spellStart"/>
      <w:r>
        <w:rPr>
          <w:i/>
        </w:rPr>
        <w:t>International</w:t>
      </w:r>
      <w:proofErr w:type="spellEnd"/>
      <w:r>
        <w:rPr>
          <w:i/>
        </w:rPr>
        <w:t xml:space="preserve"> Society </w:t>
      </w:r>
      <w:r>
        <w:rPr>
          <w:i/>
        </w:rPr>
        <w:t xml:space="preserve">for </w:t>
      </w:r>
      <w:proofErr w:type="spellStart"/>
      <w:r>
        <w:rPr>
          <w:i/>
        </w:rPr>
        <w:t>Laboratory</w:t>
      </w:r>
      <w:proofErr w:type="spellEnd"/>
      <w:r>
        <w:rPr>
          <w:i/>
        </w:rPr>
        <w:t xml:space="preserve"> </w:t>
      </w:r>
      <w:proofErr w:type="spellStart"/>
      <w:r>
        <w:rPr>
          <w:i/>
        </w:rPr>
        <w:t>Hematology</w:t>
      </w:r>
      <w:proofErr w:type="spellEnd"/>
      <w:r>
        <w:rPr>
          <w:i/>
        </w:rPr>
        <w:t xml:space="preserve"> </w:t>
      </w:r>
      <w:r>
        <w:t>(ISLH) como novo método de referência. Entretanto, contagem de plaquetas com contraste de fase também é considerada, como método internacional de referência (COMAR et al., 2009).</w:t>
      </w:r>
    </w:p>
    <w:p w14:paraId="00FE0316" w14:textId="77777777" w:rsidR="00170F05" w:rsidRDefault="00C66DC1">
      <w:pPr>
        <w:pStyle w:val="Corpodetexto"/>
        <w:spacing w:line="360" w:lineRule="auto"/>
        <w:ind w:left="316" w:right="302" w:firstLine="706"/>
        <w:jc w:val="both"/>
      </w:pPr>
      <w:r>
        <w:t xml:space="preserve">Nas doenças </w:t>
      </w:r>
      <w:proofErr w:type="spellStart"/>
      <w:r>
        <w:t>mieloproliferativas</w:t>
      </w:r>
      <w:proofErr w:type="spellEnd"/>
      <w:r>
        <w:t xml:space="preserve"> ou síndromes mielodisplásicas, podem aparecer plaquetas gigantes que podem ser contadas como hemácias ou leucócitos, levando a um falso aumento dessas células.</w:t>
      </w:r>
    </w:p>
    <w:p w14:paraId="00FE0317" w14:textId="77777777" w:rsidR="00170F05" w:rsidRDefault="00C66DC1">
      <w:pPr>
        <w:pStyle w:val="Corpodetexto"/>
        <w:spacing w:line="360" w:lineRule="auto"/>
        <w:ind w:left="316" w:right="282" w:firstLine="706"/>
        <w:jc w:val="both"/>
      </w:pPr>
      <w:r>
        <w:t>Variações pré-analíticas também podem levar ao aparecimento de p</w:t>
      </w:r>
      <w:r>
        <w:t xml:space="preserve">laquetas gigantes. O local de punção venosa, coleta difícil em RN (recém-nascido) e um atraso entre coleta e análise podem acarretar o aumento do volume plaquetário médio (VPM), resultando na incapacidade do aparelho de fazer contagem correta (ZANDECKI et </w:t>
      </w:r>
      <w:r>
        <w:t>al</w:t>
      </w:r>
      <w:r>
        <w:rPr>
          <w:i/>
        </w:rPr>
        <w:t>.</w:t>
      </w:r>
      <w:r>
        <w:t>, 2007). De acordo com LASMAR et al. (2003), o aumento da ordem de 17% no VPM, medido a partir da tecnologia por impedância, foi observado após 36 horas de exposição da amostra de sangue ao EDTA.</w:t>
      </w:r>
    </w:p>
    <w:p w14:paraId="00FE0318" w14:textId="77777777" w:rsidR="00170F05" w:rsidRDefault="00C66DC1">
      <w:pPr>
        <w:pStyle w:val="Corpodetexto"/>
        <w:spacing w:before="1" w:line="360" w:lineRule="auto"/>
        <w:ind w:left="316" w:right="287" w:firstLine="706"/>
        <w:jc w:val="both"/>
      </w:pPr>
      <w:r>
        <w:t xml:space="preserve">Cumpre ressaltar que </w:t>
      </w:r>
      <w:proofErr w:type="spellStart"/>
      <w:r>
        <w:t>pseudo-plaquetocitose</w:t>
      </w:r>
      <w:proofErr w:type="spellEnd"/>
      <w:r>
        <w:t xml:space="preserve"> pode ocorrer e</w:t>
      </w:r>
      <w:r>
        <w:t xml:space="preserve">m casos de </w:t>
      </w:r>
      <w:proofErr w:type="spellStart"/>
      <w:r>
        <w:t>microcitose</w:t>
      </w:r>
      <w:proofErr w:type="spellEnd"/>
      <w:r>
        <w:t xml:space="preserve"> acentuada, hemólise </w:t>
      </w:r>
      <w:proofErr w:type="spellStart"/>
      <w:r>
        <w:t>microangiopática</w:t>
      </w:r>
      <w:proofErr w:type="spellEnd"/>
      <w:r>
        <w:t xml:space="preserve"> com grande número </w:t>
      </w:r>
      <w:r>
        <w:rPr>
          <w:spacing w:val="2"/>
        </w:rPr>
        <w:t xml:space="preserve">de </w:t>
      </w:r>
      <w:proofErr w:type="spellStart"/>
      <w:r>
        <w:t>esquisócitos</w:t>
      </w:r>
      <w:proofErr w:type="spellEnd"/>
      <w:r>
        <w:t xml:space="preserve">, </w:t>
      </w:r>
      <w:proofErr w:type="spellStart"/>
      <w:r>
        <w:t>microesferocitose</w:t>
      </w:r>
      <w:proofErr w:type="spellEnd"/>
      <w:r>
        <w:t xml:space="preserve">, queimaduras agudas, partículas no </w:t>
      </w:r>
      <w:proofErr w:type="spellStart"/>
      <w:r>
        <w:t>líquído</w:t>
      </w:r>
      <w:proofErr w:type="spellEnd"/>
      <w:r>
        <w:t xml:space="preserve"> diluidor, degranulações de leucócitos (especialmente eosinófilos), fragmentação de blastos</w:t>
      </w:r>
      <w:r>
        <w:rPr>
          <w:spacing w:val="6"/>
        </w:rPr>
        <w:t xml:space="preserve"> </w:t>
      </w:r>
      <w:r>
        <w:t>e</w:t>
      </w:r>
    </w:p>
    <w:p w14:paraId="00FE0319" w14:textId="77777777" w:rsidR="00170F05" w:rsidRDefault="00170F05">
      <w:pPr>
        <w:spacing w:line="360" w:lineRule="auto"/>
        <w:jc w:val="both"/>
        <w:sectPr w:rsidR="00170F05">
          <w:pgSz w:w="11910" w:h="16840"/>
          <w:pgMar w:top="820" w:right="840" w:bottom="280" w:left="1100" w:header="569" w:footer="0" w:gutter="0"/>
          <w:cols w:space="720"/>
        </w:sectPr>
      </w:pPr>
    </w:p>
    <w:p w14:paraId="00FE031A" w14:textId="77777777" w:rsidR="00170F05" w:rsidRDefault="00170F05">
      <w:pPr>
        <w:pStyle w:val="Corpodetexto"/>
        <w:rPr>
          <w:sz w:val="20"/>
        </w:rPr>
      </w:pPr>
    </w:p>
    <w:p w14:paraId="00FE031B" w14:textId="77777777" w:rsidR="00170F05" w:rsidRDefault="00170F05">
      <w:pPr>
        <w:pStyle w:val="Corpodetexto"/>
        <w:spacing w:before="2"/>
        <w:rPr>
          <w:sz w:val="22"/>
        </w:rPr>
      </w:pPr>
    </w:p>
    <w:p w14:paraId="00FE031C" w14:textId="77777777" w:rsidR="00170F05" w:rsidRDefault="00C66DC1">
      <w:pPr>
        <w:pStyle w:val="Corpodetexto"/>
        <w:spacing w:before="93" w:line="360" w:lineRule="auto"/>
        <w:ind w:left="316" w:right="291"/>
        <w:jc w:val="both"/>
      </w:pPr>
      <w:r>
        <w:t xml:space="preserve">mesmo de bactérias. Esses são exemplos de interferências no método automatizado, favorecendo uma falsa </w:t>
      </w:r>
      <w:proofErr w:type="spellStart"/>
      <w:r>
        <w:t>plaquetocitose</w:t>
      </w:r>
      <w:proofErr w:type="spellEnd"/>
      <w:r>
        <w:t xml:space="preserve"> e determinação espúria do VPM (LASMAR et al., 2003).</w:t>
      </w:r>
    </w:p>
    <w:p w14:paraId="00FE031D" w14:textId="77777777" w:rsidR="00170F05" w:rsidRDefault="00170F05">
      <w:pPr>
        <w:pStyle w:val="Corpodetexto"/>
        <w:rPr>
          <w:sz w:val="36"/>
        </w:rPr>
      </w:pPr>
    </w:p>
    <w:p w14:paraId="00FE031E" w14:textId="77777777" w:rsidR="00170F05" w:rsidRDefault="00C66DC1">
      <w:pPr>
        <w:pStyle w:val="Corpodetexto"/>
        <w:spacing w:line="360" w:lineRule="auto"/>
        <w:ind w:left="316" w:right="286" w:firstLine="706"/>
        <w:jc w:val="both"/>
      </w:pPr>
      <w:r>
        <w:t xml:space="preserve">Os contadores a laser permitem a separação exata </w:t>
      </w:r>
      <w:r>
        <w:rPr>
          <w:spacing w:val="2"/>
        </w:rPr>
        <w:t xml:space="preserve">em </w:t>
      </w:r>
      <w:r>
        <w:t xml:space="preserve">plaquetas normais, plaquetas gigantes, hemácias pequenas e </w:t>
      </w:r>
      <w:proofErr w:type="spellStart"/>
      <w:r>
        <w:t>esquisócitos</w:t>
      </w:r>
      <w:proofErr w:type="spellEnd"/>
      <w:r>
        <w:t xml:space="preserve"> na maioria das amostras. Diante da importância para valores diminuídos ou aumentados para plaquetas, recomenda-se a confirmação do n</w:t>
      </w:r>
      <w:r>
        <w:t xml:space="preserve">úmero de plaquetas a partir da análise do esfregaço sanguíneo ou contagem manual, empregando outra amostra e outro método de contagem, como a </w:t>
      </w:r>
      <w:proofErr w:type="spellStart"/>
      <w:r>
        <w:t>citometria</w:t>
      </w:r>
      <w:proofErr w:type="spellEnd"/>
      <w:r>
        <w:t xml:space="preserve"> de fluxo (ZANDECKI et al</w:t>
      </w:r>
      <w:r>
        <w:rPr>
          <w:i/>
        </w:rPr>
        <w:t xml:space="preserve">., </w:t>
      </w:r>
      <w:r>
        <w:t>2007). Alterações do histograma de plaquetas, confirmadas com as observações</w:t>
      </w:r>
      <w:r>
        <w:t xml:space="preserve"> do filme sanguíneo, são mostradas na Figura</w:t>
      </w:r>
      <w:r>
        <w:rPr>
          <w:spacing w:val="-1"/>
        </w:rPr>
        <w:t xml:space="preserve"> </w:t>
      </w:r>
      <w:r>
        <w:t>8.</w:t>
      </w:r>
    </w:p>
    <w:p w14:paraId="00FE031F" w14:textId="77777777" w:rsidR="00170F05" w:rsidRDefault="00170F05">
      <w:pPr>
        <w:pStyle w:val="Corpodetexto"/>
        <w:rPr>
          <w:sz w:val="20"/>
        </w:rPr>
      </w:pPr>
    </w:p>
    <w:p w14:paraId="00FE0320" w14:textId="77777777" w:rsidR="00170F05" w:rsidRDefault="00C66DC1">
      <w:pPr>
        <w:pStyle w:val="Corpodetexto"/>
        <w:spacing w:before="10"/>
        <w:rPr>
          <w:sz w:val="12"/>
        </w:rPr>
      </w:pPr>
      <w:r>
        <w:rPr>
          <w:noProof/>
        </w:rPr>
        <w:drawing>
          <wp:anchor distT="0" distB="0" distL="0" distR="0" simplePos="0" relativeHeight="16" behindDoc="0" locked="0" layoutInCell="1" allowOverlap="1" wp14:anchorId="00FE04A3" wp14:editId="00FE04A4">
            <wp:simplePos x="0" y="0"/>
            <wp:positionH relativeFrom="page">
              <wp:posOffset>899160</wp:posOffset>
            </wp:positionH>
            <wp:positionV relativeFrom="paragraph">
              <wp:posOffset>118851</wp:posOffset>
            </wp:positionV>
            <wp:extent cx="5582594" cy="1714500"/>
            <wp:effectExtent l="0" t="0" r="0" b="0"/>
            <wp:wrapTopAndBottom/>
            <wp:docPr id="1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jpeg"/>
                    <pic:cNvPicPr/>
                  </pic:nvPicPr>
                  <pic:blipFill>
                    <a:blip r:embed="rId21" cstate="print"/>
                    <a:stretch>
                      <a:fillRect/>
                    </a:stretch>
                  </pic:blipFill>
                  <pic:spPr>
                    <a:xfrm>
                      <a:off x="0" y="0"/>
                      <a:ext cx="5582594" cy="1714500"/>
                    </a:xfrm>
                    <a:prstGeom prst="rect">
                      <a:avLst/>
                    </a:prstGeom>
                  </pic:spPr>
                </pic:pic>
              </a:graphicData>
            </a:graphic>
          </wp:anchor>
        </w:drawing>
      </w:r>
    </w:p>
    <w:p w14:paraId="00FE0321" w14:textId="77777777" w:rsidR="00170F05" w:rsidRDefault="00C66DC1">
      <w:pPr>
        <w:spacing w:before="110"/>
        <w:ind w:left="484" w:right="5041"/>
        <w:rPr>
          <w:sz w:val="20"/>
        </w:rPr>
      </w:pPr>
      <w:bookmarkStart w:id="25" w:name="_bookmark33"/>
      <w:bookmarkEnd w:id="25"/>
      <w:r>
        <w:rPr>
          <w:sz w:val="20"/>
        </w:rPr>
        <w:t>Figura 8 – Alterações do histograma de plaquetas Fonte</w:t>
      </w:r>
      <w:r>
        <w:rPr>
          <w:sz w:val="24"/>
        </w:rPr>
        <w:t xml:space="preserve">: </w:t>
      </w:r>
      <w:r>
        <w:rPr>
          <w:sz w:val="20"/>
        </w:rPr>
        <w:t>SYSMEX; [s.d.].</w:t>
      </w:r>
    </w:p>
    <w:p w14:paraId="00FE0322" w14:textId="77777777" w:rsidR="00170F05" w:rsidRDefault="00170F05">
      <w:pPr>
        <w:pStyle w:val="Corpodetexto"/>
        <w:spacing w:before="9"/>
        <w:rPr>
          <w:sz w:val="35"/>
        </w:rPr>
      </w:pPr>
    </w:p>
    <w:p w14:paraId="00FE0323" w14:textId="77777777" w:rsidR="00170F05" w:rsidRDefault="00C66DC1">
      <w:pPr>
        <w:pStyle w:val="Ttulo2"/>
        <w:numPr>
          <w:ilvl w:val="2"/>
          <w:numId w:val="1"/>
        </w:numPr>
        <w:tabs>
          <w:tab w:val="left" w:pos="921"/>
        </w:tabs>
        <w:ind w:hanging="605"/>
      </w:pPr>
      <w:bookmarkStart w:id="26" w:name="_bookmark34"/>
      <w:bookmarkEnd w:id="26"/>
      <w:r>
        <w:t>Reticulócitos</w:t>
      </w:r>
    </w:p>
    <w:p w14:paraId="00FE0324" w14:textId="77777777" w:rsidR="00170F05" w:rsidRDefault="00C66DC1">
      <w:pPr>
        <w:pStyle w:val="Corpodetexto"/>
        <w:spacing w:before="142" w:line="360" w:lineRule="auto"/>
        <w:ind w:left="316" w:right="285" w:firstLine="706"/>
        <w:jc w:val="both"/>
      </w:pPr>
      <w:r>
        <w:t>A contagem de reticulócitos é de grande importância dentro do laboratório de hematologia, por ser um indicador sensível da atividade da medula óssea. Seus resultados auxiliam no diagnóstico e acompanhamento das anemias e de terapias de transplantes de medu</w:t>
      </w:r>
      <w:r>
        <w:t xml:space="preserve">la óssea. A contagem automatizada dos reticulócitos por </w:t>
      </w:r>
      <w:proofErr w:type="spellStart"/>
      <w:r>
        <w:t>citometria</w:t>
      </w:r>
      <w:proofErr w:type="spellEnd"/>
      <w:r>
        <w:t xml:space="preserve"> de fluxo trouxe valiosa contribuição à hematologia, embora ainda com certas limitações. Baseada em afinidade do RNA por vários corantes e </w:t>
      </w:r>
      <w:proofErr w:type="spellStart"/>
      <w:r>
        <w:t>fluorocromos</w:t>
      </w:r>
      <w:proofErr w:type="spellEnd"/>
      <w:r>
        <w:t>, as células coradas ou fluorescentes s</w:t>
      </w:r>
      <w:r>
        <w:t xml:space="preserve">ão contadas por um </w:t>
      </w:r>
      <w:proofErr w:type="spellStart"/>
      <w:r>
        <w:t>citômetro</w:t>
      </w:r>
      <w:proofErr w:type="spellEnd"/>
      <w:r>
        <w:t xml:space="preserve"> de fluxo como os modelos ABX </w:t>
      </w:r>
      <w:proofErr w:type="spellStart"/>
      <w:r>
        <w:t>Pentra</w:t>
      </w:r>
      <w:proofErr w:type="spellEnd"/>
      <w:r>
        <w:t xml:space="preserve"> 120 </w:t>
      </w:r>
      <w:proofErr w:type="spellStart"/>
      <w:r>
        <w:t>Retic</w:t>
      </w:r>
      <w:proofErr w:type="spellEnd"/>
      <w:r>
        <w:t xml:space="preserve">, </w:t>
      </w:r>
      <w:proofErr w:type="spellStart"/>
      <w:r>
        <w:t>Sysmex</w:t>
      </w:r>
      <w:proofErr w:type="spellEnd"/>
      <w:r>
        <w:t xml:space="preserve"> R-2000, Sistema </w:t>
      </w:r>
      <w:proofErr w:type="spellStart"/>
      <w:r>
        <w:t>Coulter</w:t>
      </w:r>
      <w:proofErr w:type="spellEnd"/>
      <w:r>
        <w:t xml:space="preserve"> STKS, </w:t>
      </w:r>
      <w:proofErr w:type="spellStart"/>
      <w:r>
        <w:t>Beckman</w:t>
      </w:r>
      <w:proofErr w:type="spellEnd"/>
      <w:r>
        <w:t xml:space="preserve"> </w:t>
      </w:r>
      <w:proofErr w:type="spellStart"/>
      <w:r>
        <w:t>Coulter</w:t>
      </w:r>
      <w:proofErr w:type="spellEnd"/>
      <w:r>
        <w:t xml:space="preserve"> LH 750, </w:t>
      </w:r>
      <w:proofErr w:type="spellStart"/>
      <w:r>
        <w:t>Cell-Dyn</w:t>
      </w:r>
      <w:proofErr w:type="spellEnd"/>
      <w:r>
        <w:t xml:space="preserve"> 3500 e XE 2100, </w:t>
      </w:r>
      <w:proofErr w:type="spellStart"/>
      <w:r>
        <w:t>FACSort</w:t>
      </w:r>
      <w:proofErr w:type="spellEnd"/>
      <w:r>
        <w:t xml:space="preserve"> (</w:t>
      </w:r>
      <w:proofErr w:type="spellStart"/>
      <w:r>
        <w:t>Becton</w:t>
      </w:r>
      <w:proofErr w:type="spellEnd"/>
      <w:r>
        <w:t>-Dickinson) e EPICS Profile (</w:t>
      </w:r>
      <w:proofErr w:type="spellStart"/>
      <w:r>
        <w:t>Coulter</w:t>
      </w:r>
      <w:proofErr w:type="spellEnd"/>
      <w:r>
        <w:t>), com grande precisão, linearidade e coefi</w:t>
      </w:r>
      <w:r>
        <w:t>ciente de correlação superior  a 0,8%.</w:t>
      </w:r>
      <w:r>
        <w:rPr>
          <w:spacing w:val="31"/>
        </w:rPr>
        <w:t xml:space="preserve"> </w:t>
      </w:r>
      <w:r>
        <w:t>Com</w:t>
      </w:r>
      <w:r>
        <w:rPr>
          <w:spacing w:val="23"/>
        </w:rPr>
        <w:t xml:space="preserve"> </w:t>
      </w:r>
      <w:r>
        <w:t>essa</w:t>
      </w:r>
      <w:r>
        <w:rPr>
          <w:spacing w:val="36"/>
        </w:rPr>
        <w:t xml:space="preserve"> </w:t>
      </w:r>
      <w:r>
        <w:t>metodologia,</w:t>
      </w:r>
      <w:r>
        <w:rPr>
          <w:spacing w:val="26"/>
        </w:rPr>
        <w:t xml:space="preserve"> </w:t>
      </w:r>
      <w:r>
        <w:t>é</w:t>
      </w:r>
      <w:r>
        <w:rPr>
          <w:spacing w:val="31"/>
        </w:rPr>
        <w:t xml:space="preserve"> </w:t>
      </w:r>
      <w:r>
        <w:t>possível</w:t>
      </w:r>
      <w:r>
        <w:rPr>
          <w:spacing w:val="35"/>
        </w:rPr>
        <w:t xml:space="preserve"> </w:t>
      </w:r>
      <w:r>
        <w:t>avaliar</w:t>
      </w:r>
      <w:r>
        <w:rPr>
          <w:spacing w:val="32"/>
        </w:rPr>
        <w:t xml:space="preserve"> </w:t>
      </w:r>
      <w:r>
        <w:t>o</w:t>
      </w:r>
      <w:r>
        <w:rPr>
          <w:spacing w:val="31"/>
        </w:rPr>
        <w:t xml:space="preserve"> </w:t>
      </w:r>
      <w:r>
        <w:t>grau</w:t>
      </w:r>
      <w:r>
        <w:rPr>
          <w:spacing w:val="27"/>
        </w:rPr>
        <w:t xml:space="preserve"> </w:t>
      </w:r>
      <w:r>
        <w:t>de</w:t>
      </w:r>
      <w:r>
        <w:rPr>
          <w:spacing w:val="26"/>
        </w:rPr>
        <w:t xml:space="preserve"> </w:t>
      </w:r>
      <w:r>
        <w:t>imaturidade</w:t>
      </w:r>
      <w:r>
        <w:rPr>
          <w:spacing w:val="31"/>
        </w:rPr>
        <w:t xml:space="preserve"> </w:t>
      </w:r>
      <w:proofErr w:type="spellStart"/>
      <w:r>
        <w:t>reticulocítica</w:t>
      </w:r>
      <w:proofErr w:type="spellEnd"/>
      <w:r>
        <w:t>,</w:t>
      </w:r>
    </w:p>
    <w:p w14:paraId="00FE0325" w14:textId="77777777" w:rsidR="00170F05" w:rsidRDefault="00170F05">
      <w:pPr>
        <w:spacing w:line="360" w:lineRule="auto"/>
        <w:jc w:val="both"/>
        <w:sectPr w:rsidR="00170F05">
          <w:pgSz w:w="11910" w:h="16840"/>
          <w:pgMar w:top="820" w:right="840" w:bottom="280" w:left="1100" w:header="569" w:footer="0" w:gutter="0"/>
          <w:cols w:space="720"/>
        </w:sectPr>
      </w:pPr>
    </w:p>
    <w:p w14:paraId="00FE0326" w14:textId="77777777" w:rsidR="00170F05" w:rsidRDefault="00170F05">
      <w:pPr>
        <w:pStyle w:val="Corpodetexto"/>
        <w:rPr>
          <w:sz w:val="20"/>
        </w:rPr>
      </w:pPr>
    </w:p>
    <w:p w14:paraId="00FE0327" w14:textId="77777777" w:rsidR="00170F05" w:rsidRDefault="00170F05">
      <w:pPr>
        <w:pStyle w:val="Corpodetexto"/>
        <w:spacing w:before="2"/>
        <w:rPr>
          <w:sz w:val="22"/>
        </w:rPr>
      </w:pPr>
    </w:p>
    <w:p w14:paraId="00FE0328" w14:textId="77777777" w:rsidR="00170F05" w:rsidRDefault="00C66DC1">
      <w:pPr>
        <w:pStyle w:val="Corpodetexto"/>
        <w:spacing w:before="93" w:line="360" w:lineRule="auto"/>
        <w:ind w:left="316" w:right="298"/>
        <w:jc w:val="both"/>
      </w:pPr>
      <w:r>
        <w:t xml:space="preserve">importante no tratamento da anemia </w:t>
      </w:r>
      <w:proofErr w:type="spellStart"/>
      <w:r>
        <w:t>aplástica</w:t>
      </w:r>
      <w:proofErr w:type="spellEnd"/>
      <w:r>
        <w:t xml:space="preserve">, e como indicador de regeneração hematopoiética após quimioterapia </w:t>
      </w:r>
      <w:proofErr w:type="spellStart"/>
      <w:r>
        <w:t>mielos</w:t>
      </w:r>
      <w:r>
        <w:t>supressora</w:t>
      </w:r>
      <w:proofErr w:type="spellEnd"/>
      <w:r>
        <w:t>. Também é útil na previsão do melhor momento para a coleta de células tronco (LEONART, 2009).</w:t>
      </w:r>
    </w:p>
    <w:p w14:paraId="00FE0329" w14:textId="77777777" w:rsidR="00170F05" w:rsidRDefault="00C66DC1">
      <w:pPr>
        <w:pStyle w:val="Corpodetexto"/>
        <w:spacing w:before="1" w:line="360" w:lineRule="auto"/>
        <w:ind w:left="316" w:right="298" w:firstLine="710"/>
        <w:jc w:val="both"/>
      </w:pPr>
      <w:r>
        <w:t>As principais causas de erros nessas contagens são a inclusão de leucócitos, plaquetas, corpúsculos de Howell-</w:t>
      </w:r>
      <w:proofErr w:type="spellStart"/>
      <w:r>
        <w:t>Jolly</w:t>
      </w:r>
      <w:proofErr w:type="spellEnd"/>
      <w:r>
        <w:t xml:space="preserve"> e outras, ou de parasitos de malári</w:t>
      </w:r>
      <w:r>
        <w:t>a, como se fossem reticulócitos (BAIN, 2007).</w:t>
      </w:r>
    </w:p>
    <w:p w14:paraId="00FE032A" w14:textId="77777777" w:rsidR="00170F05" w:rsidRDefault="00C66DC1">
      <w:pPr>
        <w:pStyle w:val="Corpodetexto"/>
        <w:spacing w:before="2" w:line="360" w:lineRule="auto"/>
        <w:ind w:left="316" w:right="286" w:firstLine="710"/>
        <w:jc w:val="both"/>
      </w:pPr>
      <w:r>
        <w:t xml:space="preserve">A contagem visual ainda muito utilizada apresenta precisão e exatidão aceitáveis, quando realizada dentro de técnicas rigorosamente padronizadas, como as preconizadas pelos </w:t>
      </w:r>
      <w:proofErr w:type="spellStart"/>
      <w:r>
        <w:rPr>
          <w:i/>
        </w:rPr>
        <w:t>National</w:t>
      </w:r>
      <w:proofErr w:type="spellEnd"/>
      <w:r>
        <w:rPr>
          <w:i/>
        </w:rPr>
        <w:t xml:space="preserve"> </w:t>
      </w:r>
      <w:proofErr w:type="spellStart"/>
      <w:r>
        <w:rPr>
          <w:i/>
        </w:rPr>
        <w:t>Committee</w:t>
      </w:r>
      <w:proofErr w:type="spellEnd"/>
      <w:r>
        <w:rPr>
          <w:i/>
        </w:rPr>
        <w:t xml:space="preserve"> for </w:t>
      </w:r>
      <w:proofErr w:type="spellStart"/>
      <w:r>
        <w:rPr>
          <w:i/>
        </w:rPr>
        <w:t>Clínical</w:t>
      </w:r>
      <w:proofErr w:type="spellEnd"/>
      <w:r>
        <w:rPr>
          <w:i/>
        </w:rPr>
        <w:t xml:space="preserve"> </w:t>
      </w:r>
      <w:proofErr w:type="spellStart"/>
      <w:r>
        <w:rPr>
          <w:i/>
        </w:rPr>
        <w:t>Labor</w:t>
      </w:r>
      <w:r>
        <w:rPr>
          <w:i/>
        </w:rPr>
        <w:t>atory</w:t>
      </w:r>
      <w:proofErr w:type="spellEnd"/>
      <w:r>
        <w:rPr>
          <w:i/>
        </w:rPr>
        <w:t xml:space="preserve"> </w:t>
      </w:r>
      <w:r>
        <w:rPr>
          <w:i/>
          <w:sz w:val="28"/>
        </w:rPr>
        <w:t xml:space="preserve">Standards </w:t>
      </w:r>
      <w:r>
        <w:rPr>
          <w:i/>
        </w:rPr>
        <w:t xml:space="preserve">e </w:t>
      </w:r>
      <w:proofErr w:type="spellStart"/>
      <w:r>
        <w:rPr>
          <w:i/>
        </w:rPr>
        <w:t>International</w:t>
      </w:r>
      <w:proofErr w:type="spellEnd"/>
      <w:r>
        <w:rPr>
          <w:i/>
        </w:rPr>
        <w:t xml:space="preserve"> </w:t>
      </w:r>
      <w:proofErr w:type="spellStart"/>
      <w:r>
        <w:rPr>
          <w:i/>
        </w:rPr>
        <w:t>Commitee</w:t>
      </w:r>
      <w:proofErr w:type="spellEnd"/>
      <w:r>
        <w:rPr>
          <w:i/>
        </w:rPr>
        <w:t xml:space="preserve"> for </w:t>
      </w:r>
      <w:proofErr w:type="spellStart"/>
      <w:r>
        <w:rPr>
          <w:i/>
        </w:rPr>
        <w:t>Standardization</w:t>
      </w:r>
      <w:proofErr w:type="spellEnd"/>
      <w:r>
        <w:rPr>
          <w:i/>
        </w:rPr>
        <w:t xml:space="preserve"> in </w:t>
      </w:r>
      <w:proofErr w:type="spellStart"/>
      <w:r>
        <w:rPr>
          <w:i/>
        </w:rPr>
        <w:t>Haematology</w:t>
      </w:r>
      <w:proofErr w:type="spellEnd"/>
      <w:r>
        <w:rPr>
          <w:i/>
        </w:rPr>
        <w:t xml:space="preserve">, </w:t>
      </w:r>
      <w:r>
        <w:t>incluindo a padronização na fase pré-analítica e analítica, como a coleta, preservação da amostra, corante, diluição, critério de reconhecimento de reticulócitos e número de eritr</w:t>
      </w:r>
      <w:r>
        <w:t>ócitos contados. Segundo LEONART (2009), um erro pré-analítico pode aumentar a contagem de reticulócitos e o armazenamento da amostra pode reduzir os valores das contagens iniciais. Essas contagens, quando padronizadas, correlacionam-se bem com as contagen</w:t>
      </w:r>
      <w:r>
        <w:t xml:space="preserve">s automatizadas e são utilizadas </w:t>
      </w:r>
      <w:r>
        <w:rPr>
          <w:spacing w:val="-3"/>
        </w:rPr>
        <w:t xml:space="preserve">como </w:t>
      </w:r>
      <w:r>
        <w:t xml:space="preserve">método de referência para calibração de contadores automatizados. O método visual é indicado sempre que o </w:t>
      </w:r>
      <w:proofErr w:type="gramStart"/>
      <w:r>
        <w:t>aparelho  emite</w:t>
      </w:r>
      <w:proofErr w:type="gramEnd"/>
      <w:r>
        <w:t xml:space="preserve"> </w:t>
      </w:r>
      <w:r>
        <w:rPr>
          <w:i/>
        </w:rPr>
        <w:t xml:space="preserve">flags. </w:t>
      </w:r>
      <w:r>
        <w:t>As contagens devem ser confirmadas observando sempre as variáveis como sexo, idade e proc</w:t>
      </w:r>
      <w:r>
        <w:t>edência. É importante consultar resultados anteriores e, se ainda assim houver dúvidas, observar icterícia no plasma, passar novamente a amostra em outro contador e repetir a contagem pelo método</w:t>
      </w:r>
      <w:r>
        <w:rPr>
          <w:spacing w:val="-23"/>
        </w:rPr>
        <w:t xml:space="preserve"> </w:t>
      </w:r>
      <w:r>
        <w:t>visual.</w:t>
      </w:r>
    </w:p>
    <w:p w14:paraId="00FE032B" w14:textId="77777777" w:rsidR="00170F05" w:rsidRDefault="00170F05">
      <w:pPr>
        <w:pStyle w:val="Corpodetexto"/>
        <w:spacing w:before="7"/>
        <w:rPr>
          <w:sz w:val="35"/>
        </w:rPr>
      </w:pPr>
    </w:p>
    <w:p w14:paraId="00FE032C" w14:textId="77777777" w:rsidR="00170F05" w:rsidRDefault="00C66DC1">
      <w:pPr>
        <w:pStyle w:val="Ttulo2"/>
        <w:numPr>
          <w:ilvl w:val="2"/>
          <w:numId w:val="1"/>
        </w:numPr>
        <w:tabs>
          <w:tab w:val="left" w:pos="921"/>
        </w:tabs>
        <w:ind w:hanging="605"/>
      </w:pPr>
      <w:bookmarkStart w:id="27" w:name="_bookmark35"/>
      <w:bookmarkEnd w:id="27"/>
      <w:r>
        <w:t>Leucócitos</w:t>
      </w:r>
    </w:p>
    <w:p w14:paraId="00FE032D" w14:textId="77777777" w:rsidR="00170F05" w:rsidRDefault="00C66DC1">
      <w:pPr>
        <w:pStyle w:val="Corpodetexto"/>
        <w:spacing w:before="142" w:line="360" w:lineRule="auto"/>
        <w:ind w:left="316" w:right="285" w:firstLine="706"/>
        <w:jc w:val="both"/>
      </w:pPr>
      <w:r>
        <w:t xml:space="preserve">Contagens espúrias de leucócitos em analisadores, levando  a </w:t>
      </w:r>
      <w:proofErr w:type="spellStart"/>
      <w:r>
        <w:t>pseudoleucocitose</w:t>
      </w:r>
      <w:proofErr w:type="spellEnd"/>
      <w:r>
        <w:t xml:space="preserve"> são constatadas sempre que houver aglutinação de plaquetas em presença de EDTA, plaquetas gigantes, </w:t>
      </w:r>
      <w:proofErr w:type="spellStart"/>
      <w:r>
        <w:t>crioaglutininas</w:t>
      </w:r>
      <w:proofErr w:type="spellEnd"/>
      <w:r>
        <w:t xml:space="preserve">, </w:t>
      </w:r>
      <w:proofErr w:type="spellStart"/>
      <w:r>
        <w:t>eritroblastos</w:t>
      </w:r>
      <w:proofErr w:type="spellEnd"/>
      <w:r>
        <w:t xml:space="preserve">, </w:t>
      </w:r>
      <w:proofErr w:type="spellStart"/>
      <w:r>
        <w:t>lípides</w:t>
      </w:r>
      <w:proofErr w:type="spellEnd"/>
      <w:r>
        <w:t>, lise insuficiente de hemácias, hemog</w:t>
      </w:r>
      <w:r>
        <w:t xml:space="preserve">lobinas anormais, </w:t>
      </w:r>
      <w:proofErr w:type="spellStart"/>
      <w:r>
        <w:t>paraproteinemia</w:t>
      </w:r>
      <w:proofErr w:type="spellEnd"/>
      <w:r>
        <w:t xml:space="preserve">, filamento de fibrina, </w:t>
      </w:r>
      <w:proofErr w:type="spellStart"/>
      <w:r>
        <w:t>hiperlipidemia</w:t>
      </w:r>
      <w:proofErr w:type="spellEnd"/>
      <w:r>
        <w:t xml:space="preserve">, parasitos de malária, hemoglobina instáveis, síndromes mielodisplásicas ou anemias megaloblásticas. Nessas situações, há emissão de </w:t>
      </w:r>
      <w:r>
        <w:rPr>
          <w:i/>
        </w:rPr>
        <w:t xml:space="preserve">flags. </w:t>
      </w:r>
      <w:r>
        <w:t>A análise do histograma é de fundamental imp</w:t>
      </w:r>
      <w:r>
        <w:t xml:space="preserve">ortância para interpretação desses </w:t>
      </w:r>
      <w:r>
        <w:rPr>
          <w:i/>
        </w:rPr>
        <w:t xml:space="preserve">flags. </w:t>
      </w:r>
      <w:r>
        <w:t xml:space="preserve">Nos casos de contagens erradas pela presença de </w:t>
      </w:r>
      <w:proofErr w:type="spellStart"/>
      <w:r>
        <w:t>crioaglutininas</w:t>
      </w:r>
      <w:proofErr w:type="spellEnd"/>
      <w:r>
        <w:t>, observa-se também um aumento de VCM e CHCM, sendo o último índice mais importante para alertar resultados errados (BAIN,</w:t>
      </w:r>
      <w:r>
        <w:rPr>
          <w:spacing w:val="-6"/>
        </w:rPr>
        <w:t xml:space="preserve"> </w:t>
      </w:r>
      <w:r>
        <w:t>2007).</w:t>
      </w:r>
    </w:p>
    <w:p w14:paraId="00FE032E" w14:textId="77777777" w:rsidR="00170F05" w:rsidRDefault="00C66DC1">
      <w:pPr>
        <w:pStyle w:val="Corpodetexto"/>
        <w:spacing w:before="4"/>
        <w:ind w:left="1022"/>
        <w:jc w:val="both"/>
      </w:pPr>
      <w:proofErr w:type="spellStart"/>
      <w:r>
        <w:t>Pseudoleucopenias</w:t>
      </w:r>
      <w:proofErr w:type="spellEnd"/>
      <w:r>
        <w:t xml:space="preserve"> são</w:t>
      </w:r>
      <w:r>
        <w:t xml:space="preserve"> raras e observadas em casos de lise celular, amostras</w:t>
      </w:r>
    </w:p>
    <w:p w14:paraId="00FE032F" w14:textId="77777777" w:rsidR="00170F05" w:rsidRDefault="00170F05">
      <w:pPr>
        <w:jc w:val="both"/>
        <w:sectPr w:rsidR="00170F05">
          <w:pgSz w:w="11910" w:h="16840"/>
          <w:pgMar w:top="820" w:right="840" w:bottom="280" w:left="1100" w:header="569" w:footer="0" w:gutter="0"/>
          <w:cols w:space="720"/>
        </w:sectPr>
      </w:pPr>
    </w:p>
    <w:p w14:paraId="00FE0330" w14:textId="77777777" w:rsidR="00170F05" w:rsidRDefault="00170F05">
      <w:pPr>
        <w:pStyle w:val="Corpodetexto"/>
        <w:rPr>
          <w:sz w:val="20"/>
        </w:rPr>
      </w:pPr>
    </w:p>
    <w:p w14:paraId="00FE0331" w14:textId="77777777" w:rsidR="00170F05" w:rsidRDefault="00170F05">
      <w:pPr>
        <w:pStyle w:val="Corpodetexto"/>
        <w:spacing w:before="2"/>
        <w:rPr>
          <w:sz w:val="22"/>
        </w:rPr>
      </w:pPr>
    </w:p>
    <w:p w14:paraId="00FE0332" w14:textId="77777777" w:rsidR="00170F05" w:rsidRDefault="00C66DC1">
      <w:pPr>
        <w:pStyle w:val="Corpodetexto"/>
        <w:spacing w:before="93" w:line="360" w:lineRule="auto"/>
        <w:ind w:left="316" w:right="296"/>
        <w:jc w:val="both"/>
      </w:pPr>
      <w:r>
        <w:t>conservadas à temperatura ambiente por mais de 24 horas, presença de agregação de leucócitos, agregação de células de linfoma e mieloma, ou de leucócitos ou plaquetas por anticorpos.</w:t>
      </w:r>
    </w:p>
    <w:p w14:paraId="00FE0333" w14:textId="77777777" w:rsidR="00170F05" w:rsidRDefault="00170F05">
      <w:pPr>
        <w:pStyle w:val="Corpodetexto"/>
        <w:spacing w:before="7"/>
        <w:rPr>
          <w:sz w:val="35"/>
        </w:rPr>
      </w:pPr>
    </w:p>
    <w:p w14:paraId="00FE0334" w14:textId="77777777" w:rsidR="00170F05" w:rsidRDefault="00C66DC1">
      <w:pPr>
        <w:pStyle w:val="Ttulo2"/>
        <w:numPr>
          <w:ilvl w:val="2"/>
          <w:numId w:val="1"/>
        </w:numPr>
        <w:tabs>
          <w:tab w:val="left" w:pos="921"/>
        </w:tabs>
        <w:ind w:hanging="605"/>
      </w:pPr>
      <w:bookmarkStart w:id="28" w:name="_bookmark36"/>
      <w:bookmarkEnd w:id="28"/>
      <w:r>
        <w:t>Erros nas contagens</w:t>
      </w:r>
      <w:r>
        <w:rPr>
          <w:spacing w:val="-1"/>
        </w:rPr>
        <w:t xml:space="preserve"> </w:t>
      </w:r>
      <w:r>
        <w:t>diferenciais</w:t>
      </w:r>
    </w:p>
    <w:p w14:paraId="00FE0335" w14:textId="77777777" w:rsidR="00170F05" w:rsidRDefault="00C66DC1">
      <w:pPr>
        <w:pStyle w:val="Corpodetexto"/>
        <w:spacing w:before="146" w:line="360" w:lineRule="auto"/>
        <w:ind w:left="316" w:right="289" w:firstLine="706"/>
        <w:jc w:val="both"/>
      </w:pPr>
      <w:r>
        <w:t>Comparações das contagens automatizadas</w:t>
      </w:r>
      <w:r>
        <w:t xml:space="preserve"> com contagens feitas ao microscópio mostram inexatidão significativa nos contadores automatizados. Existem instrumentos que não emitem alarmes, mesmo na presença de </w:t>
      </w:r>
      <w:proofErr w:type="spellStart"/>
      <w:r>
        <w:t>eritroblastos</w:t>
      </w:r>
      <w:proofErr w:type="spellEnd"/>
      <w:r>
        <w:t>, granulócitos imaturos, linfócitos atípicos e blastos. As contagens diferenc</w:t>
      </w:r>
      <w:r>
        <w:t xml:space="preserve">iais em instrumentos de duas ou três partes não identificam aumento de eosinófilos e basófilos e as contagens diferenciais de duas partes não identificam a </w:t>
      </w:r>
      <w:proofErr w:type="spellStart"/>
      <w:r>
        <w:t>monocitose</w:t>
      </w:r>
      <w:proofErr w:type="spellEnd"/>
      <w:r>
        <w:t>. As contagens de três partes automatizadas por impedância apresentam inexatidão após 30 m</w:t>
      </w:r>
      <w:r>
        <w:t xml:space="preserve">inutos após a coleta, ocorrendo aumento das células mononucleares. A maioria dos aparelhos de três partes apresentam alarmes </w:t>
      </w:r>
      <w:r>
        <w:rPr>
          <w:spacing w:val="2"/>
        </w:rPr>
        <w:t xml:space="preserve">em </w:t>
      </w:r>
      <w:r>
        <w:t xml:space="preserve">presença de células </w:t>
      </w:r>
      <w:proofErr w:type="spellStart"/>
      <w:r>
        <w:t>blásticas</w:t>
      </w:r>
      <w:proofErr w:type="spellEnd"/>
      <w:r>
        <w:t xml:space="preserve">, granulócitos imaturos e linfócitos atípicos. As alterações decorrentes da estocagem são </w:t>
      </w:r>
      <w:proofErr w:type="gramStart"/>
      <w:r>
        <w:t xml:space="preserve">menores  </w:t>
      </w:r>
      <w:r>
        <w:t>em</w:t>
      </w:r>
      <w:proofErr w:type="gramEnd"/>
      <w:r>
        <w:t xml:space="preserve"> amostras conservadas a 4º C até o momento da análise. Nos aparelhos de cinco a sete partes, os efeitos da conservação da amostra são menos evidentes, sendo as variações de, no máximo, 1% a </w:t>
      </w:r>
      <w:r>
        <w:rPr>
          <w:spacing w:val="2"/>
        </w:rPr>
        <w:t xml:space="preserve">2% </w:t>
      </w:r>
      <w:r>
        <w:t>após 72 horas (BAIN, 2007). Nas Figuras 09 e 10 ilustram-se h</w:t>
      </w:r>
      <w:r>
        <w:t>istogramas com alterações de leucócitos, obrigando o analista a recorrer ao microscópio para liberação dos laudos</w:t>
      </w:r>
      <w:r>
        <w:rPr>
          <w:spacing w:val="-15"/>
        </w:rPr>
        <w:t xml:space="preserve"> </w:t>
      </w:r>
      <w:r>
        <w:t>hematológicos.</w:t>
      </w:r>
    </w:p>
    <w:p w14:paraId="00FE0336" w14:textId="77777777" w:rsidR="00170F05" w:rsidRDefault="00170F05">
      <w:pPr>
        <w:pStyle w:val="Corpodetexto"/>
        <w:rPr>
          <w:sz w:val="20"/>
        </w:rPr>
      </w:pPr>
    </w:p>
    <w:p w14:paraId="00FE0337" w14:textId="77777777" w:rsidR="00170F05" w:rsidRDefault="00C66DC1">
      <w:pPr>
        <w:pStyle w:val="Corpodetexto"/>
        <w:spacing w:before="6"/>
        <w:rPr>
          <w:sz w:val="12"/>
        </w:rPr>
      </w:pPr>
      <w:r>
        <w:rPr>
          <w:noProof/>
        </w:rPr>
        <w:drawing>
          <wp:anchor distT="0" distB="0" distL="0" distR="0" simplePos="0" relativeHeight="17" behindDoc="0" locked="0" layoutInCell="1" allowOverlap="1" wp14:anchorId="00FE04A5" wp14:editId="00FE04A6">
            <wp:simplePos x="0" y="0"/>
            <wp:positionH relativeFrom="page">
              <wp:posOffset>1347469</wp:posOffset>
            </wp:positionH>
            <wp:positionV relativeFrom="paragraph">
              <wp:posOffset>116799</wp:posOffset>
            </wp:positionV>
            <wp:extent cx="4782378" cy="1833372"/>
            <wp:effectExtent l="0" t="0" r="0" b="0"/>
            <wp:wrapTopAndBottom/>
            <wp:docPr id="1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6.jpeg"/>
                    <pic:cNvPicPr/>
                  </pic:nvPicPr>
                  <pic:blipFill>
                    <a:blip r:embed="rId22" cstate="print"/>
                    <a:stretch>
                      <a:fillRect/>
                    </a:stretch>
                  </pic:blipFill>
                  <pic:spPr>
                    <a:xfrm>
                      <a:off x="0" y="0"/>
                      <a:ext cx="4782378" cy="1833372"/>
                    </a:xfrm>
                    <a:prstGeom prst="rect">
                      <a:avLst/>
                    </a:prstGeom>
                  </pic:spPr>
                </pic:pic>
              </a:graphicData>
            </a:graphic>
          </wp:anchor>
        </w:drawing>
      </w:r>
    </w:p>
    <w:p w14:paraId="00FE0338" w14:textId="77777777" w:rsidR="00170F05" w:rsidRDefault="00C66DC1">
      <w:pPr>
        <w:spacing w:before="111"/>
        <w:ind w:left="1152" w:right="2416"/>
        <w:rPr>
          <w:sz w:val="20"/>
        </w:rPr>
      </w:pPr>
      <w:bookmarkStart w:id="29" w:name="_bookmark37"/>
      <w:bookmarkEnd w:id="29"/>
      <w:r>
        <w:rPr>
          <w:sz w:val="20"/>
        </w:rPr>
        <w:t>Figura 9 – Histograma dos leucócitos e filme sanguíneo correspondente Fonte: SYSMEX, [</w:t>
      </w:r>
      <w:proofErr w:type="spellStart"/>
      <w:r>
        <w:rPr>
          <w:sz w:val="20"/>
        </w:rPr>
        <w:t>s.d</w:t>
      </w:r>
      <w:proofErr w:type="spellEnd"/>
      <w:r>
        <w:rPr>
          <w:sz w:val="20"/>
        </w:rPr>
        <w:t>].</w:t>
      </w:r>
    </w:p>
    <w:p w14:paraId="00FE0339" w14:textId="77777777" w:rsidR="00170F05" w:rsidRDefault="00170F05">
      <w:pPr>
        <w:rPr>
          <w:sz w:val="20"/>
        </w:rPr>
        <w:sectPr w:rsidR="00170F05">
          <w:pgSz w:w="11910" w:h="16840"/>
          <w:pgMar w:top="820" w:right="840" w:bottom="280" w:left="1100" w:header="569" w:footer="0" w:gutter="0"/>
          <w:cols w:space="720"/>
        </w:sectPr>
      </w:pPr>
    </w:p>
    <w:p w14:paraId="00FE033A" w14:textId="77777777" w:rsidR="00170F05" w:rsidRDefault="00170F05">
      <w:pPr>
        <w:pStyle w:val="Corpodetexto"/>
        <w:rPr>
          <w:sz w:val="20"/>
        </w:rPr>
      </w:pPr>
    </w:p>
    <w:p w14:paraId="00FE033B" w14:textId="77777777" w:rsidR="00170F05" w:rsidRDefault="00170F05">
      <w:pPr>
        <w:pStyle w:val="Corpodetexto"/>
        <w:rPr>
          <w:sz w:val="20"/>
        </w:rPr>
      </w:pPr>
    </w:p>
    <w:p w14:paraId="00FE033C" w14:textId="77777777" w:rsidR="00170F05" w:rsidRDefault="00170F05">
      <w:pPr>
        <w:pStyle w:val="Corpodetexto"/>
        <w:spacing w:before="1"/>
        <w:rPr>
          <w:sz w:val="10"/>
        </w:rPr>
      </w:pPr>
    </w:p>
    <w:p w14:paraId="00FE033D" w14:textId="77777777" w:rsidR="00170F05" w:rsidRDefault="00C66DC1">
      <w:pPr>
        <w:pStyle w:val="Corpodetexto"/>
        <w:ind w:left="1022"/>
        <w:rPr>
          <w:sz w:val="20"/>
        </w:rPr>
      </w:pPr>
      <w:r>
        <w:rPr>
          <w:noProof/>
          <w:sz w:val="20"/>
        </w:rPr>
        <w:drawing>
          <wp:inline distT="0" distB="0" distL="0" distR="0" wp14:anchorId="00FE04A7" wp14:editId="00FE04A8">
            <wp:extent cx="4634099" cy="1746503"/>
            <wp:effectExtent l="0" t="0" r="0" b="0"/>
            <wp:docPr id="1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7.jpeg"/>
                    <pic:cNvPicPr/>
                  </pic:nvPicPr>
                  <pic:blipFill>
                    <a:blip r:embed="rId23" cstate="print"/>
                    <a:stretch>
                      <a:fillRect/>
                    </a:stretch>
                  </pic:blipFill>
                  <pic:spPr>
                    <a:xfrm>
                      <a:off x="0" y="0"/>
                      <a:ext cx="4634099" cy="1746503"/>
                    </a:xfrm>
                    <a:prstGeom prst="rect">
                      <a:avLst/>
                    </a:prstGeom>
                  </pic:spPr>
                </pic:pic>
              </a:graphicData>
            </a:graphic>
          </wp:inline>
        </w:drawing>
      </w:r>
    </w:p>
    <w:p w14:paraId="00FE033E" w14:textId="77777777" w:rsidR="00170F05" w:rsidRDefault="00C66DC1">
      <w:pPr>
        <w:spacing w:before="144"/>
        <w:ind w:left="1080" w:right="2463" w:firstLine="14"/>
        <w:rPr>
          <w:sz w:val="20"/>
        </w:rPr>
      </w:pPr>
      <w:bookmarkStart w:id="30" w:name="_bookmark38"/>
      <w:bookmarkEnd w:id="30"/>
      <w:r>
        <w:rPr>
          <w:sz w:val="20"/>
        </w:rPr>
        <w:t>Figura 10</w:t>
      </w:r>
      <w:r>
        <w:rPr>
          <w:sz w:val="20"/>
        </w:rPr>
        <w:t xml:space="preserve"> – Histograma de leucócitos e filme sanguíneo correspondente Fonte</w:t>
      </w:r>
      <w:r>
        <w:rPr>
          <w:sz w:val="24"/>
        </w:rPr>
        <w:t xml:space="preserve">: </w:t>
      </w:r>
      <w:r>
        <w:rPr>
          <w:sz w:val="20"/>
        </w:rPr>
        <w:t>SYSMEX, [s.d.].</w:t>
      </w:r>
    </w:p>
    <w:p w14:paraId="00FE033F" w14:textId="77777777" w:rsidR="00170F05" w:rsidRDefault="00170F05">
      <w:pPr>
        <w:pStyle w:val="Corpodetexto"/>
        <w:spacing w:before="3"/>
        <w:rPr>
          <w:sz w:val="36"/>
        </w:rPr>
      </w:pPr>
    </w:p>
    <w:p w14:paraId="00FE0340" w14:textId="77777777" w:rsidR="00170F05" w:rsidRDefault="00C66DC1">
      <w:pPr>
        <w:pStyle w:val="Corpodetexto"/>
        <w:spacing w:line="360" w:lineRule="auto"/>
        <w:ind w:left="316" w:firstLine="720"/>
      </w:pPr>
      <w:r>
        <w:t>Causas de erros em contagens diferenciais em aparelhos de impedância e dispersão de luz são ilustrados no Quadro 1.</w:t>
      </w:r>
    </w:p>
    <w:p w14:paraId="00FE0341" w14:textId="77777777" w:rsidR="00170F05" w:rsidRDefault="00170F05">
      <w:pPr>
        <w:pStyle w:val="Corpodetexto"/>
        <w:spacing w:before="2"/>
        <w:rPr>
          <w:sz w:val="36"/>
        </w:rPr>
      </w:pPr>
    </w:p>
    <w:p w14:paraId="00FE0342" w14:textId="77777777" w:rsidR="00170F05" w:rsidRDefault="00C66DC1">
      <w:pPr>
        <w:pStyle w:val="Corpodetexto"/>
        <w:spacing w:after="2"/>
        <w:ind w:left="316"/>
      </w:pPr>
      <w:bookmarkStart w:id="31" w:name="_bookmark39"/>
      <w:bookmarkEnd w:id="31"/>
      <w:r>
        <w:t>Quadro 1 – Causas de erros em contagens diferenciais</w:t>
      </w:r>
    </w:p>
    <w:tbl>
      <w:tblPr>
        <w:tblStyle w:val="TableNormal"/>
        <w:tblW w:w="0" w:type="auto"/>
        <w:tblInd w:w="199" w:type="dxa"/>
        <w:tblLayout w:type="fixed"/>
        <w:tblLook w:val="01E0" w:firstRow="1" w:lastRow="1" w:firstColumn="1" w:lastColumn="1" w:noHBand="0" w:noVBand="0"/>
      </w:tblPr>
      <w:tblGrid>
        <w:gridCol w:w="2912"/>
        <w:gridCol w:w="3543"/>
        <w:gridCol w:w="3216"/>
      </w:tblGrid>
      <w:tr w:rsidR="00170F05" w14:paraId="00FE0346" w14:textId="77777777">
        <w:trPr>
          <w:trHeight w:val="590"/>
        </w:trPr>
        <w:tc>
          <w:tcPr>
            <w:tcW w:w="2912" w:type="dxa"/>
            <w:tcBorders>
              <w:top w:val="single" w:sz="4" w:space="0" w:color="000000"/>
              <w:bottom w:val="single" w:sz="4" w:space="0" w:color="000000"/>
            </w:tcBorders>
          </w:tcPr>
          <w:p w14:paraId="00FE0343" w14:textId="77777777" w:rsidR="00170F05" w:rsidRDefault="00C66DC1">
            <w:pPr>
              <w:pStyle w:val="TableParagraph"/>
              <w:spacing w:before="196"/>
              <w:ind w:left="219" w:right="146"/>
              <w:jc w:val="center"/>
              <w:rPr>
                <w:b/>
                <w:sz w:val="20"/>
              </w:rPr>
            </w:pPr>
            <w:r>
              <w:rPr>
                <w:b/>
                <w:sz w:val="20"/>
              </w:rPr>
              <w:t>Erro</w:t>
            </w:r>
          </w:p>
        </w:tc>
        <w:tc>
          <w:tcPr>
            <w:tcW w:w="3543" w:type="dxa"/>
            <w:tcBorders>
              <w:top w:val="single" w:sz="4" w:space="0" w:color="000000"/>
              <w:bottom w:val="single" w:sz="4" w:space="0" w:color="000000"/>
            </w:tcBorders>
          </w:tcPr>
          <w:p w14:paraId="00FE0344" w14:textId="77777777" w:rsidR="00170F05" w:rsidRDefault="00C66DC1">
            <w:pPr>
              <w:pStyle w:val="TableParagraph"/>
              <w:spacing w:before="196"/>
              <w:ind w:left="1049"/>
              <w:rPr>
                <w:b/>
                <w:sz w:val="20"/>
              </w:rPr>
            </w:pPr>
            <w:proofErr w:type="spellStart"/>
            <w:r>
              <w:rPr>
                <w:b/>
                <w:sz w:val="20"/>
              </w:rPr>
              <w:t>Conseqüência</w:t>
            </w:r>
            <w:proofErr w:type="spellEnd"/>
          </w:p>
        </w:tc>
        <w:tc>
          <w:tcPr>
            <w:tcW w:w="3216" w:type="dxa"/>
            <w:tcBorders>
              <w:top w:val="single" w:sz="4" w:space="0" w:color="000000"/>
              <w:bottom w:val="single" w:sz="4" w:space="0" w:color="000000"/>
            </w:tcBorders>
          </w:tcPr>
          <w:p w14:paraId="00FE0345" w14:textId="77777777" w:rsidR="00170F05" w:rsidRDefault="00C66DC1">
            <w:pPr>
              <w:pStyle w:val="TableParagraph"/>
              <w:spacing w:before="196"/>
              <w:ind w:left="226" w:right="350"/>
              <w:jc w:val="center"/>
              <w:rPr>
                <w:b/>
                <w:sz w:val="20"/>
              </w:rPr>
            </w:pPr>
            <w:r>
              <w:rPr>
                <w:b/>
                <w:sz w:val="20"/>
              </w:rPr>
              <w:t xml:space="preserve">Aparelho </w:t>
            </w:r>
            <w:proofErr w:type="gramStart"/>
            <w:r>
              <w:rPr>
                <w:b/>
                <w:sz w:val="20"/>
              </w:rPr>
              <w:t>( )</w:t>
            </w:r>
            <w:proofErr w:type="gramEnd"/>
          </w:p>
        </w:tc>
      </w:tr>
      <w:tr w:rsidR="00170F05" w14:paraId="00FE0357" w14:textId="77777777">
        <w:trPr>
          <w:trHeight w:val="2808"/>
        </w:trPr>
        <w:tc>
          <w:tcPr>
            <w:tcW w:w="2912" w:type="dxa"/>
            <w:tcBorders>
              <w:top w:val="single" w:sz="4" w:space="0" w:color="000000"/>
              <w:bottom w:val="single" w:sz="4" w:space="0" w:color="000000"/>
            </w:tcBorders>
          </w:tcPr>
          <w:p w14:paraId="00FE0347" w14:textId="77777777" w:rsidR="00170F05" w:rsidRDefault="00170F05">
            <w:pPr>
              <w:pStyle w:val="TableParagraph"/>
            </w:pPr>
          </w:p>
          <w:p w14:paraId="00FE0348" w14:textId="77777777" w:rsidR="00170F05" w:rsidRDefault="00170F05">
            <w:pPr>
              <w:pStyle w:val="TableParagraph"/>
            </w:pPr>
          </w:p>
          <w:p w14:paraId="00FE0349" w14:textId="77777777" w:rsidR="00170F05" w:rsidRDefault="00170F05">
            <w:pPr>
              <w:pStyle w:val="TableParagraph"/>
              <w:spacing w:before="8"/>
              <w:rPr>
                <w:sz w:val="17"/>
              </w:rPr>
            </w:pPr>
          </w:p>
          <w:p w14:paraId="00FE034A" w14:textId="77777777" w:rsidR="00170F05" w:rsidRDefault="00C66DC1">
            <w:pPr>
              <w:pStyle w:val="TableParagraph"/>
              <w:ind w:left="219" w:right="150"/>
              <w:jc w:val="center"/>
              <w:rPr>
                <w:sz w:val="20"/>
              </w:rPr>
            </w:pPr>
            <w:r>
              <w:rPr>
                <w:sz w:val="20"/>
              </w:rPr>
              <w:t>Conservação após 24 horas</w:t>
            </w:r>
          </w:p>
          <w:p w14:paraId="00FE034B" w14:textId="77777777" w:rsidR="00170F05" w:rsidRDefault="00170F05">
            <w:pPr>
              <w:pStyle w:val="TableParagraph"/>
              <w:spacing w:before="10"/>
              <w:rPr>
                <w:sz w:val="18"/>
              </w:rPr>
            </w:pPr>
          </w:p>
          <w:p w14:paraId="00FE034C" w14:textId="77777777" w:rsidR="00170F05" w:rsidRDefault="00C66DC1">
            <w:pPr>
              <w:pStyle w:val="TableParagraph"/>
              <w:spacing w:line="309" w:lineRule="auto"/>
              <w:ind w:left="219" w:right="147"/>
              <w:jc w:val="center"/>
              <w:rPr>
                <w:sz w:val="20"/>
              </w:rPr>
            </w:pPr>
            <w:r>
              <w:rPr>
                <w:sz w:val="20"/>
              </w:rPr>
              <w:t>Conservação à temperatura ambiente</w:t>
            </w:r>
          </w:p>
        </w:tc>
        <w:tc>
          <w:tcPr>
            <w:tcW w:w="3543" w:type="dxa"/>
            <w:tcBorders>
              <w:top w:val="single" w:sz="4" w:space="0" w:color="000000"/>
              <w:bottom w:val="single" w:sz="4" w:space="0" w:color="000000"/>
            </w:tcBorders>
          </w:tcPr>
          <w:p w14:paraId="00FE034D" w14:textId="77777777" w:rsidR="00170F05" w:rsidRDefault="00170F05">
            <w:pPr>
              <w:pStyle w:val="TableParagraph"/>
              <w:spacing w:before="6"/>
            </w:pPr>
          </w:p>
          <w:p w14:paraId="00FE034E" w14:textId="77777777" w:rsidR="00170F05" w:rsidRDefault="00C66DC1">
            <w:pPr>
              <w:pStyle w:val="TableParagraph"/>
              <w:spacing w:line="314" w:lineRule="auto"/>
              <w:ind w:left="180" w:right="254"/>
              <w:jc w:val="center"/>
              <w:rPr>
                <w:sz w:val="20"/>
              </w:rPr>
            </w:pPr>
            <w:r>
              <w:rPr>
                <w:sz w:val="20"/>
              </w:rPr>
              <w:t>Aumento dos monócitos e</w:t>
            </w:r>
            <w:r>
              <w:rPr>
                <w:spacing w:val="-7"/>
                <w:sz w:val="20"/>
              </w:rPr>
              <w:t xml:space="preserve"> </w:t>
            </w:r>
            <w:r>
              <w:rPr>
                <w:sz w:val="20"/>
              </w:rPr>
              <w:t>baixa dos</w:t>
            </w:r>
            <w:r>
              <w:rPr>
                <w:spacing w:val="-3"/>
                <w:sz w:val="20"/>
              </w:rPr>
              <w:t xml:space="preserve"> </w:t>
            </w:r>
            <w:r>
              <w:rPr>
                <w:sz w:val="20"/>
              </w:rPr>
              <w:t>neutrófilos</w:t>
            </w:r>
          </w:p>
          <w:p w14:paraId="00FE034F" w14:textId="77777777" w:rsidR="00170F05" w:rsidRDefault="00C66DC1">
            <w:pPr>
              <w:pStyle w:val="TableParagraph"/>
              <w:spacing w:before="141" w:line="312" w:lineRule="auto"/>
              <w:ind w:left="171" w:right="241" w:hanging="5"/>
              <w:jc w:val="center"/>
              <w:rPr>
                <w:sz w:val="20"/>
              </w:rPr>
            </w:pPr>
            <w:r>
              <w:rPr>
                <w:sz w:val="20"/>
              </w:rPr>
              <w:t>Baixa dos neutrófilos e dos monócitos e aumento dos</w:t>
            </w:r>
            <w:r>
              <w:rPr>
                <w:spacing w:val="-6"/>
                <w:sz w:val="20"/>
              </w:rPr>
              <w:t xml:space="preserve"> </w:t>
            </w:r>
            <w:r>
              <w:rPr>
                <w:sz w:val="20"/>
              </w:rPr>
              <w:t>linfócitos após 24</w:t>
            </w:r>
            <w:r>
              <w:rPr>
                <w:spacing w:val="-3"/>
                <w:sz w:val="20"/>
              </w:rPr>
              <w:t xml:space="preserve"> </w:t>
            </w:r>
            <w:r>
              <w:rPr>
                <w:sz w:val="20"/>
              </w:rPr>
              <w:t>horas</w:t>
            </w:r>
          </w:p>
          <w:p w14:paraId="00FE0350" w14:textId="77777777" w:rsidR="00170F05" w:rsidRDefault="00C66DC1">
            <w:pPr>
              <w:pStyle w:val="TableParagraph"/>
              <w:spacing w:before="150" w:line="309" w:lineRule="auto"/>
              <w:ind w:left="180" w:right="255"/>
              <w:jc w:val="center"/>
              <w:rPr>
                <w:sz w:val="20"/>
              </w:rPr>
            </w:pPr>
            <w:r>
              <w:rPr>
                <w:sz w:val="20"/>
              </w:rPr>
              <w:t>Aumento dos linfócitos e baixa dos eosinófilos</w:t>
            </w:r>
          </w:p>
        </w:tc>
        <w:tc>
          <w:tcPr>
            <w:tcW w:w="3216" w:type="dxa"/>
            <w:tcBorders>
              <w:top w:val="single" w:sz="4" w:space="0" w:color="000000"/>
              <w:bottom w:val="single" w:sz="4" w:space="0" w:color="000000"/>
            </w:tcBorders>
          </w:tcPr>
          <w:p w14:paraId="00FE0351" w14:textId="77777777" w:rsidR="00170F05" w:rsidRPr="00977364" w:rsidRDefault="00C66DC1">
            <w:pPr>
              <w:pStyle w:val="TableParagraph"/>
              <w:spacing w:before="196" w:line="460" w:lineRule="auto"/>
              <w:ind w:left="225" w:right="359"/>
              <w:jc w:val="center"/>
              <w:rPr>
                <w:sz w:val="20"/>
                <w:lang w:val="en-US"/>
              </w:rPr>
            </w:pPr>
            <w:r w:rsidRPr="00977364">
              <w:rPr>
                <w:sz w:val="20"/>
                <w:lang w:val="en-US"/>
              </w:rPr>
              <w:t>Sysmex NE-1500 E NE-8000 (56,57)</w:t>
            </w:r>
          </w:p>
          <w:p w14:paraId="00FE0352" w14:textId="77777777" w:rsidR="00170F05" w:rsidRPr="00977364" w:rsidRDefault="00170F05">
            <w:pPr>
              <w:pStyle w:val="TableParagraph"/>
              <w:rPr>
                <w:lang w:val="en-US"/>
              </w:rPr>
            </w:pPr>
          </w:p>
          <w:p w14:paraId="00FE0353" w14:textId="77777777" w:rsidR="00170F05" w:rsidRPr="00977364" w:rsidRDefault="00C66DC1">
            <w:pPr>
              <w:pStyle w:val="TableParagraph"/>
              <w:spacing w:before="194"/>
              <w:ind w:left="226" w:right="350"/>
              <w:jc w:val="center"/>
              <w:rPr>
                <w:sz w:val="20"/>
                <w:lang w:val="en-US"/>
              </w:rPr>
            </w:pPr>
            <w:r w:rsidRPr="00977364">
              <w:rPr>
                <w:sz w:val="20"/>
                <w:lang w:val="en-US"/>
              </w:rPr>
              <w:t>Abbot Cell-</w:t>
            </w:r>
            <w:proofErr w:type="spellStart"/>
            <w:r w:rsidRPr="00977364">
              <w:rPr>
                <w:sz w:val="20"/>
                <w:lang w:val="en-US"/>
              </w:rPr>
              <w:t>Dyn</w:t>
            </w:r>
            <w:proofErr w:type="spellEnd"/>
            <w:r w:rsidRPr="00977364">
              <w:rPr>
                <w:sz w:val="20"/>
                <w:lang w:val="en-US"/>
              </w:rPr>
              <w:t xml:space="preserve"> 3500</w:t>
            </w:r>
            <w:r w:rsidRPr="00977364">
              <w:rPr>
                <w:spacing w:val="-1"/>
                <w:sz w:val="20"/>
                <w:lang w:val="en-US"/>
              </w:rPr>
              <w:t xml:space="preserve"> </w:t>
            </w:r>
            <w:r w:rsidRPr="00977364">
              <w:rPr>
                <w:sz w:val="20"/>
                <w:lang w:val="en-US"/>
              </w:rPr>
              <w:t>(6)</w:t>
            </w:r>
          </w:p>
          <w:p w14:paraId="00FE0354" w14:textId="77777777" w:rsidR="00170F05" w:rsidRPr="00977364" w:rsidRDefault="00170F05">
            <w:pPr>
              <w:pStyle w:val="TableParagraph"/>
              <w:rPr>
                <w:lang w:val="en-US"/>
              </w:rPr>
            </w:pPr>
          </w:p>
          <w:p w14:paraId="00FE0355" w14:textId="77777777" w:rsidR="00170F05" w:rsidRPr="00977364" w:rsidRDefault="00170F05">
            <w:pPr>
              <w:pStyle w:val="TableParagraph"/>
              <w:rPr>
                <w:lang w:val="en-US"/>
              </w:rPr>
            </w:pPr>
          </w:p>
          <w:p w14:paraId="00FE0356" w14:textId="77777777" w:rsidR="00170F05" w:rsidRDefault="00C66DC1">
            <w:pPr>
              <w:pStyle w:val="TableParagraph"/>
              <w:spacing w:before="152"/>
              <w:ind w:left="226" w:right="351"/>
              <w:jc w:val="center"/>
              <w:rPr>
                <w:sz w:val="20"/>
              </w:rPr>
            </w:pPr>
            <w:proofErr w:type="spellStart"/>
            <w:r>
              <w:rPr>
                <w:sz w:val="20"/>
              </w:rPr>
              <w:t>Cobas</w:t>
            </w:r>
            <w:proofErr w:type="spellEnd"/>
            <w:r>
              <w:rPr>
                <w:sz w:val="20"/>
              </w:rPr>
              <w:t xml:space="preserve"> Argos 5 </w:t>
            </w:r>
            <w:proofErr w:type="spellStart"/>
            <w:r>
              <w:rPr>
                <w:sz w:val="20"/>
              </w:rPr>
              <w:t>Diff</w:t>
            </w:r>
            <w:proofErr w:type="spellEnd"/>
            <w:r>
              <w:rPr>
                <w:spacing w:val="-4"/>
                <w:sz w:val="20"/>
              </w:rPr>
              <w:t xml:space="preserve"> </w:t>
            </w:r>
            <w:r>
              <w:rPr>
                <w:sz w:val="20"/>
              </w:rPr>
              <w:t>(36)</w:t>
            </w:r>
          </w:p>
        </w:tc>
      </w:tr>
      <w:tr w:rsidR="00170F05" w14:paraId="00FE035F" w14:textId="77777777">
        <w:trPr>
          <w:trHeight w:val="1488"/>
        </w:trPr>
        <w:tc>
          <w:tcPr>
            <w:tcW w:w="2912" w:type="dxa"/>
            <w:tcBorders>
              <w:top w:val="single" w:sz="4" w:space="0" w:color="000000"/>
              <w:bottom w:val="single" w:sz="4" w:space="0" w:color="000000"/>
            </w:tcBorders>
          </w:tcPr>
          <w:p w14:paraId="00FE0358" w14:textId="77777777" w:rsidR="00170F05" w:rsidRDefault="00170F05">
            <w:pPr>
              <w:pStyle w:val="TableParagraph"/>
            </w:pPr>
          </w:p>
          <w:p w14:paraId="00FE0359" w14:textId="77777777" w:rsidR="00170F05" w:rsidRDefault="00170F05">
            <w:pPr>
              <w:pStyle w:val="TableParagraph"/>
            </w:pPr>
          </w:p>
          <w:p w14:paraId="00FE035A" w14:textId="77777777" w:rsidR="00170F05" w:rsidRDefault="00C66DC1">
            <w:pPr>
              <w:pStyle w:val="TableParagraph"/>
              <w:spacing w:before="142"/>
              <w:ind w:left="219" w:right="141"/>
              <w:jc w:val="center"/>
              <w:rPr>
                <w:sz w:val="20"/>
              </w:rPr>
            </w:pPr>
            <w:r>
              <w:rPr>
                <w:sz w:val="20"/>
              </w:rPr>
              <w:t>Agregação dos neutrófilos</w:t>
            </w:r>
          </w:p>
        </w:tc>
        <w:tc>
          <w:tcPr>
            <w:tcW w:w="3543" w:type="dxa"/>
            <w:tcBorders>
              <w:top w:val="single" w:sz="4" w:space="0" w:color="000000"/>
              <w:bottom w:val="single" w:sz="4" w:space="0" w:color="000000"/>
            </w:tcBorders>
          </w:tcPr>
          <w:p w14:paraId="00FE035B" w14:textId="77777777" w:rsidR="00170F05" w:rsidRDefault="00C66DC1">
            <w:pPr>
              <w:pStyle w:val="TableParagraph"/>
              <w:spacing w:before="196" w:line="312" w:lineRule="auto"/>
              <w:ind w:left="180" w:right="258"/>
              <w:jc w:val="center"/>
              <w:rPr>
                <w:sz w:val="20"/>
              </w:rPr>
            </w:pPr>
            <w:r>
              <w:rPr>
                <w:sz w:val="20"/>
              </w:rPr>
              <w:t xml:space="preserve">Baixa contagem de leucócitos e da porcentagem dos neutrófilos e aumento da porcentagem de </w:t>
            </w:r>
            <w:proofErr w:type="spellStart"/>
            <w:r>
              <w:rPr>
                <w:sz w:val="20"/>
              </w:rPr>
              <w:t>linfócios</w:t>
            </w:r>
            <w:proofErr w:type="spellEnd"/>
          </w:p>
        </w:tc>
        <w:tc>
          <w:tcPr>
            <w:tcW w:w="3216" w:type="dxa"/>
            <w:tcBorders>
              <w:top w:val="single" w:sz="4" w:space="0" w:color="000000"/>
              <w:bottom w:val="single" w:sz="4" w:space="0" w:color="000000"/>
            </w:tcBorders>
          </w:tcPr>
          <w:p w14:paraId="00FE035C" w14:textId="77777777" w:rsidR="00170F05" w:rsidRDefault="00170F05">
            <w:pPr>
              <w:pStyle w:val="TableParagraph"/>
            </w:pPr>
          </w:p>
          <w:p w14:paraId="00FE035D" w14:textId="77777777" w:rsidR="00170F05" w:rsidRDefault="00170F05">
            <w:pPr>
              <w:pStyle w:val="TableParagraph"/>
            </w:pPr>
          </w:p>
          <w:p w14:paraId="00FE035E" w14:textId="77777777" w:rsidR="00170F05" w:rsidRDefault="00C66DC1">
            <w:pPr>
              <w:pStyle w:val="TableParagraph"/>
              <w:spacing w:before="142"/>
              <w:ind w:left="226" w:right="359"/>
              <w:jc w:val="center"/>
              <w:rPr>
                <w:sz w:val="20"/>
              </w:rPr>
            </w:pPr>
            <w:r>
              <w:rPr>
                <w:sz w:val="20"/>
              </w:rPr>
              <w:t>Todos</w:t>
            </w:r>
          </w:p>
        </w:tc>
      </w:tr>
      <w:tr w:rsidR="00170F05" w14:paraId="00FE0365" w14:textId="77777777">
        <w:trPr>
          <w:trHeight w:val="887"/>
        </w:trPr>
        <w:tc>
          <w:tcPr>
            <w:tcW w:w="2912" w:type="dxa"/>
            <w:tcBorders>
              <w:top w:val="single" w:sz="4" w:space="0" w:color="000000"/>
              <w:bottom w:val="single" w:sz="4" w:space="0" w:color="000000"/>
            </w:tcBorders>
          </w:tcPr>
          <w:p w14:paraId="00FE0360" w14:textId="77777777" w:rsidR="00170F05" w:rsidRDefault="00170F05">
            <w:pPr>
              <w:pStyle w:val="TableParagraph"/>
              <w:rPr>
                <w:sz w:val="30"/>
              </w:rPr>
            </w:pPr>
          </w:p>
          <w:p w14:paraId="00FE0361" w14:textId="77777777" w:rsidR="00170F05" w:rsidRDefault="00C66DC1">
            <w:pPr>
              <w:pStyle w:val="TableParagraph"/>
              <w:ind w:left="219" w:right="145"/>
              <w:jc w:val="center"/>
              <w:rPr>
                <w:sz w:val="20"/>
              </w:rPr>
            </w:pPr>
            <w:r>
              <w:rPr>
                <w:sz w:val="20"/>
              </w:rPr>
              <w:t>Agregação de linfócitos</w:t>
            </w:r>
          </w:p>
        </w:tc>
        <w:tc>
          <w:tcPr>
            <w:tcW w:w="3543" w:type="dxa"/>
            <w:tcBorders>
              <w:top w:val="single" w:sz="4" w:space="0" w:color="000000"/>
              <w:bottom w:val="single" w:sz="4" w:space="0" w:color="000000"/>
            </w:tcBorders>
          </w:tcPr>
          <w:p w14:paraId="00FE0362" w14:textId="77777777" w:rsidR="00170F05" w:rsidRDefault="00C66DC1">
            <w:pPr>
              <w:pStyle w:val="TableParagraph"/>
              <w:spacing w:before="196" w:line="309" w:lineRule="auto"/>
              <w:ind w:left="1270" w:right="504" w:hanging="831"/>
              <w:rPr>
                <w:sz w:val="20"/>
              </w:rPr>
            </w:pPr>
            <w:r>
              <w:rPr>
                <w:sz w:val="20"/>
              </w:rPr>
              <w:t>Aumento da porcentagem de neutrófilos</w:t>
            </w:r>
          </w:p>
        </w:tc>
        <w:tc>
          <w:tcPr>
            <w:tcW w:w="3216" w:type="dxa"/>
            <w:tcBorders>
              <w:top w:val="single" w:sz="4" w:space="0" w:color="000000"/>
              <w:bottom w:val="single" w:sz="4" w:space="0" w:color="000000"/>
            </w:tcBorders>
          </w:tcPr>
          <w:p w14:paraId="00FE0363" w14:textId="77777777" w:rsidR="00170F05" w:rsidRDefault="00170F05">
            <w:pPr>
              <w:pStyle w:val="TableParagraph"/>
              <w:rPr>
                <w:sz w:val="30"/>
              </w:rPr>
            </w:pPr>
          </w:p>
          <w:p w14:paraId="00FE0364" w14:textId="77777777" w:rsidR="00170F05" w:rsidRDefault="00C66DC1">
            <w:pPr>
              <w:pStyle w:val="TableParagraph"/>
              <w:ind w:left="226" w:right="355"/>
              <w:jc w:val="center"/>
              <w:rPr>
                <w:sz w:val="20"/>
              </w:rPr>
            </w:pPr>
            <w:proofErr w:type="spellStart"/>
            <w:r>
              <w:rPr>
                <w:sz w:val="20"/>
              </w:rPr>
              <w:t>Coulter</w:t>
            </w:r>
            <w:proofErr w:type="spellEnd"/>
            <w:r>
              <w:rPr>
                <w:sz w:val="20"/>
              </w:rPr>
              <w:t xml:space="preserve"> STKS (41)</w:t>
            </w:r>
          </w:p>
        </w:tc>
      </w:tr>
      <w:tr w:rsidR="00170F05" w:rsidRPr="00977364" w14:paraId="00FE036F" w14:textId="77777777">
        <w:trPr>
          <w:trHeight w:val="2366"/>
        </w:trPr>
        <w:tc>
          <w:tcPr>
            <w:tcW w:w="2912" w:type="dxa"/>
            <w:tcBorders>
              <w:top w:val="single" w:sz="4" w:space="0" w:color="000000"/>
              <w:bottom w:val="single" w:sz="4" w:space="0" w:color="000000"/>
            </w:tcBorders>
          </w:tcPr>
          <w:p w14:paraId="00FE0366" w14:textId="77777777" w:rsidR="00170F05" w:rsidRDefault="00C66DC1">
            <w:pPr>
              <w:pStyle w:val="TableParagraph"/>
              <w:spacing w:before="196" w:line="463" w:lineRule="auto"/>
              <w:ind w:left="219" w:right="140"/>
              <w:jc w:val="center"/>
              <w:rPr>
                <w:sz w:val="20"/>
              </w:rPr>
            </w:pPr>
            <w:r>
              <w:rPr>
                <w:sz w:val="20"/>
              </w:rPr>
              <w:t xml:space="preserve">Falta de </w:t>
            </w:r>
            <w:proofErr w:type="spellStart"/>
            <w:r>
              <w:rPr>
                <w:sz w:val="20"/>
              </w:rPr>
              <w:t>lise</w:t>
            </w:r>
            <w:proofErr w:type="spellEnd"/>
            <w:r>
              <w:rPr>
                <w:sz w:val="20"/>
              </w:rPr>
              <w:t xml:space="preserve"> dos eritrócitos </w:t>
            </w:r>
            <w:proofErr w:type="spellStart"/>
            <w:r>
              <w:rPr>
                <w:sz w:val="20"/>
              </w:rPr>
              <w:t>Eritrócitos</w:t>
            </w:r>
            <w:proofErr w:type="spellEnd"/>
            <w:r>
              <w:rPr>
                <w:sz w:val="20"/>
              </w:rPr>
              <w:t xml:space="preserve"> neonatais </w:t>
            </w:r>
            <w:proofErr w:type="spellStart"/>
            <w:r>
              <w:rPr>
                <w:sz w:val="20"/>
              </w:rPr>
              <w:t>Hiperlipidemias</w:t>
            </w:r>
            <w:proofErr w:type="spellEnd"/>
            <w:r>
              <w:rPr>
                <w:sz w:val="20"/>
              </w:rPr>
              <w:t xml:space="preserve"> Hemoglobinas anormais</w:t>
            </w:r>
          </w:p>
          <w:p w14:paraId="00FE0367" w14:textId="77777777" w:rsidR="00170F05" w:rsidRDefault="00C66DC1">
            <w:pPr>
              <w:pStyle w:val="TableParagraph"/>
              <w:spacing w:before="1"/>
              <w:ind w:left="219" w:right="142"/>
              <w:jc w:val="center"/>
              <w:rPr>
                <w:sz w:val="20"/>
              </w:rPr>
            </w:pPr>
            <w:r>
              <w:rPr>
                <w:sz w:val="20"/>
              </w:rPr>
              <w:t>Síndromes mielodisplásicas</w:t>
            </w:r>
          </w:p>
        </w:tc>
        <w:tc>
          <w:tcPr>
            <w:tcW w:w="3543" w:type="dxa"/>
            <w:tcBorders>
              <w:top w:val="single" w:sz="4" w:space="0" w:color="000000"/>
              <w:bottom w:val="single" w:sz="4" w:space="0" w:color="000000"/>
            </w:tcBorders>
          </w:tcPr>
          <w:p w14:paraId="00FE0368" w14:textId="77777777" w:rsidR="00170F05" w:rsidRDefault="00170F05">
            <w:pPr>
              <w:pStyle w:val="TableParagraph"/>
            </w:pPr>
          </w:p>
          <w:p w14:paraId="00FE0369" w14:textId="77777777" w:rsidR="00170F05" w:rsidRDefault="00170F05">
            <w:pPr>
              <w:pStyle w:val="TableParagraph"/>
            </w:pPr>
          </w:p>
          <w:p w14:paraId="00FE036A" w14:textId="77777777" w:rsidR="00170F05" w:rsidRDefault="00170F05">
            <w:pPr>
              <w:pStyle w:val="TableParagraph"/>
            </w:pPr>
          </w:p>
          <w:p w14:paraId="00FE036B" w14:textId="77777777" w:rsidR="00170F05" w:rsidRDefault="00C66DC1">
            <w:pPr>
              <w:pStyle w:val="TableParagraph"/>
              <w:spacing w:before="177" w:line="309" w:lineRule="auto"/>
              <w:ind w:left="785" w:hanging="269"/>
              <w:rPr>
                <w:sz w:val="20"/>
              </w:rPr>
            </w:pPr>
            <w:r>
              <w:rPr>
                <w:sz w:val="20"/>
              </w:rPr>
              <w:t>Aumento nas contagens de linfócitos e leucócitos</w:t>
            </w:r>
          </w:p>
        </w:tc>
        <w:tc>
          <w:tcPr>
            <w:tcW w:w="3216" w:type="dxa"/>
            <w:tcBorders>
              <w:top w:val="single" w:sz="4" w:space="0" w:color="000000"/>
              <w:bottom w:val="single" w:sz="4" w:space="0" w:color="000000"/>
            </w:tcBorders>
          </w:tcPr>
          <w:p w14:paraId="00FE036C" w14:textId="77777777" w:rsidR="00170F05" w:rsidRDefault="00170F05">
            <w:pPr>
              <w:pStyle w:val="TableParagraph"/>
            </w:pPr>
          </w:p>
          <w:p w14:paraId="00FE036D" w14:textId="77777777" w:rsidR="00170F05" w:rsidRPr="00977364" w:rsidRDefault="00C66DC1">
            <w:pPr>
              <w:pStyle w:val="TableParagraph"/>
              <w:spacing w:before="164" w:line="465" w:lineRule="auto"/>
              <w:ind w:left="723" w:right="853"/>
              <w:jc w:val="center"/>
              <w:rPr>
                <w:sz w:val="20"/>
                <w:lang w:val="en-US"/>
              </w:rPr>
            </w:pPr>
            <w:r w:rsidRPr="00977364">
              <w:rPr>
                <w:sz w:val="20"/>
                <w:lang w:val="en-US"/>
              </w:rPr>
              <w:t>Coulter STKS (42) Coulter STKS</w:t>
            </w:r>
          </w:p>
          <w:p w14:paraId="00FE036E" w14:textId="77777777" w:rsidR="00170F05" w:rsidRPr="00977364" w:rsidRDefault="00C66DC1">
            <w:pPr>
              <w:pStyle w:val="TableParagraph"/>
              <w:spacing w:line="226" w:lineRule="exact"/>
              <w:ind w:left="226" w:right="359"/>
              <w:jc w:val="center"/>
              <w:rPr>
                <w:sz w:val="20"/>
                <w:lang w:val="en-US"/>
              </w:rPr>
            </w:pPr>
            <w:r w:rsidRPr="00977364">
              <w:rPr>
                <w:sz w:val="20"/>
                <w:lang w:val="en-US"/>
              </w:rPr>
              <w:t>Sysmex ME-8000 e NE-8000</w:t>
            </w:r>
          </w:p>
        </w:tc>
      </w:tr>
    </w:tbl>
    <w:p w14:paraId="00FE0370" w14:textId="77777777" w:rsidR="00170F05" w:rsidRPr="00977364" w:rsidRDefault="00170F05">
      <w:pPr>
        <w:spacing w:line="226" w:lineRule="exact"/>
        <w:jc w:val="center"/>
        <w:rPr>
          <w:sz w:val="20"/>
          <w:lang w:val="en-US"/>
        </w:rPr>
        <w:sectPr w:rsidR="00170F05" w:rsidRPr="00977364">
          <w:pgSz w:w="11910" w:h="16840"/>
          <w:pgMar w:top="820" w:right="840" w:bottom="280" w:left="1100" w:header="569" w:footer="0" w:gutter="0"/>
          <w:cols w:space="720"/>
        </w:sectPr>
      </w:pPr>
    </w:p>
    <w:p w14:paraId="00FE0371" w14:textId="77777777" w:rsidR="00170F05" w:rsidRPr="00977364" w:rsidRDefault="00170F05">
      <w:pPr>
        <w:pStyle w:val="Corpodetexto"/>
        <w:rPr>
          <w:sz w:val="20"/>
          <w:lang w:val="en-US"/>
        </w:rPr>
      </w:pPr>
    </w:p>
    <w:p w14:paraId="00FE0372" w14:textId="77777777" w:rsidR="00170F05" w:rsidRPr="00977364" w:rsidRDefault="00170F05">
      <w:pPr>
        <w:pStyle w:val="Corpodetexto"/>
        <w:rPr>
          <w:sz w:val="20"/>
          <w:lang w:val="en-US"/>
        </w:rPr>
      </w:pPr>
    </w:p>
    <w:p w14:paraId="00FE0373" w14:textId="77777777" w:rsidR="00170F05" w:rsidRPr="00977364" w:rsidRDefault="00170F05">
      <w:pPr>
        <w:pStyle w:val="Corpodetexto"/>
        <w:spacing w:before="6" w:after="1"/>
        <w:rPr>
          <w:sz w:val="10"/>
          <w:lang w:val="en-US"/>
        </w:rPr>
      </w:pPr>
    </w:p>
    <w:p w14:paraId="00FE0374" w14:textId="77777777" w:rsidR="00170F05" w:rsidRDefault="00C66DC1">
      <w:pPr>
        <w:pStyle w:val="Corpodetexto"/>
        <w:spacing w:line="20" w:lineRule="exact"/>
        <w:ind w:left="201"/>
        <w:rPr>
          <w:sz w:val="2"/>
        </w:rPr>
      </w:pPr>
      <w:r>
        <w:rPr>
          <w:sz w:val="2"/>
        </w:rPr>
      </w:r>
      <w:r>
        <w:rPr>
          <w:sz w:val="2"/>
        </w:rPr>
        <w:pict w14:anchorId="00FE04AA">
          <v:group id="_x0000_s2050" style="width:482.85pt;height:.5pt;mso-position-horizontal-relative:char;mso-position-vertical-relative:line" coordsize="9657,10">
            <v:line id="_x0000_s2055" style="position:absolute" from="0,5" to="2958,5" strokeweight=".48pt"/>
            <v:rect id="_x0000_s2054" style="position:absolute;left:2958;width:10;height:10" fillcolor="black" stroked="f"/>
            <v:line id="_x0000_s2053" style="position:absolute" from="2968,5" to="6305,5" strokeweight=".48pt"/>
            <v:rect id="_x0000_s2052" style="position:absolute;left:6305;width:10;height:10" fillcolor="black" stroked="f"/>
            <v:line id="_x0000_s2051" style="position:absolute" from="6315,5" to="9657,5" strokeweight=".48pt"/>
            <w10:anchorlock/>
          </v:group>
        </w:pict>
      </w:r>
    </w:p>
    <w:p w14:paraId="00FE0375" w14:textId="77777777" w:rsidR="00170F05" w:rsidRDefault="00170F05">
      <w:pPr>
        <w:pStyle w:val="Corpodetexto"/>
        <w:rPr>
          <w:sz w:val="20"/>
        </w:rPr>
      </w:pPr>
    </w:p>
    <w:p w14:paraId="00FE0376" w14:textId="77777777" w:rsidR="00170F05" w:rsidRDefault="00170F05">
      <w:pPr>
        <w:pStyle w:val="Corpodetexto"/>
        <w:rPr>
          <w:sz w:val="20"/>
        </w:rPr>
      </w:pPr>
    </w:p>
    <w:p w14:paraId="00FE0377" w14:textId="77777777" w:rsidR="00170F05" w:rsidRDefault="00170F05">
      <w:pPr>
        <w:pStyle w:val="Corpodetexto"/>
        <w:spacing w:before="5"/>
        <w:rPr>
          <w:sz w:val="15"/>
        </w:rPr>
      </w:pPr>
    </w:p>
    <w:tbl>
      <w:tblPr>
        <w:tblStyle w:val="TableNormal"/>
        <w:tblW w:w="0" w:type="auto"/>
        <w:tblInd w:w="206" w:type="dxa"/>
        <w:tblLayout w:type="fixed"/>
        <w:tblLook w:val="01E0" w:firstRow="1" w:lastRow="1" w:firstColumn="1" w:lastColumn="1" w:noHBand="0" w:noVBand="0"/>
      </w:tblPr>
      <w:tblGrid>
        <w:gridCol w:w="2939"/>
        <w:gridCol w:w="3576"/>
        <w:gridCol w:w="3149"/>
      </w:tblGrid>
      <w:tr w:rsidR="00170F05" w14:paraId="00FE037B" w14:textId="77777777">
        <w:trPr>
          <w:trHeight w:val="830"/>
        </w:trPr>
        <w:tc>
          <w:tcPr>
            <w:tcW w:w="2939" w:type="dxa"/>
            <w:tcBorders>
              <w:bottom w:val="single" w:sz="4" w:space="0" w:color="000000"/>
            </w:tcBorders>
          </w:tcPr>
          <w:p w14:paraId="00FE0378" w14:textId="77777777" w:rsidR="00170F05" w:rsidRDefault="00C66DC1">
            <w:pPr>
              <w:pStyle w:val="TableParagraph"/>
              <w:spacing w:line="225" w:lineRule="exact"/>
              <w:ind w:left="199" w:right="161"/>
              <w:jc w:val="center"/>
              <w:rPr>
                <w:sz w:val="20"/>
              </w:rPr>
            </w:pPr>
            <w:r>
              <w:rPr>
                <w:sz w:val="20"/>
              </w:rPr>
              <w:t>Parasitos de malária</w:t>
            </w:r>
          </w:p>
        </w:tc>
        <w:tc>
          <w:tcPr>
            <w:tcW w:w="3576" w:type="dxa"/>
            <w:tcBorders>
              <w:bottom w:val="single" w:sz="4" w:space="0" w:color="000000"/>
            </w:tcBorders>
          </w:tcPr>
          <w:p w14:paraId="00FE0379" w14:textId="77777777" w:rsidR="00170F05" w:rsidRDefault="00C66DC1">
            <w:pPr>
              <w:pStyle w:val="TableParagraph"/>
              <w:spacing w:line="225" w:lineRule="exact"/>
              <w:ind w:left="159" w:right="330"/>
              <w:jc w:val="center"/>
              <w:rPr>
                <w:sz w:val="20"/>
              </w:rPr>
            </w:pPr>
            <w:r>
              <w:rPr>
                <w:sz w:val="20"/>
              </w:rPr>
              <w:t>Aumento de linfócitos e monócitos</w:t>
            </w:r>
          </w:p>
        </w:tc>
        <w:tc>
          <w:tcPr>
            <w:tcW w:w="3149" w:type="dxa"/>
            <w:tcBorders>
              <w:bottom w:val="single" w:sz="4" w:space="0" w:color="000000"/>
            </w:tcBorders>
          </w:tcPr>
          <w:p w14:paraId="00FE037A" w14:textId="77777777" w:rsidR="00170F05" w:rsidRDefault="00C66DC1">
            <w:pPr>
              <w:pStyle w:val="TableParagraph"/>
              <w:spacing w:line="225" w:lineRule="exact"/>
              <w:ind w:left="404" w:right="605"/>
              <w:jc w:val="center"/>
              <w:rPr>
                <w:sz w:val="20"/>
              </w:rPr>
            </w:pPr>
            <w:proofErr w:type="spellStart"/>
            <w:r>
              <w:rPr>
                <w:sz w:val="20"/>
              </w:rPr>
              <w:t>Sysmex</w:t>
            </w:r>
            <w:proofErr w:type="spellEnd"/>
            <w:r>
              <w:rPr>
                <w:sz w:val="20"/>
              </w:rPr>
              <w:t xml:space="preserve"> NE-8000</w:t>
            </w:r>
          </w:p>
        </w:tc>
      </w:tr>
      <w:tr w:rsidR="00170F05" w:rsidRPr="00977364" w14:paraId="00FE0385" w14:textId="77777777">
        <w:trPr>
          <w:trHeight w:val="1632"/>
        </w:trPr>
        <w:tc>
          <w:tcPr>
            <w:tcW w:w="2939" w:type="dxa"/>
            <w:tcBorders>
              <w:top w:val="single" w:sz="4" w:space="0" w:color="000000"/>
              <w:bottom w:val="single" w:sz="4" w:space="0" w:color="000000"/>
            </w:tcBorders>
          </w:tcPr>
          <w:p w14:paraId="00FE037C" w14:textId="77777777" w:rsidR="00170F05" w:rsidRDefault="00C66DC1">
            <w:pPr>
              <w:pStyle w:val="TableParagraph"/>
              <w:spacing w:before="196" w:line="314" w:lineRule="auto"/>
              <w:ind w:left="197" w:right="172"/>
              <w:jc w:val="center"/>
              <w:rPr>
                <w:sz w:val="20"/>
              </w:rPr>
            </w:pPr>
            <w:r>
              <w:rPr>
                <w:sz w:val="20"/>
              </w:rPr>
              <w:t>Linfócitos anormais em infecção por HIV</w:t>
            </w:r>
          </w:p>
          <w:p w14:paraId="00FE037D" w14:textId="77777777" w:rsidR="00170F05" w:rsidRDefault="00C66DC1">
            <w:pPr>
              <w:pStyle w:val="TableParagraph"/>
              <w:spacing w:before="141" w:line="316" w:lineRule="auto"/>
              <w:ind w:left="199" w:right="172"/>
              <w:jc w:val="center"/>
              <w:rPr>
                <w:sz w:val="20"/>
              </w:rPr>
            </w:pPr>
            <w:proofErr w:type="spellStart"/>
            <w:r>
              <w:rPr>
                <w:sz w:val="20"/>
              </w:rPr>
              <w:t>Mieoloblastos</w:t>
            </w:r>
            <w:proofErr w:type="spellEnd"/>
            <w:r>
              <w:rPr>
                <w:sz w:val="20"/>
              </w:rPr>
              <w:t xml:space="preserve">, </w:t>
            </w:r>
            <w:proofErr w:type="spellStart"/>
            <w:r>
              <w:rPr>
                <w:sz w:val="20"/>
              </w:rPr>
              <w:t>promielócitos</w:t>
            </w:r>
            <w:proofErr w:type="spellEnd"/>
            <w:r>
              <w:rPr>
                <w:sz w:val="20"/>
              </w:rPr>
              <w:t xml:space="preserve">, </w:t>
            </w:r>
            <w:proofErr w:type="spellStart"/>
            <w:r>
              <w:rPr>
                <w:sz w:val="20"/>
              </w:rPr>
              <w:t>linfoblastos</w:t>
            </w:r>
            <w:proofErr w:type="spellEnd"/>
            <w:r>
              <w:rPr>
                <w:sz w:val="20"/>
              </w:rPr>
              <w:t xml:space="preserve"> e </w:t>
            </w:r>
            <w:proofErr w:type="spellStart"/>
            <w:r>
              <w:rPr>
                <w:sz w:val="20"/>
              </w:rPr>
              <w:t>mieloblastos</w:t>
            </w:r>
            <w:proofErr w:type="spellEnd"/>
          </w:p>
        </w:tc>
        <w:tc>
          <w:tcPr>
            <w:tcW w:w="3576" w:type="dxa"/>
            <w:tcBorders>
              <w:top w:val="single" w:sz="4" w:space="0" w:color="000000"/>
              <w:bottom w:val="single" w:sz="4" w:space="0" w:color="000000"/>
            </w:tcBorders>
          </w:tcPr>
          <w:p w14:paraId="00FE037E" w14:textId="77777777" w:rsidR="00170F05" w:rsidRDefault="00170F05">
            <w:pPr>
              <w:pStyle w:val="TableParagraph"/>
            </w:pPr>
          </w:p>
          <w:p w14:paraId="00FE037F" w14:textId="77777777" w:rsidR="00170F05" w:rsidRDefault="00170F05">
            <w:pPr>
              <w:pStyle w:val="TableParagraph"/>
            </w:pPr>
          </w:p>
          <w:p w14:paraId="00FE0380" w14:textId="77777777" w:rsidR="00170F05" w:rsidRDefault="00170F05">
            <w:pPr>
              <w:pStyle w:val="TableParagraph"/>
              <w:spacing w:before="6"/>
              <w:rPr>
                <w:sz w:val="18"/>
              </w:rPr>
            </w:pPr>
          </w:p>
          <w:p w14:paraId="00FE0381" w14:textId="77777777" w:rsidR="00170F05" w:rsidRDefault="00C66DC1">
            <w:pPr>
              <w:pStyle w:val="TableParagraph"/>
              <w:ind w:left="156" w:right="330"/>
              <w:jc w:val="center"/>
              <w:rPr>
                <w:sz w:val="20"/>
              </w:rPr>
            </w:pPr>
            <w:proofErr w:type="spellStart"/>
            <w:r>
              <w:rPr>
                <w:sz w:val="20"/>
              </w:rPr>
              <w:t>Pseudobasobilia</w:t>
            </w:r>
            <w:proofErr w:type="spellEnd"/>
          </w:p>
        </w:tc>
        <w:tc>
          <w:tcPr>
            <w:tcW w:w="3149" w:type="dxa"/>
            <w:tcBorders>
              <w:top w:val="single" w:sz="4" w:space="0" w:color="000000"/>
              <w:bottom w:val="single" w:sz="4" w:space="0" w:color="000000"/>
            </w:tcBorders>
          </w:tcPr>
          <w:p w14:paraId="00FE0382" w14:textId="77777777" w:rsidR="00170F05" w:rsidRPr="00977364" w:rsidRDefault="00170F05">
            <w:pPr>
              <w:pStyle w:val="TableParagraph"/>
              <w:spacing w:before="8"/>
              <w:rPr>
                <w:sz w:val="23"/>
                <w:lang w:val="en-US"/>
              </w:rPr>
            </w:pPr>
          </w:p>
          <w:p w14:paraId="00FE0383" w14:textId="77777777" w:rsidR="00170F05" w:rsidRPr="00977364" w:rsidRDefault="00C66DC1">
            <w:pPr>
              <w:pStyle w:val="TableParagraph"/>
              <w:spacing w:line="465" w:lineRule="auto"/>
              <w:ind w:left="349" w:right="547" w:hanging="4"/>
              <w:jc w:val="center"/>
              <w:rPr>
                <w:sz w:val="20"/>
                <w:lang w:val="en-US"/>
              </w:rPr>
            </w:pPr>
            <w:r w:rsidRPr="00977364">
              <w:rPr>
                <w:sz w:val="20"/>
                <w:lang w:val="en-US"/>
              </w:rPr>
              <w:t xml:space="preserve">Sysmex NE-8000 (46,47) Coulter STKS </w:t>
            </w:r>
            <w:proofErr w:type="gramStart"/>
            <w:r w:rsidRPr="00977364">
              <w:rPr>
                <w:sz w:val="20"/>
                <w:lang w:val="en-US"/>
              </w:rPr>
              <w:t>( 34</w:t>
            </w:r>
            <w:proofErr w:type="gramEnd"/>
            <w:r w:rsidRPr="00977364">
              <w:rPr>
                <w:sz w:val="20"/>
                <w:lang w:val="en-US"/>
              </w:rPr>
              <w:t>,45,49)</w:t>
            </w:r>
          </w:p>
          <w:p w14:paraId="00FE0384" w14:textId="77777777" w:rsidR="00170F05" w:rsidRPr="00977364" w:rsidRDefault="00C66DC1">
            <w:pPr>
              <w:pStyle w:val="TableParagraph"/>
              <w:spacing w:line="226" w:lineRule="exact"/>
              <w:ind w:left="413" w:right="604"/>
              <w:jc w:val="center"/>
              <w:rPr>
                <w:sz w:val="20"/>
                <w:lang w:val="en-US"/>
              </w:rPr>
            </w:pPr>
            <w:r w:rsidRPr="00977364">
              <w:rPr>
                <w:sz w:val="20"/>
                <w:lang w:val="en-US"/>
              </w:rPr>
              <w:t>Cell-</w:t>
            </w:r>
            <w:proofErr w:type="spellStart"/>
            <w:r w:rsidRPr="00977364">
              <w:rPr>
                <w:sz w:val="20"/>
                <w:lang w:val="en-US"/>
              </w:rPr>
              <w:t>Dyn</w:t>
            </w:r>
            <w:proofErr w:type="spellEnd"/>
            <w:r w:rsidRPr="00977364">
              <w:rPr>
                <w:sz w:val="20"/>
                <w:lang w:val="en-US"/>
              </w:rPr>
              <w:t xml:space="preserve"> 3000 </w:t>
            </w:r>
            <w:proofErr w:type="gramStart"/>
            <w:r w:rsidRPr="00977364">
              <w:rPr>
                <w:sz w:val="20"/>
                <w:lang w:val="en-US"/>
              </w:rPr>
              <w:t>( 48</w:t>
            </w:r>
            <w:proofErr w:type="gramEnd"/>
            <w:r w:rsidRPr="00977364">
              <w:rPr>
                <w:sz w:val="20"/>
                <w:lang w:val="en-US"/>
              </w:rPr>
              <w:t>)</w:t>
            </w:r>
          </w:p>
        </w:tc>
      </w:tr>
      <w:tr w:rsidR="00170F05" w14:paraId="00FE0389" w14:textId="77777777">
        <w:trPr>
          <w:trHeight w:val="589"/>
        </w:trPr>
        <w:tc>
          <w:tcPr>
            <w:tcW w:w="2939" w:type="dxa"/>
            <w:tcBorders>
              <w:top w:val="single" w:sz="4" w:space="0" w:color="000000"/>
              <w:bottom w:val="single" w:sz="4" w:space="0" w:color="000000"/>
            </w:tcBorders>
          </w:tcPr>
          <w:p w14:paraId="00FE0386" w14:textId="77777777" w:rsidR="00170F05" w:rsidRDefault="00C66DC1">
            <w:pPr>
              <w:pStyle w:val="TableParagraph"/>
              <w:spacing w:before="196"/>
              <w:ind w:left="199" w:right="162"/>
              <w:jc w:val="center"/>
              <w:rPr>
                <w:sz w:val="20"/>
              </w:rPr>
            </w:pPr>
            <w:r>
              <w:rPr>
                <w:sz w:val="20"/>
              </w:rPr>
              <w:t>Plaquetas gigantes</w:t>
            </w:r>
          </w:p>
        </w:tc>
        <w:tc>
          <w:tcPr>
            <w:tcW w:w="3576" w:type="dxa"/>
            <w:tcBorders>
              <w:top w:val="single" w:sz="4" w:space="0" w:color="000000"/>
              <w:bottom w:val="single" w:sz="4" w:space="0" w:color="000000"/>
            </w:tcBorders>
          </w:tcPr>
          <w:p w14:paraId="00FE0387" w14:textId="77777777" w:rsidR="00170F05" w:rsidRDefault="00C66DC1">
            <w:pPr>
              <w:pStyle w:val="TableParagraph"/>
              <w:spacing w:before="196"/>
              <w:ind w:left="159" w:right="330"/>
              <w:jc w:val="center"/>
              <w:rPr>
                <w:sz w:val="20"/>
              </w:rPr>
            </w:pPr>
            <w:r>
              <w:rPr>
                <w:sz w:val="20"/>
              </w:rPr>
              <w:t>Aumento dos linfócitos</w:t>
            </w:r>
          </w:p>
        </w:tc>
        <w:tc>
          <w:tcPr>
            <w:tcW w:w="3149" w:type="dxa"/>
            <w:tcBorders>
              <w:top w:val="single" w:sz="4" w:space="0" w:color="000000"/>
              <w:bottom w:val="single" w:sz="4" w:space="0" w:color="000000"/>
            </w:tcBorders>
          </w:tcPr>
          <w:p w14:paraId="00FE0388" w14:textId="77777777" w:rsidR="00170F05" w:rsidRDefault="00C66DC1">
            <w:pPr>
              <w:pStyle w:val="TableParagraph"/>
              <w:spacing w:before="196"/>
              <w:ind w:left="413" w:right="605"/>
              <w:jc w:val="center"/>
              <w:rPr>
                <w:sz w:val="20"/>
              </w:rPr>
            </w:pPr>
            <w:proofErr w:type="spellStart"/>
            <w:r>
              <w:rPr>
                <w:sz w:val="20"/>
              </w:rPr>
              <w:t>Coulter</w:t>
            </w:r>
            <w:proofErr w:type="spellEnd"/>
            <w:r>
              <w:rPr>
                <w:sz w:val="20"/>
              </w:rPr>
              <w:t xml:space="preserve"> STKS</w:t>
            </w:r>
          </w:p>
        </w:tc>
      </w:tr>
      <w:tr w:rsidR="00170F05" w14:paraId="00FE038E" w14:textId="77777777">
        <w:trPr>
          <w:trHeight w:val="888"/>
        </w:trPr>
        <w:tc>
          <w:tcPr>
            <w:tcW w:w="2939" w:type="dxa"/>
            <w:tcBorders>
              <w:top w:val="single" w:sz="4" w:space="0" w:color="000000"/>
              <w:bottom w:val="single" w:sz="4" w:space="0" w:color="000000"/>
            </w:tcBorders>
          </w:tcPr>
          <w:p w14:paraId="00FE038A" w14:textId="77777777" w:rsidR="00170F05" w:rsidRDefault="00C66DC1">
            <w:pPr>
              <w:pStyle w:val="TableParagraph"/>
              <w:spacing w:before="196" w:line="309" w:lineRule="auto"/>
              <w:ind w:left="1068" w:right="382" w:hanging="644"/>
              <w:rPr>
                <w:sz w:val="20"/>
              </w:rPr>
            </w:pPr>
            <w:r>
              <w:rPr>
                <w:sz w:val="20"/>
              </w:rPr>
              <w:t>Pacientes com desvio à esquerda</w:t>
            </w:r>
          </w:p>
        </w:tc>
        <w:tc>
          <w:tcPr>
            <w:tcW w:w="3576" w:type="dxa"/>
            <w:tcBorders>
              <w:top w:val="single" w:sz="4" w:space="0" w:color="000000"/>
              <w:bottom w:val="single" w:sz="4" w:space="0" w:color="000000"/>
            </w:tcBorders>
          </w:tcPr>
          <w:p w14:paraId="00FE038B" w14:textId="77777777" w:rsidR="00170F05" w:rsidRDefault="00C66DC1">
            <w:pPr>
              <w:pStyle w:val="TableParagraph"/>
              <w:spacing w:before="196" w:line="309" w:lineRule="auto"/>
              <w:ind w:left="1049" w:right="434" w:hanging="774"/>
              <w:rPr>
                <w:sz w:val="20"/>
              </w:rPr>
            </w:pPr>
            <w:r>
              <w:rPr>
                <w:sz w:val="20"/>
              </w:rPr>
              <w:t>Aumento dos monócitos e baixa dos neutrófilos</w:t>
            </w:r>
          </w:p>
        </w:tc>
        <w:tc>
          <w:tcPr>
            <w:tcW w:w="3149" w:type="dxa"/>
            <w:tcBorders>
              <w:top w:val="single" w:sz="4" w:space="0" w:color="000000"/>
              <w:bottom w:val="single" w:sz="4" w:space="0" w:color="000000"/>
            </w:tcBorders>
          </w:tcPr>
          <w:p w14:paraId="00FE038C" w14:textId="77777777" w:rsidR="00170F05" w:rsidRDefault="00170F05">
            <w:pPr>
              <w:pStyle w:val="TableParagraph"/>
              <w:rPr>
                <w:sz w:val="30"/>
              </w:rPr>
            </w:pPr>
          </w:p>
          <w:p w14:paraId="00FE038D" w14:textId="77777777" w:rsidR="00170F05" w:rsidRDefault="00C66DC1">
            <w:pPr>
              <w:pStyle w:val="TableParagraph"/>
              <w:ind w:left="413" w:right="605"/>
              <w:jc w:val="center"/>
              <w:rPr>
                <w:sz w:val="20"/>
              </w:rPr>
            </w:pPr>
            <w:proofErr w:type="spellStart"/>
            <w:r>
              <w:rPr>
                <w:sz w:val="20"/>
              </w:rPr>
              <w:t>Cobas</w:t>
            </w:r>
            <w:proofErr w:type="spellEnd"/>
            <w:r>
              <w:rPr>
                <w:sz w:val="20"/>
              </w:rPr>
              <w:t xml:space="preserve"> Argos 5 </w:t>
            </w:r>
            <w:proofErr w:type="spellStart"/>
            <w:r>
              <w:rPr>
                <w:sz w:val="20"/>
              </w:rPr>
              <w:t>Diff</w:t>
            </w:r>
            <w:proofErr w:type="spellEnd"/>
            <w:r>
              <w:rPr>
                <w:sz w:val="20"/>
              </w:rPr>
              <w:t xml:space="preserve"> (33)</w:t>
            </w:r>
          </w:p>
        </w:tc>
      </w:tr>
    </w:tbl>
    <w:p w14:paraId="00FE038F" w14:textId="77777777" w:rsidR="00170F05" w:rsidRDefault="00C66DC1">
      <w:pPr>
        <w:spacing w:line="225" w:lineRule="exact"/>
        <w:ind w:left="316"/>
        <w:rPr>
          <w:sz w:val="20"/>
        </w:rPr>
      </w:pPr>
      <w:r>
        <w:rPr>
          <w:sz w:val="20"/>
        </w:rPr>
        <w:t>Fonte: BAIN, (2007)</w:t>
      </w:r>
    </w:p>
    <w:p w14:paraId="00FE0390" w14:textId="77777777" w:rsidR="00170F05" w:rsidRDefault="00170F05">
      <w:pPr>
        <w:pStyle w:val="Corpodetexto"/>
        <w:rPr>
          <w:sz w:val="22"/>
        </w:rPr>
      </w:pPr>
    </w:p>
    <w:p w14:paraId="00FE0391" w14:textId="77777777" w:rsidR="00170F05" w:rsidRDefault="00170F05">
      <w:pPr>
        <w:pStyle w:val="Corpodetexto"/>
        <w:spacing w:before="7"/>
        <w:rPr>
          <w:sz w:val="23"/>
        </w:rPr>
      </w:pPr>
    </w:p>
    <w:p w14:paraId="00FE0392" w14:textId="77777777" w:rsidR="00170F05" w:rsidRDefault="00C66DC1">
      <w:pPr>
        <w:pStyle w:val="Ttulo2"/>
        <w:numPr>
          <w:ilvl w:val="2"/>
          <w:numId w:val="1"/>
        </w:numPr>
        <w:tabs>
          <w:tab w:val="left" w:pos="921"/>
        </w:tabs>
        <w:ind w:hanging="605"/>
      </w:pPr>
      <w:bookmarkStart w:id="32" w:name="_bookmark40"/>
      <w:bookmarkEnd w:id="32"/>
      <w:r>
        <w:t>Eritrócitos</w:t>
      </w:r>
    </w:p>
    <w:p w14:paraId="00FE0393" w14:textId="77777777" w:rsidR="00170F05" w:rsidRDefault="00C66DC1">
      <w:pPr>
        <w:pStyle w:val="Corpodetexto"/>
        <w:spacing w:before="141" w:line="360" w:lineRule="auto"/>
        <w:ind w:left="316" w:right="288" w:firstLine="706"/>
        <w:jc w:val="both"/>
      </w:pPr>
      <w:r>
        <w:t>A contagem automatizada de hemácia, a partir da década de 1980, passou a ser realizada em aparelhos de múltiplos canais e com módulo fechado. Com isso, tornou- se mais confiável e exata. O coeficiente de variação das contagens em aparelhos calibrados é inf</w:t>
      </w:r>
      <w:r>
        <w:t>erior a 2%. Em todos os aparelhos, são contadas junto às plaquetas, pelo princípio da impedância (FAILACE, 2009). Algumas situações podem levar a contagens espúrias de hemácias, como mostradas no Quadro 2.</w:t>
      </w:r>
    </w:p>
    <w:p w14:paraId="00FE0394" w14:textId="77777777" w:rsidR="00170F05" w:rsidRDefault="00170F05">
      <w:pPr>
        <w:pStyle w:val="Corpodetexto"/>
        <w:spacing w:before="2"/>
        <w:rPr>
          <w:sz w:val="36"/>
        </w:rPr>
      </w:pPr>
    </w:p>
    <w:p w14:paraId="00FE0395" w14:textId="77777777" w:rsidR="00170F05" w:rsidRDefault="00C66DC1">
      <w:pPr>
        <w:pStyle w:val="Corpodetexto"/>
        <w:tabs>
          <w:tab w:val="left" w:pos="8854"/>
        </w:tabs>
        <w:spacing w:before="1"/>
        <w:ind w:left="206"/>
      </w:pPr>
      <w:bookmarkStart w:id="33" w:name="_bookmark41"/>
      <w:bookmarkEnd w:id="33"/>
      <w:r>
        <w:rPr>
          <w:u w:val="single"/>
        </w:rPr>
        <w:t xml:space="preserve"> </w:t>
      </w:r>
      <w:r>
        <w:rPr>
          <w:spacing w:val="-23"/>
          <w:u w:val="single"/>
        </w:rPr>
        <w:t xml:space="preserve"> </w:t>
      </w:r>
      <w:r>
        <w:rPr>
          <w:u w:val="single"/>
        </w:rPr>
        <w:t>Quadro 2 – Causas de contagens espúrias de</w:t>
      </w:r>
      <w:r>
        <w:rPr>
          <w:spacing w:val="-18"/>
          <w:u w:val="single"/>
        </w:rPr>
        <w:t xml:space="preserve"> </w:t>
      </w:r>
      <w:r>
        <w:rPr>
          <w:u w:val="single"/>
        </w:rPr>
        <w:t>hemá</w:t>
      </w:r>
      <w:r>
        <w:rPr>
          <w:u w:val="single"/>
        </w:rPr>
        <w:t>cias</w:t>
      </w:r>
      <w:r>
        <w:rPr>
          <w:u w:val="single"/>
        </w:rPr>
        <w:tab/>
      </w:r>
    </w:p>
    <w:p w14:paraId="00FE0396" w14:textId="77777777" w:rsidR="00170F05" w:rsidRDefault="00170F05">
      <w:pPr>
        <w:pStyle w:val="Corpodetexto"/>
        <w:rPr>
          <w:sz w:val="11"/>
        </w:rPr>
      </w:pPr>
    </w:p>
    <w:tbl>
      <w:tblPr>
        <w:tblStyle w:val="TableNormal"/>
        <w:tblW w:w="0" w:type="auto"/>
        <w:tblInd w:w="199" w:type="dxa"/>
        <w:tblLayout w:type="fixed"/>
        <w:tblLook w:val="01E0" w:firstRow="1" w:lastRow="1" w:firstColumn="1" w:lastColumn="1" w:noHBand="0" w:noVBand="0"/>
      </w:tblPr>
      <w:tblGrid>
        <w:gridCol w:w="4344"/>
        <w:gridCol w:w="4319"/>
      </w:tblGrid>
      <w:tr w:rsidR="00170F05" w14:paraId="00FE0399" w14:textId="77777777">
        <w:trPr>
          <w:trHeight w:val="324"/>
        </w:trPr>
        <w:tc>
          <w:tcPr>
            <w:tcW w:w="4344" w:type="dxa"/>
          </w:tcPr>
          <w:p w14:paraId="00FE0397" w14:textId="77777777" w:rsidR="00170F05" w:rsidRDefault="00C66DC1">
            <w:pPr>
              <w:pStyle w:val="TableParagraph"/>
              <w:spacing w:line="225" w:lineRule="exact"/>
              <w:ind w:left="124"/>
              <w:rPr>
                <w:b/>
                <w:sz w:val="20"/>
              </w:rPr>
            </w:pPr>
            <w:r>
              <w:rPr>
                <w:b/>
                <w:sz w:val="20"/>
              </w:rPr>
              <w:t>Contagens baixas</w:t>
            </w:r>
          </w:p>
        </w:tc>
        <w:tc>
          <w:tcPr>
            <w:tcW w:w="4319" w:type="dxa"/>
          </w:tcPr>
          <w:p w14:paraId="00FE0398" w14:textId="77777777" w:rsidR="00170F05" w:rsidRDefault="00C66DC1">
            <w:pPr>
              <w:pStyle w:val="TableParagraph"/>
              <w:spacing w:line="225" w:lineRule="exact"/>
              <w:ind w:left="107"/>
              <w:rPr>
                <w:sz w:val="20"/>
              </w:rPr>
            </w:pPr>
            <w:r>
              <w:rPr>
                <w:sz w:val="20"/>
              </w:rPr>
              <w:t>Alterações possíveis de outros parâmetros</w:t>
            </w:r>
          </w:p>
        </w:tc>
      </w:tr>
      <w:tr w:rsidR="00170F05" w14:paraId="00FE039D" w14:textId="77777777">
        <w:trPr>
          <w:trHeight w:val="780"/>
        </w:trPr>
        <w:tc>
          <w:tcPr>
            <w:tcW w:w="4344" w:type="dxa"/>
          </w:tcPr>
          <w:p w14:paraId="00FE039A" w14:textId="77777777" w:rsidR="00170F05" w:rsidRDefault="00C66DC1">
            <w:pPr>
              <w:pStyle w:val="TableParagraph"/>
              <w:spacing w:before="93"/>
              <w:ind w:left="124"/>
              <w:rPr>
                <w:sz w:val="20"/>
              </w:rPr>
            </w:pPr>
            <w:proofErr w:type="spellStart"/>
            <w:r>
              <w:rPr>
                <w:sz w:val="20"/>
              </w:rPr>
              <w:t>Crioaglutininas</w:t>
            </w:r>
            <w:proofErr w:type="spellEnd"/>
            <w:r>
              <w:rPr>
                <w:sz w:val="20"/>
              </w:rPr>
              <w:t>, aglutininas quentes</w:t>
            </w:r>
          </w:p>
          <w:p w14:paraId="00FE039B" w14:textId="77777777" w:rsidR="00170F05" w:rsidRDefault="00C66DC1">
            <w:pPr>
              <w:pStyle w:val="TableParagraph"/>
              <w:spacing w:before="131"/>
              <w:ind w:left="124"/>
              <w:rPr>
                <w:sz w:val="20"/>
              </w:rPr>
            </w:pPr>
            <w:r>
              <w:rPr>
                <w:sz w:val="20"/>
              </w:rPr>
              <w:t>(induzem aglutinação dos eritrócitos)</w:t>
            </w:r>
          </w:p>
        </w:tc>
        <w:tc>
          <w:tcPr>
            <w:tcW w:w="4319" w:type="dxa"/>
          </w:tcPr>
          <w:p w14:paraId="00FE039C" w14:textId="77777777" w:rsidR="00170F05" w:rsidRDefault="00C66DC1">
            <w:pPr>
              <w:pStyle w:val="TableParagraph"/>
              <w:spacing w:before="93"/>
              <w:ind w:left="107"/>
              <w:rPr>
                <w:sz w:val="20"/>
              </w:rPr>
            </w:pPr>
            <w:r>
              <w:rPr>
                <w:sz w:val="20"/>
              </w:rPr>
              <w:t>Aumento de VCM e HCM</w:t>
            </w:r>
          </w:p>
        </w:tc>
      </w:tr>
      <w:tr w:rsidR="00170F05" w14:paraId="00FE03A0" w14:textId="77777777">
        <w:trPr>
          <w:trHeight w:val="422"/>
        </w:trPr>
        <w:tc>
          <w:tcPr>
            <w:tcW w:w="4344" w:type="dxa"/>
          </w:tcPr>
          <w:p w14:paraId="00FE039E" w14:textId="77777777" w:rsidR="00170F05" w:rsidRDefault="00C66DC1">
            <w:pPr>
              <w:pStyle w:val="TableParagraph"/>
              <w:spacing w:before="91"/>
              <w:ind w:left="124"/>
              <w:rPr>
                <w:sz w:val="20"/>
              </w:rPr>
            </w:pPr>
            <w:proofErr w:type="spellStart"/>
            <w:r>
              <w:rPr>
                <w:sz w:val="20"/>
              </w:rPr>
              <w:t>Micrócitos</w:t>
            </w:r>
            <w:proofErr w:type="spellEnd"/>
          </w:p>
        </w:tc>
        <w:tc>
          <w:tcPr>
            <w:tcW w:w="4319" w:type="dxa"/>
          </w:tcPr>
          <w:p w14:paraId="00FE039F" w14:textId="77777777" w:rsidR="00170F05" w:rsidRDefault="00C66DC1">
            <w:pPr>
              <w:pStyle w:val="TableParagraph"/>
              <w:spacing w:before="91"/>
              <w:ind w:left="107"/>
              <w:rPr>
                <w:sz w:val="20"/>
              </w:rPr>
            </w:pPr>
            <w:r>
              <w:rPr>
                <w:sz w:val="20"/>
              </w:rPr>
              <w:t>Aumento de plaquetas</w:t>
            </w:r>
          </w:p>
        </w:tc>
      </w:tr>
      <w:tr w:rsidR="00170F05" w14:paraId="00FE03A3" w14:textId="77777777">
        <w:trPr>
          <w:trHeight w:val="720"/>
        </w:trPr>
        <w:tc>
          <w:tcPr>
            <w:tcW w:w="4344" w:type="dxa"/>
          </w:tcPr>
          <w:p w14:paraId="00FE03A1" w14:textId="77777777" w:rsidR="00170F05" w:rsidRDefault="00C66DC1">
            <w:pPr>
              <w:pStyle w:val="TableParagraph"/>
              <w:spacing w:before="96" w:line="312" w:lineRule="auto"/>
              <w:ind w:left="124" w:right="97"/>
              <w:rPr>
                <w:sz w:val="20"/>
              </w:rPr>
            </w:pPr>
            <w:proofErr w:type="spellStart"/>
            <w:r>
              <w:rPr>
                <w:sz w:val="20"/>
              </w:rPr>
              <w:t>Crioglobulinas</w:t>
            </w:r>
            <w:proofErr w:type="spellEnd"/>
            <w:r>
              <w:rPr>
                <w:sz w:val="20"/>
              </w:rPr>
              <w:t xml:space="preserve"> (podem formar um gel, levando à aspiração inadequada).</w:t>
            </w:r>
          </w:p>
        </w:tc>
        <w:tc>
          <w:tcPr>
            <w:tcW w:w="4319" w:type="dxa"/>
          </w:tcPr>
          <w:p w14:paraId="00FE03A2" w14:textId="77777777" w:rsidR="00170F05" w:rsidRDefault="00C66DC1">
            <w:pPr>
              <w:pStyle w:val="TableParagraph"/>
              <w:tabs>
                <w:tab w:val="left" w:pos="1335"/>
                <w:tab w:val="left" w:pos="1791"/>
                <w:tab w:val="left" w:pos="3226"/>
                <w:tab w:val="left" w:pos="3994"/>
              </w:tabs>
              <w:spacing w:before="96" w:line="312" w:lineRule="auto"/>
              <w:ind w:left="107" w:right="100"/>
              <w:rPr>
                <w:sz w:val="20"/>
              </w:rPr>
            </w:pPr>
            <w:r>
              <w:rPr>
                <w:sz w:val="20"/>
              </w:rPr>
              <w:t>Diminuição</w:t>
            </w:r>
            <w:r>
              <w:rPr>
                <w:sz w:val="20"/>
              </w:rPr>
              <w:tab/>
              <w:t>de</w:t>
            </w:r>
            <w:r>
              <w:rPr>
                <w:sz w:val="20"/>
              </w:rPr>
              <w:tab/>
              <w:t>hemoglobina,</w:t>
            </w:r>
            <w:r>
              <w:rPr>
                <w:sz w:val="20"/>
              </w:rPr>
              <w:tab/>
              <w:t>global</w:t>
            </w:r>
            <w:r>
              <w:rPr>
                <w:sz w:val="20"/>
              </w:rPr>
              <w:tab/>
            </w:r>
            <w:r>
              <w:rPr>
                <w:spacing w:val="-10"/>
                <w:sz w:val="20"/>
              </w:rPr>
              <w:t xml:space="preserve">de </w:t>
            </w:r>
            <w:r>
              <w:rPr>
                <w:sz w:val="20"/>
              </w:rPr>
              <w:t>leucócitos e</w:t>
            </w:r>
            <w:r>
              <w:rPr>
                <w:spacing w:val="-3"/>
                <w:sz w:val="20"/>
              </w:rPr>
              <w:t xml:space="preserve"> </w:t>
            </w:r>
            <w:r>
              <w:rPr>
                <w:sz w:val="20"/>
              </w:rPr>
              <w:t>plaquetas.</w:t>
            </w:r>
          </w:p>
        </w:tc>
      </w:tr>
      <w:tr w:rsidR="00170F05" w14:paraId="00FE03A6" w14:textId="77777777">
        <w:trPr>
          <w:trHeight w:val="417"/>
        </w:trPr>
        <w:tc>
          <w:tcPr>
            <w:tcW w:w="4344" w:type="dxa"/>
          </w:tcPr>
          <w:p w14:paraId="00FE03A4" w14:textId="77777777" w:rsidR="00170F05" w:rsidRDefault="00C66DC1">
            <w:pPr>
              <w:pStyle w:val="TableParagraph"/>
              <w:spacing w:before="91"/>
              <w:ind w:left="124"/>
              <w:rPr>
                <w:i/>
                <w:sz w:val="20"/>
              </w:rPr>
            </w:pPr>
            <w:r>
              <w:rPr>
                <w:sz w:val="20"/>
              </w:rPr>
              <w:t xml:space="preserve">Hemólise </w:t>
            </w:r>
            <w:r>
              <w:rPr>
                <w:i/>
                <w:sz w:val="20"/>
              </w:rPr>
              <w:t>in vitro</w:t>
            </w:r>
          </w:p>
        </w:tc>
        <w:tc>
          <w:tcPr>
            <w:tcW w:w="4319" w:type="dxa"/>
          </w:tcPr>
          <w:p w14:paraId="00FE03A5" w14:textId="77777777" w:rsidR="00170F05" w:rsidRDefault="00C66DC1">
            <w:pPr>
              <w:pStyle w:val="TableParagraph"/>
              <w:spacing w:before="91"/>
              <w:ind w:left="107"/>
              <w:rPr>
                <w:sz w:val="20"/>
              </w:rPr>
            </w:pPr>
            <w:r>
              <w:rPr>
                <w:sz w:val="20"/>
              </w:rPr>
              <w:t>Aumento de HCM e hemoglobina</w:t>
            </w:r>
          </w:p>
        </w:tc>
      </w:tr>
      <w:tr w:rsidR="00170F05" w14:paraId="00FE03A9" w14:textId="77777777">
        <w:trPr>
          <w:trHeight w:val="420"/>
        </w:trPr>
        <w:tc>
          <w:tcPr>
            <w:tcW w:w="4344" w:type="dxa"/>
          </w:tcPr>
          <w:p w14:paraId="00FE03A7" w14:textId="77777777" w:rsidR="00170F05" w:rsidRDefault="00C66DC1">
            <w:pPr>
              <w:pStyle w:val="TableParagraph"/>
              <w:spacing w:before="91"/>
              <w:ind w:left="124"/>
              <w:rPr>
                <w:sz w:val="20"/>
              </w:rPr>
            </w:pPr>
            <w:r>
              <w:rPr>
                <w:sz w:val="20"/>
              </w:rPr>
              <w:t>Coagulação</w:t>
            </w:r>
          </w:p>
        </w:tc>
        <w:tc>
          <w:tcPr>
            <w:tcW w:w="4319" w:type="dxa"/>
          </w:tcPr>
          <w:p w14:paraId="00FE03A8" w14:textId="77777777" w:rsidR="00170F05" w:rsidRDefault="00C66DC1">
            <w:pPr>
              <w:pStyle w:val="TableParagraph"/>
              <w:spacing w:before="91"/>
              <w:ind w:left="107"/>
              <w:rPr>
                <w:sz w:val="20"/>
              </w:rPr>
            </w:pPr>
            <w:r>
              <w:rPr>
                <w:sz w:val="20"/>
              </w:rPr>
              <w:t>Todos os parâmetros</w:t>
            </w:r>
          </w:p>
        </w:tc>
      </w:tr>
      <w:tr w:rsidR="00170F05" w14:paraId="00FE03AC" w14:textId="77777777">
        <w:trPr>
          <w:trHeight w:val="420"/>
        </w:trPr>
        <w:tc>
          <w:tcPr>
            <w:tcW w:w="4344" w:type="dxa"/>
          </w:tcPr>
          <w:p w14:paraId="00FE03AA" w14:textId="77777777" w:rsidR="00170F05" w:rsidRDefault="00C66DC1">
            <w:pPr>
              <w:pStyle w:val="TableParagraph"/>
              <w:spacing w:before="93"/>
              <w:ind w:left="124"/>
              <w:rPr>
                <w:b/>
                <w:sz w:val="20"/>
              </w:rPr>
            </w:pPr>
            <w:r>
              <w:rPr>
                <w:b/>
                <w:sz w:val="20"/>
              </w:rPr>
              <w:t>Contagens altas</w:t>
            </w:r>
          </w:p>
        </w:tc>
        <w:tc>
          <w:tcPr>
            <w:tcW w:w="4319" w:type="dxa"/>
          </w:tcPr>
          <w:p w14:paraId="00FE03AB" w14:textId="77777777" w:rsidR="00170F05" w:rsidRDefault="00170F05">
            <w:pPr>
              <w:pStyle w:val="TableParagraph"/>
              <w:rPr>
                <w:rFonts w:ascii="Times New Roman"/>
                <w:sz w:val="20"/>
              </w:rPr>
            </w:pPr>
          </w:p>
        </w:tc>
      </w:tr>
      <w:tr w:rsidR="00170F05" w14:paraId="00FE03AF" w14:textId="77777777">
        <w:trPr>
          <w:trHeight w:val="1022"/>
        </w:trPr>
        <w:tc>
          <w:tcPr>
            <w:tcW w:w="4344" w:type="dxa"/>
          </w:tcPr>
          <w:p w14:paraId="00FE03AD" w14:textId="77777777" w:rsidR="00170F05" w:rsidRDefault="00C66DC1">
            <w:pPr>
              <w:pStyle w:val="TableParagraph"/>
              <w:spacing w:before="96" w:line="312" w:lineRule="auto"/>
              <w:ind w:left="124" w:right="108"/>
              <w:jc w:val="both"/>
              <w:rPr>
                <w:sz w:val="20"/>
              </w:rPr>
            </w:pPr>
            <w:r>
              <w:rPr>
                <w:sz w:val="20"/>
              </w:rPr>
              <w:t xml:space="preserve">Contagens altas de leucócitos (pois na maioria dos aparelhos, leucócitos e hemácias </w:t>
            </w:r>
            <w:r>
              <w:rPr>
                <w:spacing w:val="-3"/>
                <w:sz w:val="20"/>
              </w:rPr>
              <w:t xml:space="preserve">são </w:t>
            </w:r>
            <w:r>
              <w:rPr>
                <w:sz w:val="20"/>
              </w:rPr>
              <w:t>enumerados no mesmo</w:t>
            </w:r>
            <w:r>
              <w:rPr>
                <w:spacing w:val="1"/>
                <w:sz w:val="20"/>
              </w:rPr>
              <w:t xml:space="preserve"> </w:t>
            </w:r>
            <w:r>
              <w:rPr>
                <w:sz w:val="20"/>
              </w:rPr>
              <w:t>canal).</w:t>
            </w:r>
          </w:p>
        </w:tc>
        <w:tc>
          <w:tcPr>
            <w:tcW w:w="4319" w:type="dxa"/>
          </w:tcPr>
          <w:p w14:paraId="00FE03AE" w14:textId="77777777" w:rsidR="00170F05" w:rsidRDefault="00C66DC1">
            <w:pPr>
              <w:pStyle w:val="TableParagraph"/>
              <w:spacing w:before="91"/>
              <w:ind w:left="107"/>
              <w:rPr>
                <w:sz w:val="20"/>
              </w:rPr>
            </w:pPr>
            <w:r>
              <w:rPr>
                <w:sz w:val="20"/>
              </w:rPr>
              <w:t>Aumento de VCM, HCM e hematócrito.</w:t>
            </w:r>
          </w:p>
        </w:tc>
      </w:tr>
      <w:tr w:rsidR="00170F05" w14:paraId="00FE03B2" w14:textId="77777777">
        <w:trPr>
          <w:trHeight w:val="403"/>
        </w:trPr>
        <w:tc>
          <w:tcPr>
            <w:tcW w:w="4344" w:type="dxa"/>
            <w:tcBorders>
              <w:bottom w:val="single" w:sz="4" w:space="0" w:color="000000"/>
            </w:tcBorders>
          </w:tcPr>
          <w:p w14:paraId="00FE03B0" w14:textId="77777777" w:rsidR="00170F05" w:rsidRDefault="00C66DC1">
            <w:pPr>
              <w:pStyle w:val="TableParagraph"/>
              <w:spacing w:before="91"/>
              <w:ind w:left="124"/>
              <w:rPr>
                <w:sz w:val="20"/>
              </w:rPr>
            </w:pPr>
            <w:r>
              <w:rPr>
                <w:sz w:val="20"/>
              </w:rPr>
              <w:t>Plaquetas gigantes</w:t>
            </w:r>
          </w:p>
        </w:tc>
        <w:tc>
          <w:tcPr>
            <w:tcW w:w="4319" w:type="dxa"/>
            <w:tcBorders>
              <w:bottom w:val="single" w:sz="4" w:space="0" w:color="000000"/>
            </w:tcBorders>
          </w:tcPr>
          <w:p w14:paraId="00FE03B1" w14:textId="77777777" w:rsidR="00170F05" w:rsidRDefault="00C66DC1">
            <w:pPr>
              <w:pStyle w:val="TableParagraph"/>
              <w:spacing w:before="91"/>
              <w:ind w:left="107"/>
              <w:rPr>
                <w:sz w:val="20"/>
              </w:rPr>
            </w:pPr>
            <w:r>
              <w:rPr>
                <w:sz w:val="20"/>
              </w:rPr>
              <w:t>Contagem baixa de plaquetas</w:t>
            </w:r>
          </w:p>
        </w:tc>
      </w:tr>
    </w:tbl>
    <w:p w14:paraId="00FE03B3" w14:textId="77777777" w:rsidR="00170F05" w:rsidRDefault="00C66DC1">
      <w:pPr>
        <w:ind w:left="316"/>
        <w:rPr>
          <w:sz w:val="20"/>
        </w:rPr>
      </w:pPr>
      <w:r>
        <w:rPr>
          <w:sz w:val="20"/>
        </w:rPr>
        <w:t xml:space="preserve">Fonte: ZANDECKI et al., </w:t>
      </w:r>
      <w:proofErr w:type="gramStart"/>
      <w:r>
        <w:rPr>
          <w:sz w:val="20"/>
        </w:rPr>
        <w:t>( 2007</w:t>
      </w:r>
      <w:proofErr w:type="gramEnd"/>
    </w:p>
    <w:p w14:paraId="00FE03B4" w14:textId="77777777" w:rsidR="00170F05" w:rsidRDefault="00170F05">
      <w:pPr>
        <w:rPr>
          <w:sz w:val="20"/>
        </w:rPr>
        <w:sectPr w:rsidR="00170F05">
          <w:pgSz w:w="11910" w:h="16840"/>
          <w:pgMar w:top="820" w:right="840" w:bottom="280" w:left="1100" w:header="569" w:footer="0" w:gutter="0"/>
          <w:cols w:space="720"/>
        </w:sectPr>
      </w:pPr>
    </w:p>
    <w:p w14:paraId="00FE03B5" w14:textId="77777777" w:rsidR="00170F05" w:rsidRDefault="00170F05">
      <w:pPr>
        <w:pStyle w:val="Corpodetexto"/>
        <w:rPr>
          <w:sz w:val="20"/>
        </w:rPr>
      </w:pPr>
    </w:p>
    <w:p w14:paraId="00FE03B6" w14:textId="77777777" w:rsidR="00170F05" w:rsidRDefault="00170F05">
      <w:pPr>
        <w:pStyle w:val="Corpodetexto"/>
        <w:rPr>
          <w:sz w:val="20"/>
        </w:rPr>
      </w:pPr>
    </w:p>
    <w:p w14:paraId="00FE03B7" w14:textId="77777777" w:rsidR="00170F05" w:rsidRDefault="00170F05">
      <w:pPr>
        <w:pStyle w:val="Corpodetexto"/>
        <w:rPr>
          <w:sz w:val="20"/>
        </w:rPr>
      </w:pPr>
    </w:p>
    <w:p w14:paraId="00FE03B8" w14:textId="77777777" w:rsidR="00170F05" w:rsidRDefault="00C66DC1">
      <w:pPr>
        <w:pStyle w:val="Corpodetexto"/>
        <w:spacing w:before="233" w:line="362" w:lineRule="auto"/>
        <w:ind w:left="316" w:right="289" w:firstLine="706"/>
        <w:jc w:val="both"/>
      </w:pPr>
      <w:r>
        <w:t>Exemplo de histograma de hemácia é mostrado a seguir na Figura 11 (à esquerda), bem como o filme sanguíneo correspondente (à direita).</w:t>
      </w:r>
    </w:p>
    <w:p w14:paraId="00FE03B9" w14:textId="77777777" w:rsidR="00170F05" w:rsidRDefault="00C66DC1">
      <w:pPr>
        <w:pStyle w:val="Corpodetexto"/>
        <w:ind w:left="1041"/>
        <w:rPr>
          <w:sz w:val="20"/>
        </w:rPr>
      </w:pPr>
      <w:r>
        <w:rPr>
          <w:noProof/>
          <w:sz w:val="20"/>
        </w:rPr>
        <w:drawing>
          <wp:inline distT="0" distB="0" distL="0" distR="0" wp14:anchorId="00FE04AB" wp14:editId="00FE04AC">
            <wp:extent cx="5018991" cy="1865376"/>
            <wp:effectExtent l="0" t="0" r="0" b="0"/>
            <wp:docPr id="1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8.jpeg"/>
                    <pic:cNvPicPr/>
                  </pic:nvPicPr>
                  <pic:blipFill>
                    <a:blip r:embed="rId24" cstate="print"/>
                    <a:stretch>
                      <a:fillRect/>
                    </a:stretch>
                  </pic:blipFill>
                  <pic:spPr>
                    <a:xfrm>
                      <a:off x="0" y="0"/>
                      <a:ext cx="5018991" cy="1865376"/>
                    </a:xfrm>
                    <a:prstGeom prst="rect">
                      <a:avLst/>
                    </a:prstGeom>
                  </pic:spPr>
                </pic:pic>
              </a:graphicData>
            </a:graphic>
          </wp:inline>
        </w:drawing>
      </w:r>
    </w:p>
    <w:p w14:paraId="00FE03BA" w14:textId="77777777" w:rsidR="00170F05" w:rsidRDefault="00C66DC1">
      <w:pPr>
        <w:spacing w:before="107"/>
        <w:ind w:left="1041" w:right="2245"/>
        <w:jc w:val="both"/>
        <w:rPr>
          <w:sz w:val="20"/>
        </w:rPr>
      </w:pPr>
      <w:r>
        <w:rPr>
          <w:sz w:val="20"/>
        </w:rPr>
        <w:t xml:space="preserve">Figura 11 – Histograma de hemácias com filme sanguíneo correspondente. Fonte: SYSMEX, </w:t>
      </w:r>
      <w:proofErr w:type="gramStart"/>
      <w:r>
        <w:rPr>
          <w:sz w:val="20"/>
        </w:rPr>
        <w:t>[ s.d.</w:t>
      </w:r>
      <w:proofErr w:type="gramEnd"/>
      <w:r>
        <w:rPr>
          <w:sz w:val="20"/>
        </w:rPr>
        <w:t>].</w:t>
      </w:r>
    </w:p>
    <w:p w14:paraId="00FE03BB" w14:textId="77777777" w:rsidR="00170F05" w:rsidRDefault="00170F05">
      <w:pPr>
        <w:pStyle w:val="Corpodetexto"/>
        <w:rPr>
          <w:sz w:val="22"/>
        </w:rPr>
      </w:pPr>
    </w:p>
    <w:p w14:paraId="00FE03BC" w14:textId="77777777" w:rsidR="00170F05" w:rsidRDefault="00170F05">
      <w:pPr>
        <w:pStyle w:val="Corpodetexto"/>
        <w:spacing w:before="9"/>
        <w:rPr>
          <w:sz w:val="25"/>
        </w:rPr>
      </w:pPr>
    </w:p>
    <w:p w14:paraId="00FE03BD" w14:textId="77777777" w:rsidR="00170F05" w:rsidRDefault="00C66DC1">
      <w:pPr>
        <w:pStyle w:val="Ttulo2"/>
        <w:numPr>
          <w:ilvl w:val="2"/>
          <w:numId w:val="1"/>
        </w:numPr>
        <w:tabs>
          <w:tab w:val="left" w:pos="921"/>
        </w:tabs>
        <w:ind w:hanging="605"/>
      </w:pPr>
      <w:bookmarkStart w:id="34" w:name="_bookmark42"/>
      <w:bookmarkEnd w:id="34"/>
      <w:r>
        <w:t>Hemoglobina</w:t>
      </w:r>
    </w:p>
    <w:p w14:paraId="00FE03BE" w14:textId="77777777" w:rsidR="00170F05" w:rsidRDefault="00C66DC1">
      <w:pPr>
        <w:pStyle w:val="Corpodetexto"/>
        <w:spacing w:before="142" w:line="360" w:lineRule="auto"/>
        <w:ind w:left="316" w:right="287" w:firstLine="706"/>
        <w:jc w:val="both"/>
      </w:pPr>
      <w:r>
        <w:t>A determinação da concentração de hemoglobina, independente do aparelho, é sempre realizada por espectrofotometria, compartilhando a contagem de le</w:t>
      </w:r>
      <w:r>
        <w:t>ucócitos no mesmo canal. O coeficiente de variação é de 2%. O método manual é o de referência e usado para calibração dos aparelhos.</w:t>
      </w:r>
    </w:p>
    <w:p w14:paraId="00FE03BF" w14:textId="77777777" w:rsidR="00170F05" w:rsidRDefault="00C66DC1">
      <w:pPr>
        <w:pStyle w:val="Corpodetexto"/>
        <w:spacing w:line="362" w:lineRule="auto"/>
        <w:ind w:left="316" w:right="286" w:firstLine="720"/>
        <w:jc w:val="both"/>
      </w:pPr>
      <w:r>
        <w:t>Segundo FAILACE (2009), os erros mais frequentes nas dosagens de hemoglobina são:</w:t>
      </w:r>
    </w:p>
    <w:p w14:paraId="00FE03C0" w14:textId="77777777" w:rsidR="00170F05" w:rsidRDefault="00C66DC1">
      <w:pPr>
        <w:pStyle w:val="Corpodetexto"/>
        <w:spacing w:line="357" w:lineRule="auto"/>
        <w:ind w:left="1036" w:right="285" w:hanging="361"/>
        <w:jc w:val="both"/>
      </w:pPr>
      <w:r>
        <w:rPr>
          <w:noProof/>
          <w:position w:val="-4"/>
        </w:rPr>
        <w:drawing>
          <wp:inline distT="0" distB="0" distL="0" distR="0" wp14:anchorId="00FE04AD" wp14:editId="00FE04AE">
            <wp:extent cx="140208" cy="185927"/>
            <wp:effectExtent l="0" t="0" r="0" b="0"/>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proofErr w:type="spellStart"/>
      <w:r>
        <w:t>lipemia</w:t>
      </w:r>
      <w:proofErr w:type="spellEnd"/>
      <w:r>
        <w:t xml:space="preserve">: o resultado da hemoglobina pode aumentar </w:t>
      </w:r>
      <w:r>
        <w:rPr>
          <w:spacing w:val="2"/>
        </w:rPr>
        <w:t xml:space="preserve">em </w:t>
      </w:r>
      <w:r>
        <w:t>até 1g/</w:t>
      </w:r>
      <w:proofErr w:type="spellStart"/>
      <w:r>
        <w:t>dL</w:t>
      </w:r>
      <w:proofErr w:type="spellEnd"/>
      <w:r>
        <w:t>, sendo que esse erro é observado pelo aumento impossível da CHCM. A substituição do plasma por solução salina corrige essa dosagem</w:t>
      </w:r>
      <w:r>
        <w:rPr>
          <w:spacing w:val="-12"/>
        </w:rPr>
        <w:t xml:space="preserve"> </w:t>
      </w:r>
      <w:r>
        <w:t>espúria;</w:t>
      </w:r>
    </w:p>
    <w:p w14:paraId="00FE03C1" w14:textId="77777777" w:rsidR="00170F05" w:rsidRDefault="00C66DC1">
      <w:pPr>
        <w:pStyle w:val="Corpodetexto"/>
        <w:spacing w:line="357" w:lineRule="auto"/>
        <w:ind w:left="1036" w:right="293" w:hanging="361"/>
        <w:jc w:val="both"/>
      </w:pPr>
      <w:r>
        <w:rPr>
          <w:noProof/>
          <w:position w:val="-4"/>
        </w:rPr>
        <w:drawing>
          <wp:inline distT="0" distB="0" distL="0" distR="0" wp14:anchorId="00FE04AF" wp14:editId="00FE04B0">
            <wp:extent cx="140208" cy="185927"/>
            <wp:effectExtent l="0" t="0" r="0" b="0"/>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global elevada: contagens acima de 100.000/µL pod</w:t>
      </w:r>
      <w:r>
        <w:t xml:space="preserve">em aumentar a dosagem de hemoglobina também </w:t>
      </w:r>
      <w:r>
        <w:rPr>
          <w:spacing w:val="2"/>
        </w:rPr>
        <w:t xml:space="preserve">em </w:t>
      </w:r>
      <w:r>
        <w:t>até 1 g/</w:t>
      </w:r>
      <w:proofErr w:type="spellStart"/>
      <w:r>
        <w:t>dL</w:t>
      </w:r>
      <w:proofErr w:type="spellEnd"/>
      <w:r>
        <w:t>. Nesses casos, para correção dos resultados, é necessário centrifugar a amostra e dosar a hemoglobina no sobrenadante;</w:t>
      </w:r>
    </w:p>
    <w:p w14:paraId="00FE03C2" w14:textId="77777777" w:rsidR="00170F05" w:rsidRDefault="00C66DC1">
      <w:pPr>
        <w:pStyle w:val="Corpodetexto"/>
        <w:spacing w:line="355" w:lineRule="auto"/>
        <w:ind w:left="1036" w:right="295" w:hanging="361"/>
        <w:jc w:val="both"/>
      </w:pPr>
      <w:r>
        <w:rPr>
          <w:noProof/>
          <w:position w:val="-4"/>
        </w:rPr>
        <w:drawing>
          <wp:inline distT="0" distB="0" distL="0" distR="0" wp14:anchorId="00FE04B1" wp14:editId="00FE04B2">
            <wp:extent cx="140208" cy="185928"/>
            <wp:effectExtent l="0" t="0" r="0" b="0"/>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falta de manutenção da câmara de leitura do contador leva a um aumento da h</w:t>
      </w:r>
      <w:r>
        <w:t>emoglobina e da</w:t>
      </w:r>
      <w:r>
        <w:rPr>
          <w:spacing w:val="5"/>
        </w:rPr>
        <w:t xml:space="preserve"> </w:t>
      </w:r>
      <w:r>
        <w:t>CHCM.</w:t>
      </w:r>
    </w:p>
    <w:p w14:paraId="00FE03C3" w14:textId="77777777" w:rsidR="00170F05" w:rsidRDefault="00C66DC1">
      <w:pPr>
        <w:pStyle w:val="Corpodetexto"/>
        <w:spacing w:before="1"/>
        <w:ind w:left="1036"/>
        <w:jc w:val="both"/>
      </w:pPr>
      <w:r>
        <w:t>Outras alterações segundo ZANDECKI et al., (2007) incluem:</w:t>
      </w:r>
    </w:p>
    <w:p w14:paraId="00FE03C4" w14:textId="77777777" w:rsidR="00170F05" w:rsidRDefault="00C66DC1">
      <w:pPr>
        <w:pStyle w:val="Corpodetexto"/>
        <w:spacing w:before="137" w:line="355" w:lineRule="auto"/>
        <w:ind w:left="1036" w:right="291" w:hanging="361"/>
        <w:jc w:val="both"/>
      </w:pPr>
      <w:r>
        <w:rPr>
          <w:noProof/>
          <w:position w:val="-4"/>
        </w:rPr>
        <w:drawing>
          <wp:inline distT="0" distB="0" distL="0" distR="0" wp14:anchorId="00FE04B3" wp14:editId="00FE04B4">
            <wp:extent cx="140208" cy="185927"/>
            <wp:effectExtent l="0" t="0" r="0" b="0"/>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 xml:space="preserve">presença de imunoglobulinas e </w:t>
      </w:r>
      <w:proofErr w:type="spellStart"/>
      <w:r>
        <w:t>crioglobulinas</w:t>
      </w:r>
      <w:proofErr w:type="spellEnd"/>
      <w:r>
        <w:t xml:space="preserve"> pode aumentar o teor de hemoglobina </w:t>
      </w:r>
      <w:proofErr w:type="gramStart"/>
      <w:r>
        <w:t>e também</w:t>
      </w:r>
      <w:proofErr w:type="gramEnd"/>
      <w:r>
        <w:t xml:space="preserve"> a contagem global, das plaquetas e da</w:t>
      </w:r>
      <w:r>
        <w:rPr>
          <w:spacing w:val="-13"/>
        </w:rPr>
        <w:t xml:space="preserve"> </w:t>
      </w:r>
      <w:r>
        <w:t>HCM;</w:t>
      </w:r>
    </w:p>
    <w:p w14:paraId="00FE03C5" w14:textId="77777777" w:rsidR="00170F05" w:rsidRDefault="00C66DC1">
      <w:pPr>
        <w:pStyle w:val="Corpodetexto"/>
        <w:spacing w:before="3" w:line="355" w:lineRule="auto"/>
        <w:ind w:left="1036" w:right="297" w:hanging="361"/>
        <w:jc w:val="both"/>
      </w:pPr>
      <w:r>
        <w:rPr>
          <w:noProof/>
          <w:position w:val="-4"/>
        </w:rPr>
        <w:drawing>
          <wp:inline distT="0" distB="0" distL="0" distR="0" wp14:anchorId="00FE04B5" wp14:editId="00FE04B6">
            <wp:extent cx="140208" cy="185928"/>
            <wp:effectExtent l="0" t="0" r="0" b="0"/>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 xml:space="preserve">hemólise </w:t>
      </w:r>
      <w:r>
        <w:rPr>
          <w:i/>
          <w:spacing w:val="-3"/>
        </w:rPr>
        <w:t xml:space="preserve">in </w:t>
      </w:r>
      <w:r>
        <w:rPr>
          <w:i/>
        </w:rPr>
        <w:t xml:space="preserve">vitro </w:t>
      </w:r>
      <w:r>
        <w:t>e teor de bilirrubinas acima de 300 mg/L levam ao aumento de hemoglobina e da</w:t>
      </w:r>
      <w:r>
        <w:rPr>
          <w:spacing w:val="5"/>
        </w:rPr>
        <w:t xml:space="preserve"> </w:t>
      </w:r>
      <w:r>
        <w:t>HCM;</w:t>
      </w:r>
    </w:p>
    <w:p w14:paraId="00FE03C6" w14:textId="77777777" w:rsidR="00170F05" w:rsidRDefault="00170F05">
      <w:pPr>
        <w:spacing w:line="355" w:lineRule="auto"/>
        <w:jc w:val="both"/>
        <w:sectPr w:rsidR="00170F05">
          <w:pgSz w:w="11910" w:h="16840"/>
          <w:pgMar w:top="820" w:right="840" w:bottom="280" w:left="1100" w:header="569" w:footer="0" w:gutter="0"/>
          <w:cols w:space="720"/>
        </w:sectPr>
      </w:pPr>
    </w:p>
    <w:p w14:paraId="00FE03C7" w14:textId="77777777" w:rsidR="00170F05" w:rsidRDefault="00170F05">
      <w:pPr>
        <w:pStyle w:val="Corpodetexto"/>
        <w:rPr>
          <w:sz w:val="20"/>
        </w:rPr>
      </w:pPr>
    </w:p>
    <w:p w14:paraId="00FE03C8" w14:textId="77777777" w:rsidR="00170F05" w:rsidRDefault="00170F05">
      <w:pPr>
        <w:pStyle w:val="Corpodetexto"/>
        <w:spacing w:before="5"/>
        <w:rPr>
          <w:sz w:val="23"/>
        </w:rPr>
      </w:pPr>
    </w:p>
    <w:p w14:paraId="00FE03C9" w14:textId="77777777" w:rsidR="00170F05" w:rsidRDefault="00C66DC1">
      <w:pPr>
        <w:pStyle w:val="Corpodetexto"/>
        <w:spacing w:before="78" w:line="360" w:lineRule="auto"/>
        <w:ind w:left="1036" w:right="293" w:hanging="361"/>
        <w:jc w:val="both"/>
      </w:pPr>
      <w:r>
        <w:rPr>
          <w:noProof/>
          <w:position w:val="-4"/>
        </w:rPr>
        <w:drawing>
          <wp:inline distT="0" distB="0" distL="0" distR="0" wp14:anchorId="00FE04B7" wp14:editId="00FE04B8">
            <wp:extent cx="140208" cy="185927"/>
            <wp:effectExtent l="0" t="0" r="0" b="0"/>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 xml:space="preserve">dosagens baixas espúrias de hemoglobina são observadas sempre que ocorrem erros pré-analíticos, como coagulação da amostra, punção venosa próximo a acesso ou preenchimento do tubo de coleta acima do limite estipulado, dificultando a </w:t>
      </w:r>
      <w:proofErr w:type="spellStart"/>
      <w:r>
        <w:t>homogeinização</w:t>
      </w:r>
      <w:proofErr w:type="spellEnd"/>
      <w:r>
        <w:t xml:space="preserve"> da</w:t>
      </w:r>
      <w:r>
        <w:rPr>
          <w:spacing w:val="-9"/>
        </w:rPr>
        <w:t xml:space="preserve"> </w:t>
      </w:r>
      <w:r>
        <w:t>amostra.</w:t>
      </w:r>
    </w:p>
    <w:p w14:paraId="00FE03CA" w14:textId="77777777" w:rsidR="00170F05" w:rsidRDefault="00170F05">
      <w:pPr>
        <w:pStyle w:val="Corpodetexto"/>
        <w:rPr>
          <w:sz w:val="27"/>
        </w:rPr>
      </w:pPr>
    </w:p>
    <w:p w14:paraId="00FE03CB" w14:textId="77777777" w:rsidR="00170F05" w:rsidRDefault="00C66DC1">
      <w:pPr>
        <w:pStyle w:val="Ttulo2"/>
        <w:numPr>
          <w:ilvl w:val="2"/>
          <w:numId w:val="1"/>
        </w:numPr>
        <w:tabs>
          <w:tab w:val="left" w:pos="921"/>
        </w:tabs>
        <w:spacing w:before="92"/>
        <w:ind w:hanging="605"/>
      </w:pPr>
      <w:bookmarkStart w:id="35" w:name="_bookmark43"/>
      <w:bookmarkEnd w:id="35"/>
      <w:r>
        <w:t>Hematócrito</w:t>
      </w:r>
    </w:p>
    <w:p w14:paraId="00FE03CC" w14:textId="77777777" w:rsidR="00170F05" w:rsidRDefault="00C66DC1">
      <w:pPr>
        <w:pStyle w:val="Corpodetexto"/>
        <w:spacing w:before="142" w:line="360" w:lineRule="auto"/>
        <w:ind w:left="316" w:right="285" w:firstLine="706"/>
        <w:jc w:val="both"/>
      </w:pPr>
      <w:r>
        <w:t xml:space="preserve">O método manual para determinação do hematócrito é usado como método de referência para calibração de aparelhos automatizados. O hematócrito é usado também como monitoramento da exatidão da dosagem de hemoglobina e como teste </w:t>
      </w:r>
      <w:proofErr w:type="gramStart"/>
      <w:r>
        <w:t>de  tri</w:t>
      </w:r>
      <w:r>
        <w:t>agem</w:t>
      </w:r>
      <w:proofErr w:type="gramEnd"/>
      <w:r>
        <w:t xml:space="preserve"> para anemias (BAIN, 2007). Além disso, sua determinação é importante para avaliar alterações volêmicas por correlacionar bem com a viscosidade</w:t>
      </w:r>
      <w:r>
        <w:rPr>
          <w:spacing w:val="-23"/>
        </w:rPr>
        <w:t xml:space="preserve"> </w:t>
      </w:r>
      <w:r>
        <w:t>sanguínea.</w:t>
      </w:r>
    </w:p>
    <w:p w14:paraId="00FE03CD" w14:textId="77777777" w:rsidR="00170F05" w:rsidRDefault="00C66DC1">
      <w:pPr>
        <w:pStyle w:val="Corpodetexto"/>
        <w:spacing w:line="362" w:lineRule="auto"/>
        <w:ind w:left="316" w:right="301" w:firstLine="706"/>
        <w:jc w:val="both"/>
      </w:pPr>
      <w:r>
        <w:t>Nos contadores automatizados, o hematócrito é um parâmetro calculado, obtido pela multiplicação d</w:t>
      </w:r>
      <w:r>
        <w:t>o número de hemácias pelo volume médio destas.</w:t>
      </w:r>
    </w:p>
    <w:p w14:paraId="00FE03CE" w14:textId="77777777" w:rsidR="00170F05" w:rsidRDefault="00170F05">
      <w:pPr>
        <w:pStyle w:val="Corpodetexto"/>
        <w:spacing w:before="2"/>
        <w:rPr>
          <w:sz w:val="35"/>
        </w:rPr>
      </w:pPr>
    </w:p>
    <w:p w14:paraId="00FE03CF" w14:textId="77777777" w:rsidR="00170F05" w:rsidRDefault="00C66DC1">
      <w:pPr>
        <w:pStyle w:val="Ttulo2"/>
        <w:numPr>
          <w:ilvl w:val="2"/>
          <w:numId w:val="1"/>
        </w:numPr>
        <w:tabs>
          <w:tab w:val="left" w:pos="921"/>
        </w:tabs>
        <w:ind w:hanging="605"/>
      </w:pPr>
      <w:bookmarkStart w:id="36" w:name="_bookmark44"/>
      <w:bookmarkEnd w:id="36"/>
      <w:r>
        <w:t>Índices</w:t>
      </w:r>
      <w:r>
        <w:rPr>
          <w:spacing w:val="-1"/>
        </w:rPr>
        <w:t xml:space="preserve"> </w:t>
      </w:r>
      <w:proofErr w:type="spellStart"/>
      <w:r>
        <w:t>hematimétricos</w:t>
      </w:r>
      <w:proofErr w:type="spellEnd"/>
    </w:p>
    <w:p w14:paraId="00FE03D0" w14:textId="77777777" w:rsidR="00170F05" w:rsidRDefault="00C66DC1">
      <w:pPr>
        <w:pStyle w:val="Corpodetexto"/>
        <w:spacing w:before="142" w:line="362" w:lineRule="auto"/>
        <w:ind w:left="316" w:right="302" w:firstLine="706"/>
        <w:jc w:val="both"/>
      </w:pPr>
      <w:r>
        <w:t xml:space="preserve">A determinação dos índices </w:t>
      </w:r>
      <w:proofErr w:type="spellStart"/>
      <w:r>
        <w:t>hematimétricos</w:t>
      </w:r>
      <w:proofErr w:type="spellEnd"/>
      <w:r>
        <w:t xml:space="preserve"> é importante para o diagnóstico diferencial das anemias.</w:t>
      </w:r>
    </w:p>
    <w:p w14:paraId="00FE03D1" w14:textId="77777777" w:rsidR="00170F05" w:rsidRDefault="00C66DC1">
      <w:pPr>
        <w:pStyle w:val="Corpodetexto"/>
        <w:spacing w:line="289" w:lineRule="exact"/>
        <w:ind w:left="676"/>
        <w:jc w:val="both"/>
      </w:pPr>
      <w:r>
        <w:rPr>
          <w:noProof/>
          <w:position w:val="-4"/>
        </w:rPr>
        <w:drawing>
          <wp:inline distT="0" distB="0" distL="0" distR="0" wp14:anchorId="00FE04B9" wp14:editId="00FE04BA">
            <wp:extent cx="140208" cy="185927"/>
            <wp:effectExtent l="0" t="0" r="0" b="0"/>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VCM: volume corpuscular médio</w:t>
      </w:r>
    </w:p>
    <w:p w14:paraId="00FE03D2" w14:textId="77777777" w:rsidR="00170F05" w:rsidRDefault="00C66DC1">
      <w:pPr>
        <w:pStyle w:val="Corpodetexto"/>
        <w:spacing w:before="140" w:line="360" w:lineRule="auto"/>
        <w:ind w:left="316" w:right="289" w:firstLine="706"/>
        <w:jc w:val="both"/>
      </w:pPr>
      <w:r>
        <w:t xml:space="preserve">Obtido quando os contadores contam e medem os eritrócitos simultaneamente. Sua determinação é precisa, </w:t>
      </w:r>
      <w:r>
        <w:rPr>
          <w:spacing w:val="-3"/>
        </w:rPr>
        <w:t xml:space="preserve">mas </w:t>
      </w:r>
      <w:r>
        <w:t xml:space="preserve">não exata. As causas de erro mais frequentes são encontradas quando há um excesso de EDTA, com desidratação dos eritrócitos e valores baixos de VCM. </w:t>
      </w:r>
      <w:r>
        <w:t xml:space="preserve">A conservação da amostra por tempo prolongado à temperatura ambiente e a presença de </w:t>
      </w:r>
      <w:proofErr w:type="spellStart"/>
      <w:r>
        <w:t>crioaglutininas</w:t>
      </w:r>
      <w:proofErr w:type="spellEnd"/>
      <w:r>
        <w:t xml:space="preserve"> aumentam o VCM. </w:t>
      </w:r>
      <w:r>
        <w:rPr>
          <w:spacing w:val="2"/>
        </w:rPr>
        <w:t xml:space="preserve">Os </w:t>
      </w:r>
      <w:r>
        <w:t>contadores de impedância apresentam erros maiores do que os que contam e medem a dispersão da</w:t>
      </w:r>
      <w:r>
        <w:rPr>
          <w:spacing w:val="-4"/>
        </w:rPr>
        <w:t xml:space="preserve"> </w:t>
      </w:r>
      <w:r>
        <w:t>luz.</w:t>
      </w:r>
    </w:p>
    <w:p w14:paraId="00FE03D3" w14:textId="77777777" w:rsidR="00170F05" w:rsidRDefault="00C66DC1">
      <w:pPr>
        <w:pStyle w:val="Corpodetexto"/>
        <w:spacing w:line="290" w:lineRule="exact"/>
        <w:ind w:left="676"/>
        <w:jc w:val="both"/>
      </w:pPr>
      <w:r>
        <w:rPr>
          <w:noProof/>
          <w:position w:val="-4"/>
        </w:rPr>
        <w:drawing>
          <wp:inline distT="0" distB="0" distL="0" distR="0" wp14:anchorId="00FE04BB" wp14:editId="00FE04BC">
            <wp:extent cx="140208" cy="185927"/>
            <wp:effectExtent l="0" t="0" r="0" b="0"/>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7" cstate="print"/>
                    <a:stretch>
                      <a:fillRect/>
                    </a:stretch>
                  </pic:blipFill>
                  <pic:spPr>
                    <a:xfrm>
                      <a:off x="0" y="0"/>
                      <a:ext cx="140208" cy="185927"/>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HCM: hemoglobina corpuscular médi</w:t>
      </w:r>
      <w:r>
        <w:t>a</w:t>
      </w:r>
    </w:p>
    <w:p w14:paraId="00FE03D4" w14:textId="77777777" w:rsidR="00170F05" w:rsidRDefault="00C66DC1">
      <w:pPr>
        <w:pStyle w:val="Corpodetexto"/>
        <w:spacing w:before="140" w:line="360" w:lineRule="auto"/>
        <w:ind w:left="316" w:right="283" w:firstLine="706"/>
        <w:jc w:val="both"/>
      </w:pPr>
      <w:r>
        <w:t xml:space="preserve">É calculada quando se divide a quantidade de hemoglobina pelo número de eritrócitos da amostra. Valores espúrios são consequência de erro nas determinações de hemoglobina, hemácias e VCM. Segundo HOFFMAN (2007), a HCM reflete melhor a </w:t>
      </w:r>
      <w:proofErr w:type="spellStart"/>
      <w:r>
        <w:t>hipocromia</w:t>
      </w:r>
      <w:proofErr w:type="spellEnd"/>
      <w:r>
        <w:t xml:space="preserve"> do que a</w:t>
      </w:r>
      <w:r>
        <w:t xml:space="preserve"> CHCM. É utilizada como parâmetro para definição </w:t>
      </w:r>
      <w:proofErr w:type="gramStart"/>
      <w:r>
        <w:t xml:space="preserve">de  </w:t>
      </w:r>
      <w:proofErr w:type="spellStart"/>
      <w:r>
        <w:t>hipocromia</w:t>
      </w:r>
      <w:proofErr w:type="spellEnd"/>
      <w:proofErr w:type="gramEnd"/>
      <w:r>
        <w:t xml:space="preserve"> em </w:t>
      </w:r>
      <w:r>
        <w:rPr>
          <w:i/>
        </w:rPr>
        <w:t xml:space="preserve">software </w:t>
      </w:r>
      <w:r>
        <w:t xml:space="preserve">de alguns </w:t>
      </w:r>
      <w:proofErr w:type="spellStart"/>
      <w:r>
        <w:t>analizadores</w:t>
      </w:r>
      <w:proofErr w:type="spellEnd"/>
      <w:r>
        <w:t xml:space="preserve"> como os da linha </w:t>
      </w:r>
      <w:proofErr w:type="spellStart"/>
      <w:r>
        <w:t>Coulter</w:t>
      </w:r>
      <w:proofErr w:type="spellEnd"/>
      <w:r>
        <w:t xml:space="preserve"> e </w:t>
      </w:r>
      <w:proofErr w:type="spellStart"/>
      <w:r>
        <w:t>Cell-Dyn</w:t>
      </w:r>
      <w:proofErr w:type="spellEnd"/>
      <w:r>
        <w:t>, o que gera questionamentos de acordo com FAILACE et al.,</w:t>
      </w:r>
      <w:r>
        <w:rPr>
          <w:spacing w:val="-7"/>
        </w:rPr>
        <w:t xml:space="preserve"> </w:t>
      </w:r>
      <w:r>
        <w:t>(2009).</w:t>
      </w:r>
    </w:p>
    <w:p w14:paraId="00FE03D5" w14:textId="77777777" w:rsidR="00170F05" w:rsidRDefault="00C66DC1">
      <w:pPr>
        <w:pStyle w:val="Corpodetexto"/>
        <w:spacing w:line="291" w:lineRule="exact"/>
        <w:ind w:left="676"/>
        <w:jc w:val="both"/>
      </w:pPr>
      <w:r>
        <w:rPr>
          <w:noProof/>
          <w:position w:val="-4"/>
        </w:rPr>
        <w:drawing>
          <wp:inline distT="0" distB="0" distL="0" distR="0" wp14:anchorId="00FE04BD" wp14:editId="00FE04BE">
            <wp:extent cx="140208" cy="185928"/>
            <wp:effectExtent l="0" t="0" r="0" b="0"/>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7" cstate="print"/>
                    <a:stretch>
                      <a:fillRect/>
                    </a:stretch>
                  </pic:blipFill>
                  <pic:spPr>
                    <a:xfrm>
                      <a:off x="0" y="0"/>
                      <a:ext cx="140208" cy="185928"/>
                    </a:xfrm>
                    <a:prstGeom prst="rect">
                      <a:avLst/>
                    </a:prstGeom>
                  </pic:spPr>
                </pic:pic>
              </a:graphicData>
            </a:graphic>
          </wp:inline>
        </w:drawing>
      </w:r>
      <w:r>
        <w:rPr>
          <w:rFonts w:ascii="Times New Roman" w:hAnsi="Times New Roman"/>
          <w:sz w:val="20"/>
        </w:rPr>
        <w:t xml:space="preserve">  </w:t>
      </w:r>
      <w:r>
        <w:rPr>
          <w:rFonts w:ascii="Times New Roman" w:hAnsi="Times New Roman"/>
          <w:spacing w:val="-11"/>
          <w:sz w:val="20"/>
        </w:rPr>
        <w:t xml:space="preserve"> </w:t>
      </w:r>
      <w:r>
        <w:t>CHCM: concentração de hemoglobina corpuscular</w:t>
      </w:r>
      <w:r>
        <w:rPr>
          <w:spacing w:val="-6"/>
        </w:rPr>
        <w:t xml:space="preserve"> </w:t>
      </w:r>
      <w:r>
        <w:t>média</w:t>
      </w:r>
    </w:p>
    <w:p w14:paraId="00FE03D6" w14:textId="77777777" w:rsidR="00170F05" w:rsidRDefault="00C66DC1">
      <w:pPr>
        <w:pStyle w:val="Corpodetexto"/>
        <w:spacing w:before="139"/>
        <w:ind w:left="1022"/>
        <w:jc w:val="both"/>
      </w:pPr>
      <w:r>
        <w:t xml:space="preserve">É calculada dividindo-se o teor de </w:t>
      </w:r>
      <w:proofErr w:type="spellStart"/>
      <w:r>
        <w:t>hemoblobina</w:t>
      </w:r>
      <w:proofErr w:type="spellEnd"/>
      <w:r>
        <w:t xml:space="preserve"> pelo volume </w:t>
      </w:r>
      <w:proofErr w:type="spellStart"/>
      <w:r>
        <w:t>eritróide</w:t>
      </w:r>
      <w:proofErr w:type="spellEnd"/>
      <w:r>
        <w:t xml:space="preserve"> da</w:t>
      </w:r>
    </w:p>
    <w:p w14:paraId="00FE03D7" w14:textId="77777777" w:rsidR="00170F05" w:rsidRDefault="00170F05">
      <w:pPr>
        <w:jc w:val="both"/>
        <w:sectPr w:rsidR="00170F05">
          <w:pgSz w:w="11910" w:h="16840"/>
          <w:pgMar w:top="820" w:right="840" w:bottom="280" w:left="1100" w:header="569" w:footer="0" w:gutter="0"/>
          <w:cols w:space="720"/>
        </w:sectPr>
      </w:pPr>
    </w:p>
    <w:p w14:paraId="00FE03D8" w14:textId="77777777" w:rsidR="00170F05" w:rsidRDefault="00170F05">
      <w:pPr>
        <w:pStyle w:val="Corpodetexto"/>
        <w:rPr>
          <w:sz w:val="20"/>
        </w:rPr>
      </w:pPr>
    </w:p>
    <w:p w14:paraId="00FE03D9" w14:textId="77777777" w:rsidR="00170F05" w:rsidRDefault="00170F05">
      <w:pPr>
        <w:pStyle w:val="Corpodetexto"/>
        <w:spacing w:before="2"/>
        <w:rPr>
          <w:sz w:val="22"/>
        </w:rPr>
      </w:pPr>
    </w:p>
    <w:p w14:paraId="00FE03DA" w14:textId="77777777" w:rsidR="00170F05" w:rsidRDefault="00C66DC1">
      <w:pPr>
        <w:pStyle w:val="Corpodetexto"/>
        <w:spacing w:before="93" w:line="360" w:lineRule="auto"/>
        <w:ind w:left="316" w:right="286"/>
        <w:jc w:val="both"/>
      </w:pPr>
      <w:r>
        <w:t xml:space="preserve">amostra, sendo uma medida exata. De acordo com BAIN (2007), esse índice altera pouco quando as células se tornam </w:t>
      </w:r>
      <w:proofErr w:type="spellStart"/>
      <w:r>
        <w:t>hipocrômicas</w:t>
      </w:r>
      <w:proofErr w:type="spellEnd"/>
      <w:r>
        <w:t xml:space="preserve">, devido ao aumento espúrio do </w:t>
      </w:r>
      <w:proofErr w:type="spellStart"/>
      <w:r>
        <w:t>microhematócrito</w:t>
      </w:r>
      <w:proofErr w:type="spellEnd"/>
      <w:r>
        <w:t xml:space="preserve">. Nos aparelhos mais modernos, o CHCM diminui com o desenvolvimento da </w:t>
      </w:r>
      <w:proofErr w:type="spellStart"/>
      <w:r>
        <w:t>hipocromia</w:t>
      </w:r>
      <w:proofErr w:type="spellEnd"/>
      <w:r>
        <w:t>.</w:t>
      </w:r>
    </w:p>
    <w:p w14:paraId="00FE03DB" w14:textId="77777777" w:rsidR="00170F05" w:rsidRDefault="00C66DC1">
      <w:pPr>
        <w:pStyle w:val="Corpodetexto"/>
        <w:spacing w:line="360" w:lineRule="auto"/>
        <w:ind w:left="316" w:right="293" w:firstLine="706"/>
        <w:jc w:val="both"/>
      </w:pPr>
      <w:r>
        <w:t>A</w:t>
      </w:r>
      <w:r>
        <w:t xml:space="preserve">s causas de erro são frequentemente falsas, servindo de alerta para possibilidade de um resultado incorreto. A discrepância entre o CHCM e o HCM serve como </w:t>
      </w:r>
      <w:r>
        <w:rPr>
          <w:i/>
        </w:rPr>
        <w:t>flag</w:t>
      </w:r>
      <w:r>
        <w:t>. Um valor falsamente elevado de CHCM pode ser observado em aumento errôneo da hemoglobina, hemó</w:t>
      </w:r>
      <w:r>
        <w:t xml:space="preserve">lise, diminuição do hematócrito e em estados </w:t>
      </w:r>
      <w:proofErr w:type="spellStart"/>
      <w:r>
        <w:t>hipoosmolares</w:t>
      </w:r>
      <w:proofErr w:type="spellEnd"/>
      <w:r>
        <w:t xml:space="preserve">. Contagens falsamente diminuídas são observadas com falso aumento do VCM, contagem espúria de eritrócitos devido à presença de plaquetas gigantes e estados </w:t>
      </w:r>
      <w:proofErr w:type="spellStart"/>
      <w:r>
        <w:t>hiperosmolares</w:t>
      </w:r>
      <w:proofErr w:type="spellEnd"/>
      <w:r>
        <w:t>.</w:t>
      </w:r>
    </w:p>
    <w:p w14:paraId="00FE03DC" w14:textId="77777777" w:rsidR="00170F05" w:rsidRDefault="00C66DC1">
      <w:pPr>
        <w:pStyle w:val="Corpodetexto"/>
        <w:spacing w:before="3" w:line="360" w:lineRule="auto"/>
        <w:ind w:left="316" w:right="288" w:firstLine="706"/>
        <w:jc w:val="both"/>
      </w:pPr>
      <w:r>
        <w:t xml:space="preserve">Os contadores </w:t>
      </w:r>
      <w:proofErr w:type="spellStart"/>
      <w:r>
        <w:t>Advia</w:t>
      </w:r>
      <w:proofErr w:type="spellEnd"/>
      <w:r>
        <w:t>/Bayer</w:t>
      </w:r>
      <w:r>
        <w:t xml:space="preserve">, ao contar e medir os eritrócitos um a um, fazem determinação direta da concentração da </w:t>
      </w:r>
      <w:proofErr w:type="spellStart"/>
      <w:r>
        <w:t>hemoblobina</w:t>
      </w:r>
      <w:proofErr w:type="spellEnd"/>
      <w:r>
        <w:t>. A variação da concentração de hemoglobina expressa pelo CV é o HDW (</w:t>
      </w:r>
      <w:proofErr w:type="spellStart"/>
      <w:r>
        <w:rPr>
          <w:i/>
        </w:rPr>
        <w:t>hemoglobin</w:t>
      </w:r>
      <w:proofErr w:type="spellEnd"/>
      <w:r>
        <w:rPr>
          <w:i/>
        </w:rPr>
        <w:t xml:space="preserve"> </w:t>
      </w:r>
      <w:proofErr w:type="spellStart"/>
      <w:r>
        <w:rPr>
          <w:i/>
        </w:rPr>
        <w:t>distribuition</w:t>
      </w:r>
      <w:proofErr w:type="spellEnd"/>
      <w:r>
        <w:rPr>
          <w:i/>
        </w:rPr>
        <w:t xml:space="preserve"> </w:t>
      </w:r>
      <w:proofErr w:type="spellStart"/>
      <w:r>
        <w:rPr>
          <w:i/>
        </w:rPr>
        <w:t>width</w:t>
      </w:r>
      <w:proofErr w:type="spellEnd"/>
      <w:r>
        <w:rPr>
          <w:i/>
        </w:rPr>
        <w:t>)</w:t>
      </w:r>
      <w:r>
        <w:t xml:space="preserve">. Esse índice está aumentado nas hemoglobinopatias e </w:t>
      </w:r>
      <w:proofErr w:type="spellStart"/>
      <w:r>
        <w:t>dr</w:t>
      </w:r>
      <w:r>
        <w:t>epanocitose</w:t>
      </w:r>
      <w:proofErr w:type="spellEnd"/>
      <w:r>
        <w:t>, indicando uma variabilidade grande nas concentrações de hemoglobinas (FAILACE, 2009).</w:t>
      </w:r>
    </w:p>
    <w:p w14:paraId="00FE03DD" w14:textId="77777777" w:rsidR="00170F05" w:rsidRDefault="00C66DC1">
      <w:pPr>
        <w:pStyle w:val="Corpodetexto"/>
        <w:spacing w:line="360" w:lineRule="auto"/>
        <w:ind w:left="316" w:right="288" w:firstLine="706"/>
        <w:jc w:val="both"/>
      </w:pPr>
      <w:r>
        <w:t xml:space="preserve">Estudos avaliando os índices </w:t>
      </w:r>
      <w:proofErr w:type="spellStart"/>
      <w:r>
        <w:t>hematimétricos</w:t>
      </w:r>
      <w:proofErr w:type="spellEnd"/>
      <w:r>
        <w:t xml:space="preserve"> em contadores </w:t>
      </w:r>
      <w:proofErr w:type="spellStart"/>
      <w:r>
        <w:t>Pentra</w:t>
      </w:r>
      <w:proofErr w:type="spellEnd"/>
      <w:r>
        <w:t xml:space="preserve"> 120 Range e </w:t>
      </w:r>
      <w:proofErr w:type="spellStart"/>
      <w:r>
        <w:t>Sysmex</w:t>
      </w:r>
      <w:proofErr w:type="spellEnd"/>
      <w:r>
        <w:t xml:space="preserve"> XT-2000i, HOFFMAN et al</w:t>
      </w:r>
      <w:r>
        <w:rPr>
          <w:i/>
        </w:rPr>
        <w:t xml:space="preserve">. </w:t>
      </w:r>
      <w:r>
        <w:t>(2007) sugerem diminuição da sensibilidade dos a</w:t>
      </w:r>
      <w:r>
        <w:t xml:space="preserve">parelhos em amostras com </w:t>
      </w:r>
      <w:proofErr w:type="spellStart"/>
      <w:r>
        <w:t>macrocitose</w:t>
      </w:r>
      <w:proofErr w:type="spellEnd"/>
      <w:r>
        <w:t xml:space="preserve"> e </w:t>
      </w:r>
      <w:proofErr w:type="spellStart"/>
      <w:r>
        <w:t>microcitose</w:t>
      </w:r>
      <w:proofErr w:type="spellEnd"/>
      <w:r>
        <w:t xml:space="preserve">. A comparação dos valores de HCM e CHCM com a avaliação de microscopia das </w:t>
      </w:r>
      <w:r>
        <w:rPr>
          <w:spacing w:val="-2"/>
        </w:rPr>
        <w:t xml:space="preserve">mesmas </w:t>
      </w:r>
      <w:r>
        <w:t xml:space="preserve">amostras mostrou ser o HCM mais compatível. Para o contador </w:t>
      </w:r>
      <w:proofErr w:type="spellStart"/>
      <w:r>
        <w:t>Sysmex</w:t>
      </w:r>
      <w:proofErr w:type="spellEnd"/>
      <w:r>
        <w:t xml:space="preserve"> XT-2000i, o HCM é o melhor indicador de </w:t>
      </w:r>
      <w:proofErr w:type="spellStart"/>
      <w:r>
        <w:t>hipocromia</w:t>
      </w:r>
      <w:proofErr w:type="spellEnd"/>
      <w:r>
        <w:t xml:space="preserve"> e CHC</w:t>
      </w:r>
      <w:r>
        <w:t xml:space="preserve">M é compatível apenas com o Pentra120 Range. Esses resultados mostram a necessidade do conhecimento do aparelho utilizado, da implantação do controle </w:t>
      </w:r>
      <w:r>
        <w:rPr>
          <w:spacing w:val="3"/>
        </w:rPr>
        <w:t xml:space="preserve">de </w:t>
      </w:r>
      <w:r>
        <w:t>qualidade, com análise criteriosa dos resultados e avaliações morfológicas por microscopia dos resultad</w:t>
      </w:r>
      <w:r>
        <w:t>os fora da faixa de</w:t>
      </w:r>
      <w:r>
        <w:rPr>
          <w:spacing w:val="-27"/>
        </w:rPr>
        <w:t xml:space="preserve"> </w:t>
      </w:r>
      <w:r>
        <w:t>referência.</w:t>
      </w:r>
    </w:p>
    <w:p w14:paraId="00FE03DE" w14:textId="77777777" w:rsidR="00170F05" w:rsidRPr="00977364" w:rsidRDefault="00C66DC1">
      <w:pPr>
        <w:pStyle w:val="Corpodetexto"/>
        <w:spacing w:line="292" w:lineRule="exact"/>
        <w:ind w:left="676"/>
        <w:jc w:val="both"/>
        <w:rPr>
          <w:lang w:val="en-US"/>
        </w:rPr>
      </w:pPr>
      <w:r>
        <w:rPr>
          <w:noProof/>
          <w:position w:val="-4"/>
        </w:rPr>
        <w:drawing>
          <wp:inline distT="0" distB="0" distL="0" distR="0" wp14:anchorId="00FE04BF" wp14:editId="00FE04C0">
            <wp:extent cx="140208" cy="185927"/>
            <wp:effectExtent l="0" t="0" r="0" b="0"/>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7" cstate="print"/>
                    <a:stretch>
                      <a:fillRect/>
                    </a:stretch>
                  </pic:blipFill>
                  <pic:spPr>
                    <a:xfrm>
                      <a:off x="0" y="0"/>
                      <a:ext cx="140208" cy="185927"/>
                    </a:xfrm>
                    <a:prstGeom prst="rect">
                      <a:avLst/>
                    </a:prstGeom>
                  </pic:spPr>
                </pic:pic>
              </a:graphicData>
            </a:graphic>
          </wp:inline>
        </w:drawing>
      </w:r>
      <w:r w:rsidRPr="00977364">
        <w:rPr>
          <w:rFonts w:ascii="Times New Roman"/>
          <w:sz w:val="20"/>
          <w:lang w:val="en-US"/>
        </w:rPr>
        <w:t xml:space="preserve">  </w:t>
      </w:r>
      <w:r w:rsidRPr="00977364">
        <w:rPr>
          <w:rFonts w:ascii="Times New Roman"/>
          <w:spacing w:val="-11"/>
          <w:sz w:val="20"/>
          <w:lang w:val="en-US"/>
        </w:rPr>
        <w:t xml:space="preserve"> </w:t>
      </w:r>
      <w:r w:rsidRPr="00977364">
        <w:rPr>
          <w:lang w:val="en-US"/>
        </w:rPr>
        <w:t>RDW: red blood cell distribution</w:t>
      </w:r>
      <w:r w:rsidRPr="00977364">
        <w:rPr>
          <w:spacing w:val="-1"/>
          <w:lang w:val="en-US"/>
        </w:rPr>
        <w:t xml:space="preserve"> </w:t>
      </w:r>
      <w:r w:rsidRPr="00977364">
        <w:rPr>
          <w:lang w:val="en-US"/>
        </w:rPr>
        <w:t>width</w:t>
      </w:r>
    </w:p>
    <w:p w14:paraId="00FE03DF" w14:textId="77777777" w:rsidR="00170F05" w:rsidRDefault="00C66DC1">
      <w:pPr>
        <w:pStyle w:val="Corpodetexto"/>
        <w:spacing w:before="139" w:line="360" w:lineRule="auto"/>
        <w:ind w:left="316" w:right="284" w:firstLine="706"/>
        <w:jc w:val="both"/>
      </w:pPr>
      <w:r>
        <w:t xml:space="preserve">O RDW é derivado da análise da amplitude dos pulsos e pode ser expresso como DP ou CV. Deve ser interpretado juntamente com o VCM para classificação das anemias. É </w:t>
      </w:r>
      <w:r>
        <w:rPr>
          <w:spacing w:val="2"/>
        </w:rPr>
        <w:t xml:space="preserve">um </w:t>
      </w:r>
      <w:r>
        <w:t>Importante índ</w:t>
      </w:r>
      <w:r>
        <w:t xml:space="preserve">ice na diferenciação entre pacientes com anemia ferropriva e heterozigotos para alfa e beta talassemias. Porém, mostrou-se pouco sensível, </w:t>
      </w:r>
      <w:r>
        <w:rPr>
          <w:spacing w:val="-3"/>
        </w:rPr>
        <w:t xml:space="preserve">mas </w:t>
      </w:r>
      <w:r>
        <w:t xml:space="preserve">altamente específico para a presença de </w:t>
      </w:r>
      <w:proofErr w:type="spellStart"/>
      <w:r>
        <w:t>anisocitose</w:t>
      </w:r>
      <w:proofErr w:type="spellEnd"/>
      <w:r>
        <w:t xml:space="preserve">. Segundo HOFMANN et al., (2007), as causas de erros são as </w:t>
      </w:r>
      <w:r>
        <w:rPr>
          <w:spacing w:val="-2"/>
        </w:rPr>
        <w:t>me</w:t>
      </w:r>
      <w:r>
        <w:rPr>
          <w:spacing w:val="-2"/>
        </w:rPr>
        <w:t xml:space="preserve">smas </w:t>
      </w:r>
      <w:r>
        <w:t>do</w:t>
      </w:r>
      <w:r>
        <w:rPr>
          <w:spacing w:val="-12"/>
        </w:rPr>
        <w:t xml:space="preserve"> </w:t>
      </w:r>
      <w:r>
        <w:t>VCM.</w:t>
      </w:r>
    </w:p>
    <w:p w14:paraId="00FE03E0" w14:textId="77777777" w:rsidR="00170F05" w:rsidRDefault="00170F05">
      <w:pPr>
        <w:spacing w:line="360" w:lineRule="auto"/>
        <w:jc w:val="both"/>
        <w:sectPr w:rsidR="00170F05">
          <w:pgSz w:w="11910" w:h="16840"/>
          <w:pgMar w:top="820" w:right="840" w:bottom="280" w:left="1100" w:header="569" w:footer="0" w:gutter="0"/>
          <w:cols w:space="720"/>
        </w:sectPr>
      </w:pPr>
    </w:p>
    <w:p w14:paraId="00FE03E1" w14:textId="77777777" w:rsidR="00170F05" w:rsidRDefault="00170F05">
      <w:pPr>
        <w:pStyle w:val="Corpodetexto"/>
        <w:rPr>
          <w:sz w:val="20"/>
        </w:rPr>
      </w:pPr>
    </w:p>
    <w:p w14:paraId="00FE03E2" w14:textId="77777777" w:rsidR="00170F05" w:rsidRDefault="00170F05">
      <w:pPr>
        <w:pStyle w:val="Corpodetexto"/>
        <w:spacing w:before="8"/>
        <w:rPr>
          <w:sz w:val="21"/>
        </w:rPr>
      </w:pPr>
    </w:p>
    <w:p w14:paraId="00FE03E3" w14:textId="77777777" w:rsidR="00170F05" w:rsidRDefault="00C66DC1">
      <w:pPr>
        <w:pStyle w:val="Ttulo1"/>
        <w:numPr>
          <w:ilvl w:val="0"/>
          <w:numId w:val="1"/>
        </w:numPr>
        <w:tabs>
          <w:tab w:val="left" w:pos="548"/>
        </w:tabs>
      </w:pPr>
      <w:bookmarkStart w:id="37" w:name="_bookmark45"/>
      <w:bookmarkEnd w:id="37"/>
      <w:r>
        <w:t>CONSIDERAÇÕES</w:t>
      </w:r>
      <w:r>
        <w:rPr>
          <w:spacing w:val="3"/>
        </w:rPr>
        <w:t xml:space="preserve"> </w:t>
      </w:r>
      <w:r>
        <w:t>FINAIS</w:t>
      </w:r>
    </w:p>
    <w:p w14:paraId="00FE03E4" w14:textId="77777777" w:rsidR="00170F05" w:rsidRDefault="00170F05">
      <w:pPr>
        <w:pStyle w:val="Corpodetexto"/>
        <w:rPr>
          <w:b/>
          <w:sz w:val="30"/>
        </w:rPr>
      </w:pPr>
    </w:p>
    <w:p w14:paraId="00FE03E7" w14:textId="49A311E0" w:rsidR="00170F05" w:rsidRDefault="00CF3335">
      <w:pPr>
        <w:pStyle w:val="Corpodetexto"/>
        <w:spacing w:before="4" w:line="360" w:lineRule="auto"/>
        <w:ind w:left="316" w:right="289" w:firstLine="706"/>
        <w:jc w:val="both"/>
      </w:pPr>
      <w:r>
        <w:t xml:space="preserve">O </w:t>
      </w:r>
      <w:r w:rsidR="00C66DC1">
        <w:t xml:space="preserve">laboratório de </w:t>
      </w:r>
      <w:r w:rsidR="00C66DC1">
        <w:t>hematologia exige cuidados especiais para a garantia e a confiabilidade dos serviços prestados, principalmente com relação à preparação, à coloração e à observação das lâminas. Isso deve ser realizado por um analista clínico de grande experiência, consider</w:t>
      </w:r>
      <w:r w:rsidR="00C66DC1">
        <w:t>ando a diversidade de alterações morfológicas e/ou células que podem estar presentes nas doenças hematológicas e em muitas condições que dão repercussão no sangue periférico.</w:t>
      </w:r>
    </w:p>
    <w:p w14:paraId="00FE03E8" w14:textId="77777777" w:rsidR="00170F05" w:rsidRDefault="00C66DC1">
      <w:pPr>
        <w:pStyle w:val="Corpodetexto"/>
        <w:spacing w:line="360" w:lineRule="auto"/>
        <w:ind w:left="316" w:right="294" w:firstLine="706"/>
        <w:jc w:val="both"/>
      </w:pPr>
      <w:r>
        <w:t>Apesar da maior rapidez dos contadores automáticos, o papel do analista clínico n</w:t>
      </w:r>
      <w:r>
        <w:t xml:space="preserve">a identificação e interpretação de quadros hematológicos característicos </w:t>
      </w:r>
      <w:proofErr w:type="gramStart"/>
      <w:r>
        <w:t xml:space="preserve">de  </w:t>
      </w:r>
      <w:r>
        <w:rPr>
          <w:spacing w:val="-3"/>
        </w:rPr>
        <w:t>uma</w:t>
      </w:r>
      <w:proofErr w:type="gramEnd"/>
      <w:r>
        <w:rPr>
          <w:spacing w:val="-3"/>
        </w:rPr>
        <w:t xml:space="preserve"> </w:t>
      </w:r>
      <w:r>
        <w:t>gama de doenças, bem como de situações de monitoramento de pacientes sob tratamento, é de fundamental importância e insubstituível pelos modernos contadores. Além do mais, o a</w:t>
      </w:r>
      <w:r>
        <w:t>nalista clínico deve ser capaz de avaliar o desempenho seguro e confiável de seu equipamento, valendo-se de padrões e calibradores, bem como é seu papel ser capaz de gerenciar seu próprio negócio com responsabilidade, competência e</w:t>
      </w:r>
      <w:r>
        <w:rPr>
          <w:spacing w:val="-1"/>
        </w:rPr>
        <w:t xml:space="preserve"> </w:t>
      </w:r>
      <w:r>
        <w:t>lucratividade.</w:t>
      </w:r>
    </w:p>
    <w:p w14:paraId="00FE03EA" w14:textId="77777777" w:rsidR="00170F05" w:rsidRDefault="00170F05">
      <w:pPr>
        <w:pStyle w:val="Corpodetexto"/>
        <w:rPr>
          <w:sz w:val="20"/>
        </w:rPr>
      </w:pPr>
    </w:p>
    <w:p w14:paraId="00FE03EB" w14:textId="77777777" w:rsidR="00170F05" w:rsidRDefault="00170F05">
      <w:pPr>
        <w:pStyle w:val="Corpodetexto"/>
        <w:spacing w:before="1"/>
        <w:rPr>
          <w:sz w:val="22"/>
        </w:rPr>
      </w:pPr>
    </w:p>
    <w:p w14:paraId="00FE03EC" w14:textId="77777777" w:rsidR="00170F05" w:rsidRDefault="00C66DC1">
      <w:pPr>
        <w:pStyle w:val="Ttulo1"/>
        <w:spacing w:before="90"/>
        <w:ind w:left="623"/>
      </w:pPr>
      <w:bookmarkStart w:id="38" w:name="_TOC_250000"/>
      <w:bookmarkEnd w:id="38"/>
      <w:r>
        <w:t>REFERÊNCIAS</w:t>
      </w:r>
    </w:p>
    <w:p w14:paraId="00FE03EE" w14:textId="77777777" w:rsidR="00170F05" w:rsidRDefault="00170F05">
      <w:pPr>
        <w:pStyle w:val="Corpodetexto"/>
        <w:spacing w:before="7"/>
        <w:rPr>
          <w:b/>
          <w:sz w:val="34"/>
        </w:rPr>
      </w:pPr>
    </w:p>
    <w:p w14:paraId="00FE03EF" w14:textId="77777777" w:rsidR="00170F05" w:rsidRDefault="00C66DC1">
      <w:pPr>
        <w:ind w:left="609"/>
        <w:rPr>
          <w:sz w:val="24"/>
        </w:rPr>
      </w:pPr>
      <w:r>
        <w:rPr>
          <w:sz w:val="24"/>
        </w:rPr>
        <w:t xml:space="preserve">AGÊNCIA NACIONAL DE VIGILÃNCIA SANITÁRIA-ANVISA. </w:t>
      </w:r>
      <w:r>
        <w:rPr>
          <w:i/>
          <w:sz w:val="24"/>
        </w:rPr>
        <w:t>Resolução n. 302</w:t>
      </w:r>
      <w:r>
        <w:rPr>
          <w:sz w:val="24"/>
        </w:rPr>
        <w:t>, de</w:t>
      </w:r>
    </w:p>
    <w:p w14:paraId="00FE03F0" w14:textId="77777777" w:rsidR="00170F05" w:rsidRDefault="00C66DC1">
      <w:pPr>
        <w:pStyle w:val="Corpodetexto"/>
        <w:spacing w:before="137" w:line="360" w:lineRule="auto"/>
        <w:ind w:left="1036" w:right="296"/>
        <w:jc w:val="both"/>
      </w:pPr>
      <w:r>
        <w:t>13 de outubro de 2005. Dispõe sobre regulamento técnico para funcionamento de laboratórios clínicos. Disponível em: &lt;</w:t>
      </w:r>
      <w:proofErr w:type="spellStart"/>
      <w:r>
        <w:t>htttp</w:t>
      </w:r>
      <w:proofErr w:type="spellEnd"/>
      <w:r>
        <w:t>:/</w:t>
      </w:r>
      <w:hyperlink r:id="rId25">
        <w:r>
          <w:t>/www.a</w:t>
        </w:r>
      </w:hyperlink>
      <w:r>
        <w:t>n</w:t>
      </w:r>
      <w:hyperlink r:id="rId26">
        <w:r>
          <w:t>visa.gov.br</w:t>
        </w:r>
      </w:hyperlink>
      <w:r>
        <w:t>&gt;. Acesso em: mar. 2010.</w:t>
      </w:r>
    </w:p>
    <w:p w14:paraId="00FE03F1" w14:textId="77777777" w:rsidR="00170F05" w:rsidRDefault="00C66DC1">
      <w:pPr>
        <w:pStyle w:val="Corpodetexto"/>
        <w:spacing w:before="2" w:line="360" w:lineRule="auto"/>
        <w:ind w:left="1099" w:right="288" w:hanging="428"/>
        <w:jc w:val="both"/>
        <w:rPr>
          <w:i/>
        </w:rPr>
      </w:pPr>
      <w:r>
        <w:t xml:space="preserve">BACALL, N.S. Analisador automático hematológico e a importância de validar novos equipamentos em laboratórios clínicos. </w:t>
      </w:r>
      <w:proofErr w:type="spellStart"/>
      <w:proofErr w:type="gramStart"/>
      <w:r>
        <w:rPr>
          <w:i/>
        </w:rPr>
        <w:t>Rev</w:t>
      </w:r>
      <w:proofErr w:type="spellEnd"/>
      <w:r>
        <w:rPr>
          <w:i/>
        </w:rPr>
        <w:t>..</w:t>
      </w:r>
      <w:proofErr w:type="spellStart"/>
      <w:r>
        <w:rPr>
          <w:i/>
        </w:rPr>
        <w:t>Bras.Anal.Clin</w:t>
      </w:r>
      <w:proofErr w:type="spellEnd"/>
      <w:proofErr w:type="gramEnd"/>
      <w:r>
        <w:rPr>
          <w:i/>
        </w:rPr>
        <w:t xml:space="preserve">., </w:t>
      </w:r>
      <w:r>
        <w:t xml:space="preserve">v. 31, n. 4, p. 218- 220, </w:t>
      </w:r>
      <w:r>
        <w:rPr>
          <w:i/>
        </w:rPr>
        <w:t>2009.</w:t>
      </w:r>
    </w:p>
    <w:p w14:paraId="00FE03F2" w14:textId="77777777" w:rsidR="00170F05" w:rsidRDefault="00C66DC1">
      <w:pPr>
        <w:spacing w:before="1"/>
        <w:ind w:left="672"/>
        <w:jc w:val="both"/>
        <w:rPr>
          <w:sz w:val="24"/>
        </w:rPr>
      </w:pPr>
      <w:r>
        <w:rPr>
          <w:sz w:val="24"/>
        </w:rPr>
        <w:t xml:space="preserve">BAIN, B.J. </w:t>
      </w:r>
      <w:r>
        <w:rPr>
          <w:i/>
          <w:sz w:val="24"/>
        </w:rPr>
        <w:t xml:space="preserve">Células sanguíneas: </w:t>
      </w:r>
      <w:r>
        <w:rPr>
          <w:sz w:val="24"/>
        </w:rPr>
        <w:t>um guia prático</w:t>
      </w:r>
      <w:r>
        <w:rPr>
          <w:i/>
          <w:sz w:val="24"/>
        </w:rPr>
        <w:t xml:space="preserve">. </w:t>
      </w:r>
      <w:r>
        <w:rPr>
          <w:sz w:val="24"/>
        </w:rPr>
        <w:t>5. ed. Porto Alegre: Artmed, 2007.</w:t>
      </w:r>
    </w:p>
    <w:p w14:paraId="00FE03F3" w14:textId="77777777" w:rsidR="00170F05" w:rsidRDefault="00C66DC1">
      <w:pPr>
        <w:pStyle w:val="Corpodetexto"/>
        <w:spacing w:before="137"/>
        <w:ind w:left="1099"/>
        <w:jc w:val="both"/>
      </w:pPr>
      <w:r>
        <w:t>437 p.</w:t>
      </w:r>
    </w:p>
    <w:p w14:paraId="00FE03F4" w14:textId="77777777" w:rsidR="00170F05" w:rsidRDefault="00C66DC1">
      <w:pPr>
        <w:spacing w:before="137" w:line="360" w:lineRule="auto"/>
        <w:ind w:left="1099" w:right="289" w:hanging="428"/>
        <w:jc w:val="both"/>
        <w:rPr>
          <w:sz w:val="24"/>
        </w:rPr>
      </w:pPr>
      <w:r>
        <w:rPr>
          <w:sz w:val="24"/>
        </w:rPr>
        <w:t xml:space="preserve">BAIN, B.J.; BATES, I. Técnicas hematológicas básicas. In: LEWIS, S. M.; BAIN, B.J.; BATES, I. </w:t>
      </w:r>
      <w:r>
        <w:rPr>
          <w:i/>
          <w:sz w:val="24"/>
        </w:rPr>
        <w:t xml:space="preserve">Hematologia prática de </w:t>
      </w:r>
      <w:proofErr w:type="spellStart"/>
      <w:r>
        <w:rPr>
          <w:i/>
          <w:spacing w:val="-4"/>
          <w:sz w:val="24"/>
        </w:rPr>
        <w:t>Dacie</w:t>
      </w:r>
      <w:proofErr w:type="spellEnd"/>
      <w:r>
        <w:rPr>
          <w:i/>
          <w:spacing w:val="-4"/>
          <w:sz w:val="24"/>
        </w:rPr>
        <w:t xml:space="preserve"> </w:t>
      </w:r>
      <w:r>
        <w:rPr>
          <w:i/>
          <w:sz w:val="24"/>
        </w:rPr>
        <w:t xml:space="preserve">e Lewis. </w:t>
      </w:r>
      <w:r>
        <w:rPr>
          <w:sz w:val="24"/>
        </w:rPr>
        <w:t>9. ed. Porto Alegre: Artmed, 2006. p.</w:t>
      </w:r>
      <w:r>
        <w:rPr>
          <w:spacing w:val="-2"/>
          <w:sz w:val="24"/>
        </w:rPr>
        <w:t xml:space="preserve"> </w:t>
      </w:r>
      <w:r>
        <w:rPr>
          <w:sz w:val="24"/>
        </w:rPr>
        <w:t>33-53.</w:t>
      </w:r>
    </w:p>
    <w:p w14:paraId="00FE03F5" w14:textId="77777777" w:rsidR="00170F05" w:rsidRDefault="00C66DC1">
      <w:pPr>
        <w:spacing w:before="2" w:line="360" w:lineRule="auto"/>
        <w:ind w:left="1219" w:right="291" w:hanging="548"/>
        <w:jc w:val="both"/>
        <w:rPr>
          <w:sz w:val="24"/>
        </w:rPr>
      </w:pPr>
      <w:r>
        <w:rPr>
          <w:sz w:val="24"/>
        </w:rPr>
        <w:t xml:space="preserve">BASQUES, J.C. </w:t>
      </w:r>
      <w:r>
        <w:rPr>
          <w:i/>
          <w:sz w:val="24"/>
        </w:rPr>
        <w:t>Usando controles no laboratório clínico</w:t>
      </w:r>
      <w:r>
        <w:rPr>
          <w:sz w:val="24"/>
        </w:rPr>
        <w:t xml:space="preserve">. </w:t>
      </w:r>
      <w:proofErr w:type="spellStart"/>
      <w:r>
        <w:rPr>
          <w:sz w:val="24"/>
        </w:rPr>
        <w:t>Labtest</w:t>
      </w:r>
      <w:proofErr w:type="spellEnd"/>
      <w:r>
        <w:rPr>
          <w:sz w:val="24"/>
        </w:rPr>
        <w:t xml:space="preserve">, 2009. </w:t>
      </w:r>
      <w:proofErr w:type="spellStart"/>
      <w:r>
        <w:rPr>
          <w:sz w:val="24"/>
        </w:rPr>
        <w:t>Disponivel</w:t>
      </w:r>
      <w:proofErr w:type="spellEnd"/>
      <w:r>
        <w:rPr>
          <w:sz w:val="24"/>
        </w:rPr>
        <w:t xml:space="preserve"> em: &lt;http://</w:t>
      </w:r>
      <w:hyperlink r:id="rId27">
        <w:r>
          <w:rPr>
            <w:sz w:val="24"/>
            <w:u w:val="single"/>
          </w:rPr>
          <w:t>www.labtest.com.br</w:t>
        </w:r>
      </w:hyperlink>
      <w:r>
        <w:rPr>
          <w:sz w:val="24"/>
        </w:rPr>
        <w:t>&gt;. Acesso em: 9 abr. 2010.</w:t>
      </w:r>
    </w:p>
    <w:p w14:paraId="00FE03F6" w14:textId="77777777" w:rsidR="00170F05" w:rsidRDefault="00C66DC1">
      <w:pPr>
        <w:pStyle w:val="Corpodetexto"/>
        <w:spacing w:line="360" w:lineRule="auto"/>
        <w:ind w:left="1219" w:right="288" w:hanging="543"/>
        <w:jc w:val="both"/>
      </w:pPr>
      <w:r>
        <w:t>EDITORA MÉDICA COLOMBIANA. El hemograma electrónico</w:t>
      </w:r>
      <w:r>
        <w:rPr>
          <w:i/>
        </w:rPr>
        <w:t>, Med. Lab.</w:t>
      </w:r>
      <w:r>
        <w:t xml:space="preserve">, v. 5, n. 1, p. 28-41, </w:t>
      </w:r>
      <w:r>
        <w:t>1995.</w:t>
      </w:r>
    </w:p>
    <w:p w14:paraId="00FE03F7" w14:textId="77777777" w:rsidR="00170F05" w:rsidRPr="00977364" w:rsidRDefault="00C66DC1">
      <w:pPr>
        <w:pStyle w:val="Corpodetexto"/>
        <w:ind w:left="672"/>
        <w:jc w:val="both"/>
        <w:rPr>
          <w:lang w:val="en-US"/>
        </w:rPr>
      </w:pPr>
      <w:r w:rsidRPr="00977364">
        <w:rPr>
          <w:lang w:val="en-US"/>
        </w:rPr>
        <w:t xml:space="preserve">BRIGGS, C.; LONGAIR, I.; SLAVIK, M.; THWAITE, K.; MILLS, R.; </w:t>
      </w:r>
      <w:proofErr w:type="gramStart"/>
      <w:r w:rsidRPr="00977364">
        <w:rPr>
          <w:lang w:val="en-US"/>
        </w:rPr>
        <w:t>VTHAVARAJA;</w:t>
      </w:r>
      <w:proofErr w:type="gramEnd"/>
    </w:p>
    <w:p w14:paraId="00FE03F8" w14:textId="77777777" w:rsidR="00170F05" w:rsidRDefault="00C66DC1">
      <w:pPr>
        <w:pStyle w:val="Corpodetexto"/>
        <w:spacing w:before="137" w:line="360" w:lineRule="auto"/>
        <w:ind w:left="1219" w:right="293"/>
        <w:jc w:val="both"/>
      </w:pPr>
      <w:r w:rsidRPr="00977364">
        <w:rPr>
          <w:lang w:val="en-US"/>
        </w:rPr>
        <w:t xml:space="preserve">FOSTER, A.; ROMANIN, D.; MACHIN, S.J. Can automated blood film analysis </w:t>
      </w:r>
      <w:r w:rsidRPr="00977364">
        <w:rPr>
          <w:lang w:val="en-US"/>
        </w:rPr>
        <w:lastRenderedPageBreak/>
        <w:t xml:space="preserve">replace the manual differential. An evaluation of the </w:t>
      </w:r>
      <w:proofErr w:type="spellStart"/>
      <w:r w:rsidRPr="00977364">
        <w:rPr>
          <w:lang w:val="en-US"/>
        </w:rPr>
        <w:t>CellaVision</w:t>
      </w:r>
      <w:proofErr w:type="spellEnd"/>
      <w:r w:rsidRPr="00977364">
        <w:rPr>
          <w:lang w:val="en-US"/>
        </w:rPr>
        <w:t xml:space="preserve"> DM96 automated image analysis system. </w:t>
      </w:r>
      <w:r>
        <w:rPr>
          <w:i/>
        </w:rPr>
        <w:t>I</w:t>
      </w:r>
      <w:r>
        <w:rPr>
          <w:i/>
        </w:rPr>
        <w:t xml:space="preserve">nt. </w:t>
      </w:r>
      <w:proofErr w:type="spellStart"/>
      <w:r>
        <w:rPr>
          <w:i/>
        </w:rPr>
        <w:t>Jl</w:t>
      </w:r>
      <w:proofErr w:type="spellEnd"/>
      <w:r>
        <w:rPr>
          <w:i/>
        </w:rPr>
        <w:t>. Lab. Hem.</w:t>
      </w:r>
      <w:r>
        <w:t>, v. 31, p. 48-60, 2009.</w:t>
      </w:r>
    </w:p>
    <w:p w14:paraId="00FE03F9" w14:textId="77777777" w:rsidR="00170F05" w:rsidRDefault="00C66DC1">
      <w:pPr>
        <w:pStyle w:val="Corpodetexto"/>
        <w:spacing w:before="2" w:line="360" w:lineRule="auto"/>
        <w:ind w:left="1219" w:right="282" w:hanging="548"/>
        <w:jc w:val="both"/>
      </w:pPr>
      <w:r>
        <w:t xml:space="preserve">COMAR, S. R.; DANCHURA, H. S. M.; SILVA, P. H.; Contagem de plaquetas: avaliação de metodologias manuais e aplicação na rotina laboratorial. </w:t>
      </w:r>
      <w:proofErr w:type="spellStart"/>
      <w:proofErr w:type="gramStart"/>
      <w:r>
        <w:rPr>
          <w:i/>
        </w:rPr>
        <w:t>Rev.Bras.Anal.Clin</w:t>
      </w:r>
      <w:proofErr w:type="spellEnd"/>
      <w:proofErr w:type="gramEnd"/>
      <w:r>
        <w:rPr>
          <w:i/>
        </w:rPr>
        <w:t>.</w:t>
      </w:r>
      <w:r>
        <w:t>, v. 31, n. 6, p. 431-436, 2009.</w:t>
      </w:r>
    </w:p>
    <w:p w14:paraId="00FE03FA" w14:textId="77777777" w:rsidR="00170F05" w:rsidRDefault="00C66DC1">
      <w:pPr>
        <w:spacing w:line="362" w:lineRule="auto"/>
        <w:ind w:left="1219" w:right="297" w:hanging="548"/>
        <w:jc w:val="both"/>
        <w:rPr>
          <w:sz w:val="24"/>
        </w:rPr>
      </w:pPr>
      <w:r>
        <w:rPr>
          <w:sz w:val="24"/>
        </w:rPr>
        <w:t xml:space="preserve">FAILACE, R. </w:t>
      </w:r>
      <w:r>
        <w:rPr>
          <w:i/>
          <w:sz w:val="24"/>
        </w:rPr>
        <w:t>Hemograma: manual de interpretação</w:t>
      </w:r>
      <w:r>
        <w:rPr>
          <w:sz w:val="24"/>
        </w:rPr>
        <w:t>. 4.ed. Porto Alegre: Artmed, 2009. 400 p.</w:t>
      </w:r>
    </w:p>
    <w:p w14:paraId="00FE03FB" w14:textId="77777777" w:rsidR="00170F05" w:rsidRDefault="00C66DC1">
      <w:pPr>
        <w:pStyle w:val="Corpodetexto"/>
        <w:spacing w:line="360" w:lineRule="auto"/>
        <w:ind w:left="1219" w:right="298" w:hanging="548"/>
        <w:jc w:val="both"/>
      </w:pPr>
      <w:r>
        <w:t xml:space="preserve">FERREIRA, M.F.R; VIEIRA, L.M.F.; BASTOS, M. Garantia de qualidade do hemograma automatizado. </w:t>
      </w:r>
      <w:proofErr w:type="spellStart"/>
      <w:proofErr w:type="gramStart"/>
      <w:r>
        <w:rPr>
          <w:i/>
        </w:rPr>
        <w:t>Rev.Bras.Anal.Clin</w:t>
      </w:r>
      <w:proofErr w:type="spellEnd"/>
      <w:proofErr w:type="gramEnd"/>
      <w:r>
        <w:rPr>
          <w:i/>
        </w:rPr>
        <w:t>.</w:t>
      </w:r>
      <w:r>
        <w:t xml:space="preserve">, v. 34, n. 3, p. 121-129 </w:t>
      </w:r>
      <w:r>
        <w:rPr>
          <w:i/>
        </w:rPr>
        <w:t xml:space="preserve">, </w:t>
      </w:r>
      <w:r>
        <w:t>2002.</w:t>
      </w:r>
    </w:p>
    <w:p w14:paraId="00FE03FC" w14:textId="77777777" w:rsidR="00170F05" w:rsidRPr="00977364" w:rsidRDefault="00C66DC1">
      <w:pPr>
        <w:pStyle w:val="Corpodetexto"/>
        <w:spacing w:line="360" w:lineRule="auto"/>
        <w:ind w:left="1036" w:right="287" w:hanging="365"/>
        <w:jc w:val="both"/>
        <w:rPr>
          <w:lang w:val="en-US"/>
        </w:rPr>
      </w:pPr>
      <w:r>
        <w:t>HOFFMANN, L.P.; POLLE</w:t>
      </w:r>
      <w:r>
        <w:t xml:space="preserve">TTI, C.; ROEHRIG, K.S.; AZIZ, M.M.; KUNTZ, A.K; DALL CORTIVO, G.; SOUZA, N.M.A.; SANTOS-SILVA, M.C. Avaliação dos índices </w:t>
      </w:r>
      <w:proofErr w:type="spellStart"/>
      <w:r>
        <w:t>hematimétricos</w:t>
      </w:r>
      <w:proofErr w:type="spellEnd"/>
      <w:r>
        <w:t xml:space="preserve"> emitidos pelos contadores hematológicos </w:t>
      </w:r>
      <w:proofErr w:type="spellStart"/>
      <w:r>
        <w:t>Pentra</w:t>
      </w:r>
      <w:proofErr w:type="spellEnd"/>
      <w:r>
        <w:t xml:space="preserve"> 120 Range e </w:t>
      </w:r>
      <w:proofErr w:type="spellStart"/>
      <w:r>
        <w:t>Sysmex</w:t>
      </w:r>
      <w:proofErr w:type="spellEnd"/>
      <w:r>
        <w:t xml:space="preserve"> XT-2000i. </w:t>
      </w:r>
      <w:proofErr w:type="spellStart"/>
      <w:r w:rsidRPr="00977364">
        <w:rPr>
          <w:i/>
          <w:lang w:val="en-US"/>
        </w:rPr>
        <w:t>Rev.Bras.Anal.Clin</w:t>
      </w:r>
      <w:proofErr w:type="spellEnd"/>
      <w:r w:rsidRPr="00977364">
        <w:rPr>
          <w:lang w:val="en-US"/>
        </w:rPr>
        <w:t>.</w:t>
      </w:r>
      <w:r w:rsidRPr="00977364">
        <w:rPr>
          <w:i/>
          <w:lang w:val="en-US"/>
        </w:rPr>
        <w:t xml:space="preserve">, </w:t>
      </w:r>
      <w:r w:rsidRPr="00977364">
        <w:rPr>
          <w:lang w:val="en-US"/>
        </w:rPr>
        <w:t>v. 39. n. 1. p. 25-28.</w:t>
      </w:r>
      <w:r w:rsidRPr="00977364">
        <w:rPr>
          <w:lang w:val="en-US"/>
        </w:rPr>
        <w:t xml:space="preserve"> 2007.</w:t>
      </w:r>
    </w:p>
    <w:p w14:paraId="00FE0400" w14:textId="77777777" w:rsidR="00170F05" w:rsidRPr="00977364" w:rsidRDefault="00C66DC1">
      <w:pPr>
        <w:pStyle w:val="Corpodetexto"/>
        <w:tabs>
          <w:tab w:val="left" w:pos="6289"/>
        </w:tabs>
        <w:spacing w:before="93" w:line="362" w:lineRule="auto"/>
        <w:ind w:left="1099" w:right="289" w:hanging="428"/>
        <w:rPr>
          <w:lang w:val="en-US"/>
        </w:rPr>
      </w:pPr>
      <w:r w:rsidRPr="00977364">
        <w:rPr>
          <w:lang w:val="en-US"/>
        </w:rPr>
        <w:t>KRAUSE,</w:t>
      </w:r>
      <w:r w:rsidRPr="00977364">
        <w:rPr>
          <w:spacing w:val="31"/>
          <w:lang w:val="en-US"/>
        </w:rPr>
        <w:t xml:space="preserve"> </w:t>
      </w:r>
      <w:r w:rsidRPr="00977364">
        <w:rPr>
          <w:lang w:val="en-US"/>
        </w:rPr>
        <w:t>J.R.</w:t>
      </w:r>
      <w:r w:rsidRPr="00977364">
        <w:rPr>
          <w:spacing w:val="32"/>
          <w:lang w:val="en-US"/>
        </w:rPr>
        <w:t xml:space="preserve"> </w:t>
      </w:r>
      <w:r w:rsidRPr="00977364">
        <w:rPr>
          <w:lang w:val="en-US"/>
        </w:rPr>
        <w:t>Quality</w:t>
      </w:r>
      <w:r w:rsidRPr="00977364">
        <w:rPr>
          <w:spacing w:val="27"/>
          <w:lang w:val="en-US"/>
        </w:rPr>
        <w:t xml:space="preserve"> </w:t>
      </w:r>
      <w:r w:rsidRPr="00977364">
        <w:rPr>
          <w:lang w:val="en-US"/>
        </w:rPr>
        <w:t>assurance.</w:t>
      </w:r>
      <w:r w:rsidRPr="00977364">
        <w:rPr>
          <w:spacing w:val="32"/>
          <w:lang w:val="en-US"/>
        </w:rPr>
        <w:t xml:space="preserve"> </w:t>
      </w:r>
      <w:r w:rsidRPr="00977364">
        <w:rPr>
          <w:lang w:val="en-US"/>
        </w:rPr>
        <w:t>In:</w:t>
      </w:r>
      <w:r w:rsidRPr="00977364">
        <w:rPr>
          <w:spacing w:val="32"/>
          <w:lang w:val="en-US"/>
        </w:rPr>
        <w:t xml:space="preserve"> </w:t>
      </w:r>
      <w:r w:rsidRPr="00977364">
        <w:rPr>
          <w:lang w:val="en-US"/>
        </w:rPr>
        <w:t>RODAK,</w:t>
      </w:r>
      <w:r w:rsidRPr="00977364">
        <w:rPr>
          <w:spacing w:val="31"/>
          <w:lang w:val="en-US"/>
        </w:rPr>
        <w:t xml:space="preserve"> </w:t>
      </w:r>
      <w:r w:rsidRPr="00977364">
        <w:rPr>
          <w:lang w:val="en-US"/>
        </w:rPr>
        <w:t>B.</w:t>
      </w:r>
      <w:r w:rsidRPr="00977364">
        <w:rPr>
          <w:lang w:val="en-US"/>
        </w:rPr>
        <w:tab/>
      </w:r>
      <w:proofErr w:type="gramStart"/>
      <w:r w:rsidRPr="00977364">
        <w:rPr>
          <w:i/>
          <w:lang w:val="en-US"/>
        </w:rPr>
        <w:t xml:space="preserve">Hematology </w:t>
      </w:r>
      <w:r w:rsidRPr="00977364">
        <w:rPr>
          <w:lang w:val="en-US"/>
        </w:rPr>
        <w:t>:</w:t>
      </w:r>
      <w:proofErr w:type="gramEnd"/>
      <w:r w:rsidRPr="00977364">
        <w:rPr>
          <w:lang w:val="en-US"/>
        </w:rPr>
        <w:t xml:space="preserve"> clinical principles and applications. 2. ed. Philadelphia: W.B. Saunders Company, 2002. p.</w:t>
      </w:r>
      <w:r w:rsidRPr="00977364">
        <w:rPr>
          <w:spacing w:val="-20"/>
          <w:lang w:val="en-US"/>
        </w:rPr>
        <w:t xml:space="preserve"> </w:t>
      </w:r>
      <w:r w:rsidRPr="00977364">
        <w:rPr>
          <w:lang w:val="en-US"/>
        </w:rPr>
        <w:t>41-51.</w:t>
      </w:r>
    </w:p>
    <w:p w14:paraId="00FE0401" w14:textId="77777777" w:rsidR="00170F05" w:rsidRPr="00977364" w:rsidRDefault="00C66DC1">
      <w:pPr>
        <w:pStyle w:val="Corpodetexto"/>
        <w:spacing w:line="273" w:lineRule="exact"/>
        <w:ind w:right="296"/>
        <w:jc w:val="right"/>
        <w:rPr>
          <w:lang w:val="en-US"/>
        </w:rPr>
      </w:pPr>
      <w:r w:rsidRPr="00977364">
        <w:rPr>
          <w:lang w:val="en-US"/>
        </w:rPr>
        <w:t>LASMAR, M.C.; SOUTO, J.B.G.; FERREIRA, M. F. R.; DUSSE, L.M.S; VIANA,</w:t>
      </w:r>
      <w:r w:rsidRPr="00977364">
        <w:rPr>
          <w:spacing w:val="-21"/>
          <w:lang w:val="en-US"/>
        </w:rPr>
        <w:t xml:space="preserve"> </w:t>
      </w:r>
      <w:proofErr w:type="gramStart"/>
      <w:r w:rsidRPr="00977364">
        <w:rPr>
          <w:lang w:val="en-US"/>
        </w:rPr>
        <w:t>L.</w:t>
      </w:r>
      <w:r w:rsidRPr="00977364">
        <w:rPr>
          <w:lang w:val="en-US"/>
        </w:rPr>
        <w:t>M.;</w:t>
      </w:r>
      <w:proofErr w:type="gramEnd"/>
    </w:p>
    <w:p w14:paraId="00FE0402" w14:textId="77777777" w:rsidR="00170F05" w:rsidRDefault="00C66DC1">
      <w:pPr>
        <w:pStyle w:val="Corpodetexto"/>
        <w:spacing w:before="137" w:line="360" w:lineRule="auto"/>
        <w:ind w:left="672" w:right="283" w:firstLine="427"/>
        <w:jc w:val="right"/>
      </w:pPr>
      <w:r>
        <w:t>LAGES, G.F.G.; CARVALHO, M.G. Contagem de plaquetas:</w:t>
      </w:r>
      <w:r>
        <w:rPr>
          <w:spacing w:val="-9"/>
        </w:rPr>
        <w:t xml:space="preserve"> </w:t>
      </w:r>
      <w:r>
        <w:t>método</w:t>
      </w:r>
      <w:r>
        <w:rPr>
          <w:spacing w:val="49"/>
        </w:rPr>
        <w:t xml:space="preserve"> </w:t>
      </w:r>
      <w:r>
        <w:t>manual</w:t>
      </w:r>
      <w:r>
        <w:rPr>
          <w:w w:val="99"/>
        </w:rPr>
        <w:t xml:space="preserve"> </w:t>
      </w:r>
      <w:r>
        <w:t xml:space="preserve">versus método automatizado. </w:t>
      </w:r>
      <w:proofErr w:type="spellStart"/>
      <w:proofErr w:type="gramStart"/>
      <w:r>
        <w:rPr>
          <w:i/>
        </w:rPr>
        <w:t>Rev.Bras.Anal.Clin</w:t>
      </w:r>
      <w:proofErr w:type="spellEnd"/>
      <w:proofErr w:type="gramEnd"/>
      <w:r>
        <w:rPr>
          <w:i/>
        </w:rPr>
        <w:t xml:space="preserve">. </w:t>
      </w:r>
      <w:r>
        <w:t>, v. 35, n. 3, p.</w:t>
      </w:r>
      <w:r>
        <w:rPr>
          <w:spacing w:val="-25"/>
        </w:rPr>
        <w:t xml:space="preserve"> </w:t>
      </w:r>
      <w:r>
        <w:t>113-116,</w:t>
      </w:r>
      <w:r>
        <w:rPr>
          <w:spacing w:val="-3"/>
        </w:rPr>
        <w:t xml:space="preserve"> </w:t>
      </w:r>
      <w:r>
        <w:t>2003.</w:t>
      </w:r>
      <w:r>
        <w:t xml:space="preserve"> </w:t>
      </w:r>
      <w:r>
        <w:t>LEONART, M.S.S. A importância do controle de qualidade para</w:t>
      </w:r>
      <w:r>
        <w:rPr>
          <w:spacing w:val="-27"/>
        </w:rPr>
        <w:t xml:space="preserve"> </w:t>
      </w:r>
      <w:r>
        <w:t>a contagem</w:t>
      </w:r>
      <w:r>
        <w:rPr>
          <w:spacing w:val="43"/>
        </w:rPr>
        <w:t xml:space="preserve"> </w:t>
      </w:r>
      <w:r>
        <w:t>de</w:t>
      </w:r>
      <w:r>
        <w:rPr>
          <w:w w:val="99"/>
        </w:rPr>
        <w:t xml:space="preserve"> </w:t>
      </w:r>
      <w:r>
        <w:t xml:space="preserve">reticulócitos por métodos visual e automatizado. </w:t>
      </w:r>
      <w:proofErr w:type="spellStart"/>
      <w:proofErr w:type="gramStart"/>
      <w:r>
        <w:rPr>
          <w:i/>
        </w:rPr>
        <w:t>Rev.Bras.Anal.Clin</w:t>
      </w:r>
      <w:proofErr w:type="spellEnd"/>
      <w:proofErr w:type="gramEnd"/>
      <w:r>
        <w:rPr>
          <w:i/>
        </w:rPr>
        <w:t xml:space="preserve"> , </w:t>
      </w:r>
      <w:r>
        <w:t>v. 31,</w:t>
      </w:r>
      <w:r>
        <w:rPr>
          <w:spacing w:val="30"/>
        </w:rPr>
        <w:t xml:space="preserve"> </w:t>
      </w:r>
      <w:r>
        <w:t>n.</w:t>
      </w:r>
    </w:p>
    <w:p w14:paraId="00FE0403" w14:textId="77777777" w:rsidR="00170F05" w:rsidRDefault="00C66DC1">
      <w:pPr>
        <w:pStyle w:val="Corpodetexto"/>
        <w:ind w:left="1099"/>
      </w:pPr>
      <w:r>
        <w:t>5, p. 303-304, 2009.</w:t>
      </w:r>
    </w:p>
    <w:p w14:paraId="00FE0404" w14:textId="77777777" w:rsidR="00170F05" w:rsidRDefault="00C66DC1">
      <w:pPr>
        <w:spacing w:before="137"/>
        <w:ind w:left="672"/>
        <w:rPr>
          <w:sz w:val="24"/>
        </w:rPr>
      </w:pPr>
      <w:r>
        <w:rPr>
          <w:sz w:val="24"/>
        </w:rPr>
        <w:t>LOPES,</w:t>
      </w:r>
      <w:r>
        <w:rPr>
          <w:spacing w:val="16"/>
          <w:sz w:val="24"/>
        </w:rPr>
        <w:t xml:space="preserve"> </w:t>
      </w:r>
      <w:proofErr w:type="gramStart"/>
      <w:r>
        <w:rPr>
          <w:sz w:val="24"/>
        </w:rPr>
        <w:t>H,J</w:t>
      </w:r>
      <w:proofErr w:type="gramEnd"/>
      <w:r>
        <w:rPr>
          <w:sz w:val="24"/>
        </w:rPr>
        <w:t>,J.</w:t>
      </w:r>
      <w:r>
        <w:rPr>
          <w:spacing w:val="17"/>
          <w:sz w:val="24"/>
        </w:rPr>
        <w:t xml:space="preserve"> </w:t>
      </w:r>
      <w:r>
        <w:rPr>
          <w:i/>
          <w:sz w:val="24"/>
        </w:rPr>
        <w:t>Garantia</w:t>
      </w:r>
      <w:r>
        <w:rPr>
          <w:i/>
          <w:spacing w:val="17"/>
          <w:sz w:val="24"/>
        </w:rPr>
        <w:t xml:space="preserve"> </w:t>
      </w:r>
      <w:r>
        <w:rPr>
          <w:i/>
          <w:sz w:val="24"/>
        </w:rPr>
        <w:t>e</w:t>
      </w:r>
      <w:r>
        <w:rPr>
          <w:i/>
          <w:spacing w:val="16"/>
          <w:sz w:val="24"/>
        </w:rPr>
        <w:t xml:space="preserve"> </w:t>
      </w:r>
      <w:r>
        <w:rPr>
          <w:i/>
          <w:sz w:val="24"/>
        </w:rPr>
        <w:t>controle</w:t>
      </w:r>
      <w:r>
        <w:rPr>
          <w:i/>
          <w:spacing w:val="17"/>
          <w:sz w:val="24"/>
        </w:rPr>
        <w:t xml:space="preserve"> </w:t>
      </w:r>
      <w:r>
        <w:rPr>
          <w:i/>
          <w:sz w:val="24"/>
        </w:rPr>
        <w:t>de</w:t>
      </w:r>
      <w:r>
        <w:rPr>
          <w:i/>
          <w:spacing w:val="11"/>
          <w:sz w:val="24"/>
        </w:rPr>
        <w:t xml:space="preserve"> </w:t>
      </w:r>
      <w:r>
        <w:rPr>
          <w:i/>
          <w:sz w:val="24"/>
        </w:rPr>
        <w:t>qualidade</w:t>
      </w:r>
      <w:r>
        <w:rPr>
          <w:i/>
          <w:spacing w:val="17"/>
          <w:sz w:val="24"/>
        </w:rPr>
        <w:t xml:space="preserve"> </w:t>
      </w:r>
      <w:r>
        <w:rPr>
          <w:i/>
          <w:sz w:val="24"/>
        </w:rPr>
        <w:t>no</w:t>
      </w:r>
      <w:r>
        <w:rPr>
          <w:i/>
          <w:spacing w:val="11"/>
          <w:sz w:val="24"/>
        </w:rPr>
        <w:t xml:space="preserve"> </w:t>
      </w:r>
      <w:r>
        <w:rPr>
          <w:i/>
          <w:sz w:val="24"/>
        </w:rPr>
        <w:t>laboratório</w:t>
      </w:r>
      <w:r>
        <w:rPr>
          <w:i/>
          <w:spacing w:val="17"/>
          <w:sz w:val="24"/>
        </w:rPr>
        <w:t xml:space="preserve"> </w:t>
      </w:r>
      <w:r>
        <w:rPr>
          <w:i/>
          <w:sz w:val="24"/>
        </w:rPr>
        <w:t>clínico.</w:t>
      </w:r>
      <w:r>
        <w:rPr>
          <w:i/>
          <w:spacing w:val="26"/>
          <w:sz w:val="24"/>
        </w:rPr>
        <w:t xml:space="preserve"> </w:t>
      </w:r>
      <w:r>
        <w:rPr>
          <w:sz w:val="24"/>
        </w:rPr>
        <w:t>2003.</w:t>
      </w:r>
      <w:r>
        <w:rPr>
          <w:spacing w:val="12"/>
          <w:sz w:val="24"/>
        </w:rPr>
        <w:t xml:space="preserve"> </w:t>
      </w:r>
      <w:r>
        <w:rPr>
          <w:sz w:val="24"/>
        </w:rPr>
        <w:t>p.</w:t>
      </w:r>
      <w:r>
        <w:rPr>
          <w:spacing w:val="15"/>
          <w:sz w:val="24"/>
        </w:rPr>
        <w:t xml:space="preserve"> </w:t>
      </w:r>
      <w:r>
        <w:rPr>
          <w:sz w:val="24"/>
        </w:rPr>
        <w:t>3</w:t>
      </w:r>
      <w:r>
        <w:rPr>
          <w:sz w:val="24"/>
        </w:rPr>
        <w:t>5.</w:t>
      </w:r>
    </w:p>
    <w:p w14:paraId="00FE0405" w14:textId="77777777" w:rsidR="00170F05" w:rsidRDefault="00C66DC1">
      <w:pPr>
        <w:pStyle w:val="Corpodetexto"/>
        <w:spacing w:before="142" w:line="360" w:lineRule="auto"/>
        <w:ind w:left="676" w:firstLine="422"/>
      </w:pPr>
      <w:r>
        <w:t xml:space="preserve">Disponível </w:t>
      </w:r>
      <w:r>
        <w:rPr>
          <w:spacing w:val="-3"/>
        </w:rPr>
        <w:t xml:space="preserve">em: </w:t>
      </w:r>
      <w:r>
        <w:t>&lt;</w:t>
      </w:r>
      <w:hyperlink r:id="rId28">
        <w:r>
          <w:t>http://www.goldanalisa.com.br</w:t>
        </w:r>
      </w:hyperlink>
      <w:r>
        <w:t xml:space="preserve">&gt;. Acesso </w:t>
      </w:r>
      <w:r>
        <w:rPr>
          <w:spacing w:val="-3"/>
        </w:rPr>
        <w:t xml:space="preserve">em: </w:t>
      </w:r>
      <w:r>
        <w:rPr>
          <w:spacing w:val="5"/>
        </w:rPr>
        <w:t xml:space="preserve">20 </w:t>
      </w:r>
      <w:r>
        <w:t xml:space="preserve">abr. 2010 OLIVEIRA, R.A.G. </w:t>
      </w:r>
      <w:proofErr w:type="gramStart"/>
      <w:r>
        <w:rPr>
          <w:i/>
        </w:rPr>
        <w:t>Hemograma :</w:t>
      </w:r>
      <w:proofErr w:type="gramEnd"/>
      <w:r>
        <w:rPr>
          <w:i/>
        </w:rPr>
        <w:t xml:space="preserve"> </w:t>
      </w:r>
      <w:r>
        <w:rPr>
          <w:spacing w:val="-4"/>
        </w:rPr>
        <w:t xml:space="preserve">como </w:t>
      </w:r>
      <w:r>
        <w:t xml:space="preserve">fazer e interpretar. 7. ed. </w:t>
      </w:r>
      <w:proofErr w:type="gramStart"/>
      <w:r>
        <w:t>„‟</w:t>
      </w:r>
      <w:proofErr w:type="gramEnd"/>
      <w:r>
        <w:t>São Paulo”.</w:t>
      </w:r>
      <w:r>
        <w:rPr>
          <w:spacing w:val="54"/>
        </w:rPr>
        <w:t xml:space="preserve"> </w:t>
      </w:r>
      <w:r>
        <w:t>LMP,</w:t>
      </w:r>
    </w:p>
    <w:p w14:paraId="00FE0406" w14:textId="77777777" w:rsidR="00170F05" w:rsidRDefault="00C66DC1">
      <w:pPr>
        <w:pStyle w:val="Corpodetexto"/>
        <w:spacing w:line="274" w:lineRule="exact"/>
        <w:ind w:left="1036"/>
      </w:pPr>
      <w:r>
        <w:t>2007. 505 p.</w:t>
      </w:r>
    </w:p>
    <w:p w14:paraId="00FE0407" w14:textId="77777777" w:rsidR="00170F05" w:rsidRDefault="00C66DC1">
      <w:pPr>
        <w:pStyle w:val="Corpodetexto"/>
        <w:spacing w:before="137"/>
        <w:ind w:left="672"/>
      </w:pPr>
      <w:r>
        <w:t>OLIVEIRA, R.A.G.; TAKADASHI, M.M.; NONOYAMA, K.; BARRETO, O.C.O. The</w:t>
      </w:r>
    </w:p>
    <w:p w14:paraId="00FE0408" w14:textId="77777777" w:rsidR="00170F05" w:rsidRDefault="00C66DC1">
      <w:pPr>
        <w:pStyle w:val="Corpodetexto"/>
        <w:spacing w:before="141" w:line="360" w:lineRule="auto"/>
        <w:ind w:left="1099" w:right="283"/>
        <w:jc w:val="both"/>
      </w:pPr>
      <w:r w:rsidRPr="00977364">
        <w:rPr>
          <w:lang w:val="en-US"/>
        </w:rPr>
        <w:t xml:space="preserve">absolute recommendation of chamber </w:t>
      </w:r>
      <w:proofErr w:type="spellStart"/>
      <w:r w:rsidRPr="00977364">
        <w:rPr>
          <w:lang w:val="en-US"/>
        </w:rPr>
        <w:t>neubauer</w:t>
      </w:r>
      <w:proofErr w:type="spellEnd"/>
      <w:r w:rsidRPr="00977364">
        <w:rPr>
          <w:lang w:val="en-US"/>
        </w:rPr>
        <w:t xml:space="preserve"> for platelets counting instead of indirect methods in severe thrombocytopenic patients. </w:t>
      </w:r>
      <w:r>
        <w:rPr>
          <w:i/>
        </w:rPr>
        <w:t>J. Bras. Pat. Med. Lab.</w:t>
      </w:r>
      <w:proofErr w:type="gramStart"/>
      <w:r>
        <w:rPr>
          <w:i/>
        </w:rPr>
        <w:t xml:space="preserve">,  </w:t>
      </w:r>
      <w:r>
        <w:t>v.</w:t>
      </w:r>
      <w:proofErr w:type="gramEnd"/>
      <w:r>
        <w:t xml:space="preserve"> 39, n. 2, p. 139-141,</w:t>
      </w:r>
      <w:r>
        <w:rPr>
          <w:spacing w:val="-1"/>
        </w:rPr>
        <w:t xml:space="preserve"> </w:t>
      </w:r>
      <w:r>
        <w:t>2003</w:t>
      </w:r>
      <w:r>
        <w:t>.</w:t>
      </w:r>
    </w:p>
    <w:p w14:paraId="00FE0409" w14:textId="77777777" w:rsidR="00170F05" w:rsidRDefault="00C66DC1">
      <w:pPr>
        <w:pStyle w:val="Corpodetexto"/>
        <w:spacing w:line="273" w:lineRule="exact"/>
        <w:ind w:left="672"/>
        <w:jc w:val="both"/>
      </w:pPr>
      <w:r>
        <w:t xml:space="preserve">OLIVEIRA, S.C. Acreditação, certificação e qualidade. p. 1-10, [s.d.]. </w:t>
      </w:r>
      <w:proofErr w:type="spellStart"/>
      <w:r>
        <w:t>Disponivel</w:t>
      </w:r>
      <w:proofErr w:type="spellEnd"/>
      <w:r>
        <w:t xml:space="preserve"> em:</w:t>
      </w:r>
    </w:p>
    <w:p w14:paraId="00FE040A" w14:textId="77777777" w:rsidR="00170F05" w:rsidRDefault="00C66DC1">
      <w:pPr>
        <w:pStyle w:val="Corpodetexto"/>
        <w:spacing w:before="142"/>
        <w:ind w:left="1099"/>
      </w:pPr>
      <w:r>
        <w:t>&lt;</w:t>
      </w:r>
      <w:hyperlink r:id="rId29">
        <w:r>
          <w:rPr>
            <w:u w:val="single"/>
          </w:rPr>
          <w:t>http://www.visbrasil.org.br</w:t>
        </w:r>
      </w:hyperlink>
      <w:r>
        <w:t>&gt;. Acesso em: 20 jul. 2010.</w:t>
      </w:r>
    </w:p>
    <w:p w14:paraId="00FE040B" w14:textId="77777777" w:rsidR="00170F05" w:rsidRDefault="00C66DC1">
      <w:pPr>
        <w:spacing w:before="137" w:line="360" w:lineRule="auto"/>
        <w:ind w:left="1147" w:right="1070" w:hanging="471"/>
        <w:rPr>
          <w:sz w:val="24"/>
        </w:rPr>
      </w:pPr>
      <w:r>
        <w:rPr>
          <w:sz w:val="24"/>
        </w:rPr>
        <w:t xml:space="preserve">ROTH, E. </w:t>
      </w:r>
      <w:r>
        <w:rPr>
          <w:i/>
          <w:sz w:val="24"/>
        </w:rPr>
        <w:t xml:space="preserve">Como implantar a qualidade em laboratório clínico. </w:t>
      </w:r>
      <w:r>
        <w:rPr>
          <w:sz w:val="24"/>
        </w:rPr>
        <w:t xml:space="preserve">Rio </w:t>
      </w:r>
      <w:r>
        <w:rPr>
          <w:sz w:val="24"/>
        </w:rPr>
        <w:t>de Janeiro: Futura, 1998. p. 1-26.</w:t>
      </w:r>
    </w:p>
    <w:p w14:paraId="00FE040C" w14:textId="77777777" w:rsidR="00170F05" w:rsidRDefault="00C66DC1">
      <w:pPr>
        <w:spacing w:line="274" w:lineRule="exact"/>
        <w:ind w:left="720"/>
        <w:rPr>
          <w:sz w:val="24"/>
        </w:rPr>
      </w:pPr>
      <w:r>
        <w:rPr>
          <w:sz w:val="24"/>
        </w:rPr>
        <w:t xml:space="preserve">SYSMEX. </w:t>
      </w:r>
      <w:r>
        <w:rPr>
          <w:i/>
          <w:sz w:val="24"/>
        </w:rPr>
        <w:t>Analisador hematológico automatizado</w:t>
      </w:r>
      <w:r>
        <w:rPr>
          <w:sz w:val="24"/>
        </w:rPr>
        <w:t>. KX-21 N/pocH-100i. [s.d.].</w:t>
      </w:r>
    </w:p>
    <w:p w14:paraId="00FE040D" w14:textId="77777777" w:rsidR="00170F05" w:rsidRDefault="00C66DC1">
      <w:pPr>
        <w:pStyle w:val="Corpodetexto"/>
        <w:spacing w:before="141"/>
        <w:ind w:left="1190"/>
      </w:pPr>
      <w:r>
        <w:t>Cartaz.</w:t>
      </w:r>
    </w:p>
    <w:p w14:paraId="00FE040E" w14:textId="77777777" w:rsidR="00170F05" w:rsidRDefault="00C66DC1">
      <w:pPr>
        <w:spacing w:before="137"/>
        <w:ind w:left="672"/>
        <w:rPr>
          <w:sz w:val="24"/>
        </w:rPr>
      </w:pPr>
      <w:r>
        <w:rPr>
          <w:sz w:val="24"/>
        </w:rPr>
        <w:t xml:space="preserve">SYSMEX </w:t>
      </w:r>
      <w:r>
        <w:rPr>
          <w:i/>
          <w:sz w:val="24"/>
        </w:rPr>
        <w:t>Analisador hematológico automatizado</w:t>
      </w:r>
      <w:r>
        <w:rPr>
          <w:sz w:val="24"/>
        </w:rPr>
        <w:t>. pocH-100i. [s.d.]. cartaz.</w:t>
      </w:r>
    </w:p>
    <w:p w14:paraId="00FE040F" w14:textId="77777777" w:rsidR="00170F05" w:rsidRDefault="00C66DC1">
      <w:pPr>
        <w:spacing w:before="138" w:line="360" w:lineRule="auto"/>
        <w:ind w:left="1099" w:right="375" w:hanging="428"/>
        <w:rPr>
          <w:sz w:val="24"/>
        </w:rPr>
      </w:pPr>
      <w:r>
        <w:rPr>
          <w:sz w:val="24"/>
        </w:rPr>
        <w:t xml:space="preserve">VIEIRA, L. </w:t>
      </w:r>
      <w:r>
        <w:rPr>
          <w:i/>
          <w:sz w:val="24"/>
        </w:rPr>
        <w:t xml:space="preserve">Conceitos, ferramentas e aplicabilidade dos controles da </w:t>
      </w:r>
      <w:r>
        <w:rPr>
          <w:i/>
          <w:sz w:val="24"/>
        </w:rPr>
        <w:t>qualidade (interno e externo) e testes de proficiência</w:t>
      </w:r>
      <w:r>
        <w:rPr>
          <w:sz w:val="24"/>
        </w:rPr>
        <w:t>, p. 1-18, 2008. Disponível</w:t>
      </w:r>
      <w:r>
        <w:rPr>
          <w:spacing w:val="63"/>
          <w:sz w:val="24"/>
        </w:rPr>
        <w:t xml:space="preserve"> </w:t>
      </w:r>
      <w:r>
        <w:rPr>
          <w:spacing w:val="-3"/>
          <w:sz w:val="24"/>
        </w:rPr>
        <w:t>em:</w:t>
      </w:r>
    </w:p>
    <w:p w14:paraId="00FE0410" w14:textId="77777777" w:rsidR="00170F05" w:rsidRDefault="00C66DC1">
      <w:pPr>
        <w:pStyle w:val="Corpodetexto"/>
        <w:spacing w:line="274" w:lineRule="exact"/>
        <w:ind w:left="1099"/>
      </w:pPr>
      <w:r>
        <w:lastRenderedPageBreak/>
        <w:t>&lt;</w:t>
      </w:r>
      <w:hyperlink r:id="rId30">
        <w:r>
          <w:t>http://www.labconsult.com.br</w:t>
        </w:r>
      </w:hyperlink>
      <w:r>
        <w:t>&gt;. Acesso em: 10 mar. 2010.</w:t>
      </w:r>
    </w:p>
    <w:p w14:paraId="00FE0411" w14:textId="77777777" w:rsidR="00170F05" w:rsidRPr="00977364" w:rsidRDefault="00C66DC1">
      <w:pPr>
        <w:pStyle w:val="Corpodetexto"/>
        <w:spacing w:before="141"/>
        <w:ind w:left="672"/>
        <w:jc w:val="both"/>
        <w:rPr>
          <w:lang w:val="en-US"/>
        </w:rPr>
      </w:pPr>
      <w:r w:rsidRPr="00977364">
        <w:rPr>
          <w:lang w:val="en-US"/>
        </w:rPr>
        <w:t>ZANDECKI, M.; GENEVIEVE, F.; GERARD, J.; GODON, A. Spurious counts and</w:t>
      </w:r>
    </w:p>
    <w:p w14:paraId="00FE0412" w14:textId="77777777" w:rsidR="00170F05" w:rsidRPr="00977364" w:rsidRDefault="00C66DC1">
      <w:pPr>
        <w:pStyle w:val="Corpodetexto"/>
        <w:spacing w:before="138" w:line="360" w:lineRule="auto"/>
        <w:ind w:left="1099" w:right="287"/>
        <w:jc w:val="both"/>
        <w:rPr>
          <w:lang w:val="en-US"/>
        </w:rPr>
      </w:pPr>
      <w:r w:rsidRPr="00977364">
        <w:rPr>
          <w:lang w:val="en-US"/>
        </w:rPr>
        <w:t xml:space="preserve">spurious results on </w:t>
      </w:r>
      <w:proofErr w:type="spellStart"/>
      <w:r w:rsidRPr="00977364">
        <w:rPr>
          <w:lang w:val="en-US"/>
        </w:rPr>
        <w:t>haematology</w:t>
      </w:r>
      <w:proofErr w:type="spellEnd"/>
      <w:r w:rsidRPr="00977364">
        <w:rPr>
          <w:lang w:val="en-US"/>
        </w:rPr>
        <w:t xml:space="preserve"> </w:t>
      </w:r>
      <w:proofErr w:type="spellStart"/>
      <w:r w:rsidRPr="00977364">
        <w:rPr>
          <w:lang w:val="en-US"/>
        </w:rPr>
        <w:t>analysers</w:t>
      </w:r>
      <w:proofErr w:type="spellEnd"/>
      <w:r w:rsidRPr="00977364">
        <w:rPr>
          <w:lang w:val="en-US"/>
        </w:rPr>
        <w:t xml:space="preserve">: a review. Part I: Platelets. </w:t>
      </w:r>
      <w:r w:rsidRPr="00977364">
        <w:rPr>
          <w:i/>
          <w:lang w:val="en-US"/>
        </w:rPr>
        <w:t xml:space="preserve">Int. </w:t>
      </w:r>
      <w:proofErr w:type="spellStart"/>
      <w:r w:rsidRPr="00977364">
        <w:rPr>
          <w:i/>
          <w:lang w:val="en-US"/>
        </w:rPr>
        <w:t>Jnl</w:t>
      </w:r>
      <w:proofErr w:type="spellEnd"/>
      <w:r w:rsidRPr="00977364">
        <w:rPr>
          <w:i/>
          <w:lang w:val="en-US"/>
        </w:rPr>
        <w:t>. Lab. Hem.</w:t>
      </w:r>
      <w:r w:rsidRPr="00977364">
        <w:rPr>
          <w:lang w:val="en-US"/>
        </w:rPr>
        <w:t>, v. 29, p. 4-20, 2007.</w:t>
      </w:r>
    </w:p>
    <w:p w14:paraId="00FE0413" w14:textId="77777777" w:rsidR="00170F05" w:rsidRPr="00977364" w:rsidRDefault="00C66DC1">
      <w:pPr>
        <w:pStyle w:val="Corpodetexto"/>
        <w:spacing w:line="274" w:lineRule="exact"/>
        <w:ind w:right="293"/>
        <w:jc w:val="right"/>
        <w:rPr>
          <w:lang w:val="en-US"/>
        </w:rPr>
      </w:pPr>
      <w:r w:rsidRPr="00977364">
        <w:rPr>
          <w:lang w:val="en-US"/>
        </w:rPr>
        <w:t>ZANDECKI, M.; GENEVIEVE, F.; GERARD, J.; GODON, A. Spurious counts and</w:t>
      </w:r>
    </w:p>
    <w:p w14:paraId="00FE0414" w14:textId="77777777" w:rsidR="00170F05" w:rsidRDefault="00C66DC1">
      <w:pPr>
        <w:pStyle w:val="Corpodetexto"/>
        <w:spacing w:before="141" w:line="357" w:lineRule="auto"/>
        <w:ind w:left="1099" w:right="284"/>
        <w:jc w:val="both"/>
      </w:pPr>
      <w:r w:rsidRPr="00977364">
        <w:rPr>
          <w:lang w:val="en-US"/>
        </w:rPr>
        <w:t xml:space="preserve">spurious results on </w:t>
      </w:r>
      <w:proofErr w:type="spellStart"/>
      <w:r w:rsidRPr="00977364">
        <w:rPr>
          <w:lang w:val="en-US"/>
        </w:rPr>
        <w:t>haematology</w:t>
      </w:r>
      <w:proofErr w:type="spellEnd"/>
      <w:r w:rsidRPr="00977364">
        <w:rPr>
          <w:lang w:val="en-US"/>
        </w:rPr>
        <w:t xml:space="preserve"> </w:t>
      </w:r>
      <w:proofErr w:type="spellStart"/>
      <w:r w:rsidRPr="00977364">
        <w:rPr>
          <w:lang w:val="en-US"/>
        </w:rPr>
        <w:t>analysers</w:t>
      </w:r>
      <w:proofErr w:type="spellEnd"/>
      <w:r w:rsidRPr="00977364">
        <w:rPr>
          <w:lang w:val="en-US"/>
        </w:rPr>
        <w:t xml:space="preserve">: a review. Part II: white blood cells, red blood cells, </w:t>
      </w:r>
      <w:proofErr w:type="spellStart"/>
      <w:r w:rsidRPr="00977364">
        <w:rPr>
          <w:lang w:val="en-US"/>
        </w:rPr>
        <w:t>haemoglobin</w:t>
      </w:r>
      <w:proofErr w:type="spellEnd"/>
      <w:r w:rsidRPr="00977364">
        <w:rPr>
          <w:lang w:val="en-US"/>
        </w:rPr>
        <w:t xml:space="preserve">, red cells indices and reticulocytes. </w:t>
      </w:r>
      <w:r>
        <w:rPr>
          <w:i/>
        </w:rPr>
        <w:t xml:space="preserve">Int. </w:t>
      </w:r>
      <w:proofErr w:type="spellStart"/>
      <w:r>
        <w:rPr>
          <w:i/>
        </w:rPr>
        <w:t>Jnl</w:t>
      </w:r>
      <w:proofErr w:type="spellEnd"/>
      <w:r>
        <w:rPr>
          <w:i/>
        </w:rPr>
        <w:t>. Lab. Hem</w:t>
      </w:r>
      <w:r>
        <w:t>, v. 29, p. 21-41</w:t>
      </w:r>
      <w:r>
        <w:rPr>
          <w:rFonts w:ascii="Times New Roman"/>
        </w:rPr>
        <w:t xml:space="preserve">, </w:t>
      </w:r>
      <w:r>
        <w:t>2007.</w:t>
      </w:r>
    </w:p>
    <w:sectPr w:rsidR="00170F05">
      <w:pgSz w:w="11910" w:h="16840"/>
      <w:pgMar w:top="820" w:right="840" w:bottom="280" w:left="1100" w:header="5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E04CA" w14:textId="77777777" w:rsidR="00000000" w:rsidRDefault="00C66DC1">
      <w:r>
        <w:separator/>
      </w:r>
    </w:p>
  </w:endnote>
  <w:endnote w:type="continuationSeparator" w:id="0">
    <w:p w14:paraId="00FE04CC" w14:textId="77777777" w:rsidR="00000000" w:rsidRDefault="00C66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E04C6" w14:textId="77777777" w:rsidR="00000000" w:rsidRDefault="00C66DC1">
      <w:r>
        <w:separator/>
      </w:r>
    </w:p>
  </w:footnote>
  <w:footnote w:type="continuationSeparator" w:id="0">
    <w:p w14:paraId="00FE04C8" w14:textId="77777777" w:rsidR="00000000" w:rsidRDefault="00C66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E04C5" w14:textId="77777777" w:rsidR="00170F05" w:rsidRDefault="00C66DC1">
    <w:pPr>
      <w:pStyle w:val="Corpodetexto"/>
      <w:spacing w:line="14" w:lineRule="auto"/>
      <w:rPr>
        <w:sz w:val="20"/>
      </w:rPr>
    </w:pPr>
    <w:r>
      <w:pict w14:anchorId="00FE04C8">
        <v:shapetype id="_x0000_t202" coordsize="21600,21600" o:spt="202" path="m,l,21600r21600,l21600,xe">
          <v:stroke joinstyle="miter"/>
          <v:path gradientshapeok="t" o:connecttype="rect"/>
        </v:shapetype>
        <v:shape id="_x0000_s1025" type="#_x0000_t202" style="position:absolute;margin-left:523.8pt;margin-top:27.45pt;width:18pt;height:15.3pt;z-index:-253327360;mso-position-horizontal-relative:page;mso-position-vertical-relative:page" filled="f" stroked="f">
          <v:textbox inset="0,0,0,0">
            <w:txbxContent>
              <w:p w14:paraId="00FE04D8" w14:textId="77777777" w:rsidR="00170F05" w:rsidRDefault="00C66DC1">
                <w:pPr>
                  <w:pStyle w:val="Corpodetexto"/>
                  <w:spacing w:before="10"/>
                  <w:ind w:left="6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5C1118"/>
    <w:multiLevelType w:val="multilevel"/>
    <w:tmpl w:val="97A89A22"/>
    <w:lvl w:ilvl="0">
      <w:start w:val="1"/>
      <w:numFmt w:val="decimal"/>
      <w:lvlText w:val="%1"/>
      <w:lvlJc w:val="left"/>
      <w:pPr>
        <w:ind w:left="547" w:hanging="232"/>
      </w:pPr>
      <w:rPr>
        <w:rFonts w:ascii="Arial" w:eastAsia="Arial" w:hAnsi="Arial" w:cs="Arial" w:hint="default"/>
        <w:b/>
        <w:bCs/>
        <w:w w:val="99"/>
        <w:sz w:val="28"/>
        <w:szCs w:val="28"/>
        <w:lang w:val="pt-BR" w:eastAsia="pt-BR" w:bidi="pt-BR"/>
      </w:rPr>
    </w:lvl>
    <w:lvl w:ilvl="1">
      <w:start w:val="1"/>
      <w:numFmt w:val="decimal"/>
      <w:lvlText w:val="%1.%2"/>
      <w:lvlJc w:val="left"/>
      <w:pPr>
        <w:ind w:left="718" w:hanging="403"/>
      </w:pPr>
      <w:rPr>
        <w:rFonts w:ascii="Arial" w:eastAsia="Arial" w:hAnsi="Arial" w:cs="Arial" w:hint="default"/>
        <w:b/>
        <w:bCs/>
        <w:w w:val="99"/>
        <w:sz w:val="24"/>
        <w:szCs w:val="24"/>
        <w:lang w:val="pt-BR" w:eastAsia="pt-BR" w:bidi="pt-BR"/>
      </w:rPr>
    </w:lvl>
    <w:lvl w:ilvl="2">
      <w:start w:val="1"/>
      <w:numFmt w:val="decimal"/>
      <w:lvlText w:val="%1.%2.%3"/>
      <w:lvlJc w:val="left"/>
      <w:pPr>
        <w:ind w:left="920" w:hanging="604"/>
      </w:pPr>
      <w:rPr>
        <w:rFonts w:ascii="Arial" w:eastAsia="Arial" w:hAnsi="Arial" w:cs="Arial" w:hint="default"/>
        <w:b/>
        <w:bCs/>
        <w:w w:val="99"/>
        <w:sz w:val="24"/>
        <w:szCs w:val="24"/>
        <w:lang w:val="pt-BR" w:eastAsia="pt-BR" w:bidi="pt-BR"/>
      </w:rPr>
    </w:lvl>
    <w:lvl w:ilvl="3">
      <w:numFmt w:val="bullet"/>
      <w:lvlText w:val="•"/>
      <w:lvlJc w:val="left"/>
      <w:pPr>
        <w:ind w:left="920" w:hanging="604"/>
      </w:pPr>
      <w:rPr>
        <w:rFonts w:hint="default"/>
        <w:lang w:val="pt-BR" w:eastAsia="pt-BR" w:bidi="pt-BR"/>
      </w:rPr>
    </w:lvl>
    <w:lvl w:ilvl="4">
      <w:numFmt w:val="bullet"/>
      <w:lvlText w:val="•"/>
      <w:lvlJc w:val="left"/>
      <w:pPr>
        <w:ind w:left="1040" w:hanging="604"/>
      </w:pPr>
      <w:rPr>
        <w:rFonts w:hint="default"/>
        <w:lang w:val="pt-BR" w:eastAsia="pt-BR" w:bidi="pt-BR"/>
      </w:rPr>
    </w:lvl>
    <w:lvl w:ilvl="5">
      <w:numFmt w:val="bullet"/>
      <w:lvlText w:val="•"/>
      <w:lvlJc w:val="left"/>
      <w:pPr>
        <w:ind w:left="2527" w:hanging="604"/>
      </w:pPr>
      <w:rPr>
        <w:rFonts w:hint="default"/>
        <w:lang w:val="pt-BR" w:eastAsia="pt-BR" w:bidi="pt-BR"/>
      </w:rPr>
    </w:lvl>
    <w:lvl w:ilvl="6">
      <w:numFmt w:val="bullet"/>
      <w:lvlText w:val="•"/>
      <w:lvlJc w:val="left"/>
      <w:pPr>
        <w:ind w:left="4014" w:hanging="604"/>
      </w:pPr>
      <w:rPr>
        <w:rFonts w:hint="default"/>
        <w:lang w:val="pt-BR" w:eastAsia="pt-BR" w:bidi="pt-BR"/>
      </w:rPr>
    </w:lvl>
    <w:lvl w:ilvl="7">
      <w:numFmt w:val="bullet"/>
      <w:lvlText w:val="•"/>
      <w:lvlJc w:val="left"/>
      <w:pPr>
        <w:ind w:left="5502" w:hanging="604"/>
      </w:pPr>
      <w:rPr>
        <w:rFonts w:hint="default"/>
        <w:lang w:val="pt-BR" w:eastAsia="pt-BR" w:bidi="pt-BR"/>
      </w:rPr>
    </w:lvl>
    <w:lvl w:ilvl="8">
      <w:numFmt w:val="bullet"/>
      <w:lvlText w:val="•"/>
      <w:lvlJc w:val="left"/>
      <w:pPr>
        <w:ind w:left="6989" w:hanging="604"/>
      </w:pPr>
      <w:rPr>
        <w:rFonts w:hint="default"/>
        <w:lang w:val="pt-BR" w:eastAsia="pt-BR" w:bidi="pt-BR"/>
      </w:rPr>
    </w:lvl>
  </w:abstractNum>
  <w:abstractNum w:abstractNumId="1" w15:restartNumberingAfterBreak="0">
    <w:nsid w:val="2B7D11BE"/>
    <w:multiLevelType w:val="hybridMultilevel"/>
    <w:tmpl w:val="8DBCCCF6"/>
    <w:lvl w:ilvl="0" w:tplc="7A049270">
      <w:numFmt w:val="bullet"/>
      <w:lvlText w:val="·"/>
      <w:lvlJc w:val="left"/>
      <w:pPr>
        <w:ind w:left="1325" w:hanging="284"/>
      </w:pPr>
      <w:rPr>
        <w:rFonts w:ascii="Times New Roman" w:eastAsia="Times New Roman" w:hAnsi="Times New Roman" w:cs="Times New Roman" w:hint="default"/>
        <w:color w:val="8A8A8C"/>
        <w:w w:val="114"/>
        <w:sz w:val="22"/>
        <w:szCs w:val="22"/>
        <w:lang w:val="pt-BR" w:eastAsia="pt-BR" w:bidi="pt-BR"/>
      </w:rPr>
    </w:lvl>
    <w:lvl w:ilvl="1" w:tplc="7BF27EA0">
      <w:numFmt w:val="bullet"/>
      <w:lvlText w:val="•"/>
      <w:lvlJc w:val="left"/>
      <w:pPr>
        <w:ind w:left="2184" w:hanging="284"/>
      </w:pPr>
      <w:rPr>
        <w:rFonts w:hint="default"/>
        <w:lang w:val="pt-BR" w:eastAsia="pt-BR" w:bidi="pt-BR"/>
      </w:rPr>
    </w:lvl>
    <w:lvl w:ilvl="2" w:tplc="4DC28976">
      <w:numFmt w:val="bullet"/>
      <w:lvlText w:val="•"/>
      <w:lvlJc w:val="left"/>
      <w:pPr>
        <w:ind w:left="3048" w:hanging="284"/>
      </w:pPr>
      <w:rPr>
        <w:rFonts w:hint="default"/>
        <w:lang w:val="pt-BR" w:eastAsia="pt-BR" w:bidi="pt-BR"/>
      </w:rPr>
    </w:lvl>
    <w:lvl w:ilvl="3" w:tplc="0F2C8A38">
      <w:numFmt w:val="bullet"/>
      <w:lvlText w:val="•"/>
      <w:lvlJc w:val="left"/>
      <w:pPr>
        <w:ind w:left="3913" w:hanging="284"/>
      </w:pPr>
      <w:rPr>
        <w:rFonts w:hint="default"/>
        <w:lang w:val="pt-BR" w:eastAsia="pt-BR" w:bidi="pt-BR"/>
      </w:rPr>
    </w:lvl>
    <w:lvl w:ilvl="4" w:tplc="E694818A">
      <w:numFmt w:val="bullet"/>
      <w:lvlText w:val="•"/>
      <w:lvlJc w:val="left"/>
      <w:pPr>
        <w:ind w:left="4777" w:hanging="284"/>
      </w:pPr>
      <w:rPr>
        <w:rFonts w:hint="default"/>
        <w:lang w:val="pt-BR" w:eastAsia="pt-BR" w:bidi="pt-BR"/>
      </w:rPr>
    </w:lvl>
    <w:lvl w:ilvl="5" w:tplc="0B1EF8D2">
      <w:numFmt w:val="bullet"/>
      <w:lvlText w:val="•"/>
      <w:lvlJc w:val="left"/>
      <w:pPr>
        <w:ind w:left="5642" w:hanging="284"/>
      </w:pPr>
      <w:rPr>
        <w:rFonts w:hint="default"/>
        <w:lang w:val="pt-BR" w:eastAsia="pt-BR" w:bidi="pt-BR"/>
      </w:rPr>
    </w:lvl>
    <w:lvl w:ilvl="6" w:tplc="528A1160">
      <w:numFmt w:val="bullet"/>
      <w:lvlText w:val="•"/>
      <w:lvlJc w:val="left"/>
      <w:pPr>
        <w:ind w:left="6506" w:hanging="284"/>
      </w:pPr>
      <w:rPr>
        <w:rFonts w:hint="default"/>
        <w:lang w:val="pt-BR" w:eastAsia="pt-BR" w:bidi="pt-BR"/>
      </w:rPr>
    </w:lvl>
    <w:lvl w:ilvl="7" w:tplc="12EA0AC4">
      <w:numFmt w:val="bullet"/>
      <w:lvlText w:val="•"/>
      <w:lvlJc w:val="left"/>
      <w:pPr>
        <w:ind w:left="7370" w:hanging="284"/>
      </w:pPr>
      <w:rPr>
        <w:rFonts w:hint="default"/>
        <w:lang w:val="pt-BR" w:eastAsia="pt-BR" w:bidi="pt-BR"/>
      </w:rPr>
    </w:lvl>
    <w:lvl w:ilvl="8" w:tplc="3E20DD2E">
      <w:numFmt w:val="bullet"/>
      <w:lvlText w:val="•"/>
      <w:lvlJc w:val="left"/>
      <w:pPr>
        <w:ind w:left="8235" w:hanging="284"/>
      </w:pPr>
      <w:rPr>
        <w:rFonts w:hint="default"/>
        <w:lang w:val="pt-BR" w:eastAsia="pt-BR" w:bidi="pt-BR"/>
      </w:rPr>
    </w:lvl>
  </w:abstractNum>
  <w:abstractNum w:abstractNumId="2" w15:restartNumberingAfterBreak="0">
    <w:nsid w:val="2CEA4C0C"/>
    <w:multiLevelType w:val="multilevel"/>
    <w:tmpl w:val="9ACABAF2"/>
    <w:lvl w:ilvl="0">
      <w:start w:val="4"/>
      <w:numFmt w:val="decimal"/>
      <w:lvlText w:val="%1"/>
      <w:lvlJc w:val="left"/>
      <w:pPr>
        <w:ind w:left="924" w:hanging="604"/>
      </w:pPr>
      <w:rPr>
        <w:rFonts w:hint="default"/>
        <w:lang w:val="pt-BR" w:eastAsia="pt-BR" w:bidi="pt-BR"/>
      </w:rPr>
    </w:lvl>
    <w:lvl w:ilvl="1">
      <w:start w:val="4"/>
      <w:numFmt w:val="decimal"/>
      <w:lvlText w:val="%1.%2"/>
      <w:lvlJc w:val="left"/>
      <w:pPr>
        <w:ind w:left="924" w:hanging="604"/>
      </w:pPr>
      <w:rPr>
        <w:rFonts w:hint="default"/>
        <w:lang w:val="pt-BR" w:eastAsia="pt-BR" w:bidi="pt-BR"/>
      </w:rPr>
    </w:lvl>
    <w:lvl w:ilvl="2">
      <w:start w:val="4"/>
      <w:numFmt w:val="decimal"/>
      <w:lvlText w:val="%1.%2.%3"/>
      <w:lvlJc w:val="left"/>
      <w:pPr>
        <w:ind w:left="924" w:hanging="604"/>
      </w:pPr>
      <w:rPr>
        <w:rFonts w:ascii="Arial" w:eastAsia="Arial" w:hAnsi="Arial" w:cs="Arial" w:hint="default"/>
        <w:b/>
        <w:bCs/>
        <w:w w:val="99"/>
        <w:sz w:val="24"/>
        <w:szCs w:val="24"/>
        <w:lang w:val="pt-BR" w:eastAsia="pt-BR" w:bidi="pt-BR"/>
      </w:rPr>
    </w:lvl>
    <w:lvl w:ilvl="3">
      <w:numFmt w:val="bullet"/>
      <w:lvlText w:val="•"/>
      <w:lvlJc w:val="left"/>
      <w:pPr>
        <w:ind w:left="3633" w:hanging="604"/>
      </w:pPr>
      <w:rPr>
        <w:rFonts w:hint="default"/>
        <w:lang w:val="pt-BR" w:eastAsia="pt-BR" w:bidi="pt-BR"/>
      </w:rPr>
    </w:lvl>
    <w:lvl w:ilvl="4">
      <w:numFmt w:val="bullet"/>
      <w:lvlText w:val="•"/>
      <w:lvlJc w:val="left"/>
      <w:pPr>
        <w:ind w:left="4537" w:hanging="604"/>
      </w:pPr>
      <w:rPr>
        <w:rFonts w:hint="default"/>
        <w:lang w:val="pt-BR" w:eastAsia="pt-BR" w:bidi="pt-BR"/>
      </w:rPr>
    </w:lvl>
    <w:lvl w:ilvl="5">
      <w:numFmt w:val="bullet"/>
      <w:lvlText w:val="•"/>
      <w:lvlJc w:val="left"/>
      <w:pPr>
        <w:ind w:left="5442" w:hanging="604"/>
      </w:pPr>
      <w:rPr>
        <w:rFonts w:hint="default"/>
        <w:lang w:val="pt-BR" w:eastAsia="pt-BR" w:bidi="pt-BR"/>
      </w:rPr>
    </w:lvl>
    <w:lvl w:ilvl="6">
      <w:numFmt w:val="bullet"/>
      <w:lvlText w:val="•"/>
      <w:lvlJc w:val="left"/>
      <w:pPr>
        <w:ind w:left="6346" w:hanging="604"/>
      </w:pPr>
      <w:rPr>
        <w:rFonts w:hint="default"/>
        <w:lang w:val="pt-BR" w:eastAsia="pt-BR" w:bidi="pt-BR"/>
      </w:rPr>
    </w:lvl>
    <w:lvl w:ilvl="7">
      <w:numFmt w:val="bullet"/>
      <w:lvlText w:val="•"/>
      <w:lvlJc w:val="left"/>
      <w:pPr>
        <w:ind w:left="7250" w:hanging="604"/>
      </w:pPr>
      <w:rPr>
        <w:rFonts w:hint="default"/>
        <w:lang w:val="pt-BR" w:eastAsia="pt-BR" w:bidi="pt-BR"/>
      </w:rPr>
    </w:lvl>
    <w:lvl w:ilvl="8">
      <w:numFmt w:val="bullet"/>
      <w:lvlText w:val="•"/>
      <w:lvlJc w:val="left"/>
      <w:pPr>
        <w:ind w:left="8155" w:hanging="604"/>
      </w:pPr>
      <w:rPr>
        <w:rFonts w:hint="default"/>
        <w:lang w:val="pt-BR" w:eastAsia="pt-BR" w:bidi="pt-BR"/>
      </w:rPr>
    </w:lvl>
  </w:abstractNum>
  <w:abstractNum w:abstractNumId="3" w15:restartNumberingAfterBreak="0">
    <w:nsid w:val="58377CEA"/>
    <w:multiLevelType w:val="multilevel"/>
    <w:tmpl w:val="83CCB954"/>
    <w:lvl w:ilvl="0">
      <w:start w:val="1"/>
      <w:numFmt w:val="decimal"/>
      <w:lvlText w:val="%1"/>
      <w:lvlJc w:val="left"/>
      <w:pPr>
        <w:ind w:left="552" w:hanging="232"/>
      </w:pPr>
      <w:rPr>
        <w:rFonts w:ascii="Arial" w:eastAsia="Arial" w:hAnsi="Arial" w:cs="Arial" w:hint="default"/>
        <w:b/>
        <w:bCs/>
        <w:w w:val="99"/>
        <w:sz w:val="28"/>
        <w:szCs w:val="28"/>
        <w:lang w:val="pt-BR" w:eastAsia="pt-BR" w:bidi="pt-BR"/>
      </w:rPr>
    </w:lvl>
    <w:lvl w:ilvl="1">
      <w:start w:val="1"/>
      <w:numFmt w:val="decimal"/>
      <w:lvlText w:val="%1.%2"/>
      <w:lvlJc w:val="left"/>
      <w:pPr>
        <w:ind w:left="723" w:hanging="403"/>
      </w:pPr>
      <w:rPr>
        <w:rFonts w:ascii="Arial" w:eastAsia="Arial" w:hAnsi="Arial" w:cs="Arial" w:hint="default"/>
        <w:b/>
        <w:bCs/>
        <w:w w:val="99"/>
        <w:sz w:val="24"/>
        <w:szCs w:val="24"/>
        <w:lang w:val="pt-BR" w:eastAsia="pt-BR" w:bidi="pt-BR"/>
      </w:rPr>
    </w:lvl>
    <w:lvl w:ilvl="2">
      <w:start w:val="1"/>
      <w:numFmt w:val="decimal"/>
      <w:lvlText w:val="%1.%2.%3"/>
      <w:lvlJc w:val="left"/>
      <w:pPr>
        <w:ind w:left="924" w:hanging="604"/>
      </w:pPr>
      <w:rPr>
        <w:rFonts w:ascii="Arial" w:eastAsia="Arial" w:hAnsi="Arial" w:cs="Arial" w:hint="default"/>
        <w:b/>
        <w:bCs/>
        <w:w w:val="99"/>
        <w:sz w:val="24"/>
        <w:szCs w:val="24"/>
        <w:lang w:val="pt-BR" w:eastAsia="pt-BR" w:bidi="pt-BR"/>
      </w:rPr>
    </w:lvl>
    <w:lvl w:ilvl="3">
      <w:numFmt w:val="bullet"/>
      <w:lvlText w:val="•"/>
      <w:lvlJc w:val="left"/>
      <w:pPr>
        <w:ind w:left="2050" w:hanging="604"/>
      </w:pPr>
      <w:rPr>
        <w:rFonts w:hint="default"/>
        <w:lang w:val="pt-BR" w:eastAsia="pt-BR" w:bidi="pt-BR"/>
      </w:rPr>
    </w:lvl>
    <w:lvl w:ilvl="4">
      <w:numFmt w:val="bullet"/>
      <w:lvlText w:val="•"/>
      <w:lvlJc w:val="left"/>
      <w:pPr>
        <w:ind w:left="3181" w:hanging="604"/>
      </w:pPr>
      <w:rPr>
        <w:rFonts w:hint="default"/>
        <w:lang w:val="pt-BR" w:eastAsia="pt-BR" w:bidi="pt-BR"/>
      </w:rPr>
    </w:lvl>
    <w:lvl w:ilvl="5">
      <w:numFmt w:val="bullet"/>
      <w:lvlText w:val="•"/>
      <w:lvlJc w:val="left"/>
      <w:pPr>
        <w:ind w:left="4311" w:hanging="604"/>
      </w:pPr>
      <w:rPr>
        <w:rFonts w:hint="default"/>
        <w:lang w:val="pt-BR" w:eastAsia="pt-BR" w:bidi="pt-BR"/>
      </w:rPr>
    </w:lvl>
    <w:lvl w:ilvl="6">
      <w:numFmt w:val="bullet"/>
      <w:lvlText w:val="•"/>
      <w:lvlJc w:val="left"/>
      <w:pPr>
        <w:ind w:left="5442" w:hanging="604"/>
      </w:pPr>
      <w:rPr>
        <w:rFonts w:hint="default"/>
        <w:lang w:val="pt-BR" w:eastAsia="pt-BR" w:bidi="pt-BR"/>
      </w:rPr>
    </w:lvl>
    <w:lvl w:ilvl="7">
      <w:numFmt w:val="bullet"/>
      <w:lvlText w:val="•"/>
      <w:lvlJc w:val="left"/>
      <w:pPr>
        <w:ind w:left="6572" w:hanging="604"/>
      </w:pPr>
      <w:rPr>
        <w:rFonts w:hint="default"/>
        <w:lang w:val="pt-BR" w:eastAsia="pt-BR" w:bidi="pt-BR"/>
      </w:rPr>
    </w:lvl>
    <w:lvl w:ilvl="8">
      <w:numFmt w:val="bullet"/>
      <w:lvlText w:val="•"/>
      <w:lvlJc w:val="left"/>
      <w:pPr>
        <w:ind w:left="7703" w:hanging="604"/>
      </w:pPr>
      <w:rPr>
        <w:rFonts w:hint="default"/>
        <w:lang w:val="pt-BR" w:eastAsia="pt-BR" w:bidi="pt-BR"/>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81"/>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70F05"/>
    <w:rsid w:val="00170F05"/>
    <w:rsid w:val="00274657"/>
    <w:rsid w:val="0060339E"/>
    <w:rsid w:val="007731A3"/>
    <w:rsid w:val="00882899"/>
    <w:rsid w:val="008E6296"/>
    <w:rsid w:val="00977364"/>
    <w:rsid w:val="00A957AB"/>
    <w:rsid w:val="00C66DC1"/>
    <w:rsid w:val="00CF3335"/>
    <w:rsid w:val="00D829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14:docId w14:val="00FE0040"/>
  <w15:docId w15:val="{1BF8C8B8-5B3D-498F-A2C4-F55396605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BR" w:eastAsia="pt-BR" w:bidi="pt-BR"/>
    </w:rPr>
  </w:style>
  <w:style w:type="paragraph" w:styleId="Ttulo1">
    <w:name w:val="heading 1"/>
    <w:basedOn w:val="Normal"/>
    <w:uiPriority w:val="9"/>
    <w:qFormat/>
    <w:pPr>
      <w:spacing w:before="89"/>
      <w:ind w:left="547"/>
      <w:outlineLvl w:val="0"/>
    </w:pPr>
    <w:rPr>
      <w:b/>
      <w:bCs/>
      <w:sz w:val="28"/>
      <w:szCs w:val="28"/>
    </w:rPr>
  </w:style>
  <w:style w:type="paragraph" w:styleId="Ttulo2">
    <w:name w:val="heading 2"/>
    <w:basedOn w:val="Normal"/>
    <w:uiPriority w:val="9"/>
    <w:unhideWhenUsed/>
    <w:qFormat/>
    <w:pPr>
      <w:ind w:left="920"/>
      <w:jc w:val="both"/>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278"/>
      <w:ind w:left="552" w:hanging="530"/>
    </w:pPr>
    <w:rPr>
      <w:b/>
      <w:bCs/>
      <w:sz w:val="28"/>
      <w:szCs w:val="28"/>
    </w:rPr>
  </w:style>
  <w:style w:type="paragraph" w:styleId="Sumrio2">
    <w:name w:val="toc 2"/>
    <w:basedOn w:val="Normal"/>
    <w:uiPriority w:val="1"/>
    <w:qFormat/>
    <w:pPr>
      <w:ind w:left="321"/>
    </w:pPr>
    <w:rPr>
      <w:b/>
      <w:bCs/>
      <w:sz w:val="28"/>
      <w:szCs w:val="28"/>
    </w:rPr>
  </w:style>
  <w:style w:type="paragraph" w:styleId="Sumrio3">
    <w:name w:val="toc 3"/>
    <w:basedOn w:val="Normal"/>
    <w:uiPriority w:val="1"/>
    <w:qFormat/>
    <w:pPr>
      <w:spacing w:line="322" w:lineRule="exact"/>
      <w:ind w:left="924" w:hanging="604"/>
    </w:pPr>
    <w:rPr>
      <w:b/>
      <w:bCs/>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20" w:hanging="605"/>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977364"/>
    <w:pPr>
      <w:tabs>
        <w:tab w:val="center" w:pos="4252"/>
        <w:tab w:val="right" w:pos="8504"/>
      </w:tabs>
    </w:pPr>
  </w:style>
  <w:style w:type="character" w:customStyle="1" w:styleId="CabealhoChar">
    <w:name w:val="Cabeçalho Char"/>
    <w:basedOn w:val="Fontepargpadro"/>
    <w:link w:val="Cabealho"/>
    <w:uiPriority w:val="99"/>
    <w:rsid w:val="00977364"/>
    <w:rPr>
      <w:rFonts w:ascii="Arial" w:eastAsia="Arial" w:hAnsi="Arial" w:cs="Arial"/>
      <w:lang w:val="pt-BR" w:eastAsia="pt-BR" w:bidi="pt-BR"/>
    </w:rPr>
  </w:style>
  <w:style w:type="paragraph" w:styleId="Rodap">
    <w:name w:val="footer"/>
    <w:basedOn w:val="Normal"/>
    <w:link w:val="RodapChar"/>
    <w:uiPriority w:val="99"/>
    <w:unhideWhenUsed/>
    <w:rsid w:val="00977364"/>
    <w:pPr>
      <w:tabs>
        <w:tab w:val="center" w:pos="4252"/>
        <w:tab w:val="right" w:pos="8504"/>
      </w:tabs>
    </w:pPr>
  </w:style>
  <w:style w:type="character" w:customStyle="1" w:styleId="RodapChar">
    <w:name w:val="Rodapé Char"/>
    <w:basedOn w:val="Fontepargpadro"/>
    <w:link w:val="Rodap"/>
    <w:uiPriority w:val="99"/>
    <w:rsid w:val="00977364"/>
    <w:rPr>
      <w:rFonts w:ascii="Arial" w:eastAsia="Arial" w:hAnsi="Arial" w:cs="Arial"/>
      <w:lang w:val="pt-BR" w:eastAsia="pt-BR"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anvisa.gov.br/"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anvisa.gov.br/"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visbrasil.org.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goldanalisa.com.b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labtest.com.br/" TargetMode="External"/><Relationship Id="rId30" Type="http://schemas.openxmlformats.org/officeDocument/2006/relationships/hyperlink" Target="http://www.labconsult.com.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29</Pages>
  <Words>8406</Words>
  <Characters>45395</Characters>
  <Application>Microsoft Office Word</Application>
  <DocSecurity>0</DocSecurity>
  <Lines>378</Lines>
  <Paragraphs>107</Paragraphs>
  <ScaleCrop>false</ScaleCrop>
  <Company/>
  <LinksUpToDate>false</LinksUpToDate>
  <CharactersWithSpaces>53694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Erros nos Laboratórios</dc:title>
  <dc:creator>USER</dc:creator>
  <cp:lastModifiedBy>Elisa Russo</cp:lastModifiedBy>
  <cp:revision>11</cp:revision>
  <dcterms:created xsi:type="dcterms:W3CDTF">2020-05-12T18:13:00Z</dcterms:created>
  <dcterms:modified xsi:type="dcterms:W3CDTF">2020-05-12T18:23:00Z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2011-07-10T00:00:00Z</vt:filetime>
  </property>
  <property fmtid="{D5CDD505-2E9C-101B-9397-08002B2CF9AE}" pid="3" name="Creator">
    <vt:lpwstr>Microsoft® Office Word 2007</vt:lpwstr>
  </property>
  <property fmtid="{D5CDD505-2E9C-101B-9397-08002B2CF9AE}" pid="4" name="LastSaved">
    <vt:filetime>2020-05-12T00:00:00Z</vt:filetime>
  </property>
</Properties>
</file>