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BC17" w14:textId="77777777" w:rsidR="007826AD" w:rsidRDefault="00E328B4" w:rsidP="00291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DD">
        <w:rPr>
          <w:rFonts w:ascii="Times New Roman" w:hAnsi="Times New Roman" w:cs="Times New Roman"/>
          <w:b/>
          <w:sz w:val="24"/>
          <w:szCs w:val="24"/>
        </w:rPr>
        <w:t>Exercícios – CPC 05: Divulgação sobre Partes Relacionadas</w:t>
      </w:r>
    </w:p>
    <w:p w14:paraId="6922D127" w14:textId="34A91CC4" w:rsidR="00A646BF" w:rsidRPr="00291CE5" w:rsidRDefault="00A646BF" w:rsidP="00A646BF">
      <w:pPr>
        <w:pStyle w:val="Rodap"/>
        <w:jc w:val="center"/>
        <w:rPr>
          <w:rFonts w:ascii="Times New Roman" w:hAnsi="Times New Roman" w:cs="Times New Roman"/>
        </w:rPr>
      </w:pPr>
      <w:r w:rsidRPr="00291C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PEREZ JÚNIOR, J. H.;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OLIVEIRA, L. M. Contabilidade A</w:t>
      </w:r>
      <w:r w:rsidRPr="00291C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vançada</w:t>
      </w:r>
      <w:r w:rsidR="00F03F3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– com adaptações</w:t>
      </w:r>
    </w:p>
    <w:p w14:paraId="1655802C" w14:textId="77777777" w:rsidR="00A646BF" w:rsidRPr="002033DD" w:rsidRDefault="00A646BF" w:rsidP="00291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E3E44" w14:textId="77777777" w:rsidR="009A412A" w:rsidRPr="002033DD" w:rsidRDefault="009A412A" w:rsidP="00053FF6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O CPC emitiu o Pronunciamento Técnico CPC 05 – Divulgação sobre Partes Relacionadas -, no qual apresentou diversas definições. Leia os textos a seguir e assinale a alternativa correta:</w:t>
      </w:r>
    </w:p>
    <w:p w14:paraId="3DD7920B" w14:textId="26B6080D" w:rsidR="009A412A" w:rsidRPr="002033DD" w:rsidRDefault="00E57C25" w:rsidP="00053FF6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12A" w:rsidRPr="002033DD">
        <w:rPr>
          <w:rFonts w:ascii="Times New Roman" w:hAnsi="Times New Roman" w:cs="Times New Roman"/>
          <w:sz w:val="24"/>
          <w:szCs w:val="24"/>
        </w:rPr>
        <w:t xml:space="preserve">caracteriza-se como parte relacionada de uma controladora, entre outras as controladas, direta ou indiretamente por meio de outras controladas; as coligadas e as </w:t>
      </w:r>
      <w:r w:rsidR="009A412A" w:rsidRPr="002033DD">
        <w:rPr>
          <w:rFonts w:ascii="Times New Roman" w:hAnsi="Times New Roman" w:cs="Times New Roman"/>
          <w:i/>
          <w:sz w:val="24"/>
          <w:szCs w:val="24"/>
        </w:rPr>
        <w:t>joint venture</w:t>
      </w:r>
      <w:r w:rsidR="009A412A" w:rsidRPr="002033DD">
        <w:rPr>
          <w:rFonts w:ascii="Times New Roman" w:hAnsi="Times New Roman" w:cs="Times New Roman"/>
          <w:sz w:val="24"/>
          <w:szCs w:val="24"/>
        </w:rPr>
        <w:t>, que são os empreendimentos conjuntos em que a entidade seja um investidor;</w:t>
      </w:r>
    </w:p>
    <w:p w14:paraId="120A7396" w14:textId="4C64AB5B" w:rsidR="009A412A" w:rsidRPr="005A4290" w:rsidRDefault="009A412A" w:rsidP="00053FF6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– pessoal-chave da administração são as pessoas que têm autoridade e responsabilidade pelo planejamento, direção e controle das atividades da entidade, direta ou indiretamente</w:t>
      </w:r>
      <w:r w:rsidRPr="005A4290">
        <w:rPr>
          <w:rFonts w:ascii="Times New Roman" w:hAnsi="Times New Roman" w:cs="Times New Roman"/>
          <w:sz w:val="24"/>
          <w:szCs w:val="24"/>
        </w:rPr>
        <w:t>, não incluindo o administrador ou executivo dessa entidade;</w:t>
      </w:r>
    </w:p>
    <w:p w14:paraId="3600EED3" w14:textId="660D647E" w:rsidR="009A412A" w:rsidRPr="002033DD" w:rsidRDefault="009A412A" w:rsidP="00053FF6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– influência significativa é o poder de participar nas decisões financeiras e operacionais da entidade, mesmo não tendo o controle sobre essas políticas;</w:t>
      </w:r>
    </w:p>
    <w:p w14:paraId="5CD6EA5E" w14:textId="115908C3" w:rsidR="009A412A" w:rsidRPr="002033DD" w:rsidRDefault="00E57C25" w:rsidP="00053FF6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-</w:t>
      </w:r>
      <w:r w:rsidR="009A412A" w:rsidRPr="005A4290">
        <w:rPr>
          <w:rFonts w:ascii="Times New Roman" w:hAnsi="Times New Roman" w:cs="Times New Roman"/>
          <w:sz w:val="24"/>
          <w:szCs w:val="24"/>
        </w:rPr>
        <w:t xml:space="preserve"> não pode ser obtida influência significativa por meio de participação acionária,</w:t>
      </w:r>
      <w:r w:rsidR="009A412A" w:rsidRPr="002033DD">
        <w:rPr>
          <w:rFonts w:ascii="Times New Roman" w:hAnsi="Times New Roman" w:cs="Times New Roman"/>
          <w:sz w:val="24"/>
          <w:szCs w:val="24"/>
        </w:rPr>
        <w:t xml:space="preserve"> disposições estatutárias ou acordo de acionistas;</w:t>
      </w:r>
    </w:p>
    <w:p w14:paraId="3BEA108F" w14:textId="0441F811" w:rsidR="009A412A" w:rsidRPr="002033DD" w:rsidRDefault="009A412A" w:rsidP="00053FF6">
      <w:pPr>
        <w:pStyle w:val="PargrafodaLista"/>
        <w:numPr>
          <w:ilvl w:val="0"/>
          <w:numId w:val="5"/>
        </w:numPr>
        <w:spacing w:after="20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– há influência significativa no caso de sociedades nas quais a entidade exerça influência sobre as decisões da administração, embora não tenha participação direta ou indireta, mas dela usufrui benefícios ou assume riscos.</w:t>
      </w:r>
    </w:p>
    <w:p w14:paraId="1D8A13D2" w14:textId="77777777" w:rsidR="00892DC2" w:rsidRPr="002033DD" w:rsidRDefault="00892DC2" w:rsidP="00053FF6">
      <w:pPr>
        <w:pStyle w:val="PargrafodaLista"/>
        <w:numPr>
          <w:ilvl w:val="0"/>
          <w:numId w:val="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Estão corretos somente os textos I, III e V;</w:t>
      </w:r>
    </w:p>
    <w:p w14:paraId="552718E8" w14:textId="77777777" w:rsidR="00892DC2" w:rsidRPr="002033DD" w:rsidRDefault="00892DC2" w:rsidP="00053FF6">
      <w:pPr>
        <w:pStyle w:val="PargrafodaLista"/>
        <w:numPr>
          <w:ilvl w:val="0"/>
          <w:numId w:val="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Todos os textos estão corretos;</w:t>
      </w:r>
    </w:p>
    <w:p w14:paraId="57F37045" w14:textId="77777777" w:rsidR="00892DC2" w:rsidRPr="002033DD" w:rsidRDefault="00892DC2" w:rsidP="00053FF6">
      <w:pPr>
        <w:pStyle w:val="PargrafodaLista"/>
        <w:numPr>
          <w:ilvl w:val="0"/>
          <w:numId w:val="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Estão corretos somente os textos I e V;</w:t>
      </w:r>
    </w:p>
    <w:p w14:paraId="3126E7CD" w14:textId="77777777" w:rsidR="00892DC2" w:rsidRPr="002033DD" w:rsidRDefault="00892DC2" w:rsidP="00053FF6">
      <w:pPr>
        <w:pStyle w:val="PargrafodaLista"/>
        <w:numPr>
          <w:ilvl w:val="0"/>
          <w:numId w:val="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Todos os textos estão incorretos;</w:t>
      </w:r>
    </w:p>
    <w:p w14:paraId="3C976A0E" w14:textId="77777777" w:rsidR="00892DC2" w:rsidRPr="002033DD" w:rsidRDefault="00892DC2" w:rsidP="00053FF6">
      <w:pPr>
        <w:pStyle w:val="PargrafodaLista"/>
        <w:numPr>
          <w:ilvl w:val="0"/>
          <w:numId w:val="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Estão corretos somente os textos II e IV.</w:t>
      </w:r>
    </w:p>
    <w:p w14:paraId="1A49B2CA" w14:textId="77777777" w:rsidR="00892DC2" w:rsidRPr="002033DD" w:rsidRDefault="00892DC2" w:rsidP="00892DC2">
      <w:pPr>
        <w:pStyle w:val="PargrafodaLista"/>
        <w:spacing w:after="200"/>
        <w:rPr>
          <w:rFonts w:ascii="Times New Roman" w:hAnsi="Times New Roman" w:cs="Times New Roman"/>
          <w:sz w:val="24"/>
          <w:szCs w:val="24"/>
        </w:rPr>
      </w:pPr>
    </w:p>
    <w:p w14:paraId="2AEAF761" w14:textId="77777777" w:rsidR="001B5BE7" w:rsidRDefault="00892DC2" w:rsidP="00053FF6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O CPC 05</w:t>
      </w:r>
      <w:r w:rsidR="007E48AD" w:rsidRPr="002033DD">
        <w:rPr>
          <w:rFonts w:ascii="Times New Roman" w:hAnsi="Times New Roman" w:cs="Times New Roman"/>
          <w:sz w:val="24"/>
          <w:szCs w:val="24"/>
        </w:rPr>
        <w:t xml:space="preserve"> apresenta duas condições que precisam ocorrer simultaneamente para caracterizar uma transação com partes relacionadas, que são: </w:t>
      </w:r>
    </w:p>
    <w:p w14:paraId="4F819777" w14:textId="77777777" w:rsidR="001B5BE7" w:rsidRDefault="007E48AD" w:rsidP="001B5BE7">
      <w:pPr>
        <w:pStyle w:val="PargrafodaLista"/>
        <w:numPr>
          <w:ilvl w:val="1"/>
          <w:numId w:val="4"/>
        </w:numPr>
        <w:spacing w:after="2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transação com partes relacionadas é a transferência de recursos, serviços ou obrigações entre empresas com essas características, independentemente de haver ou não um valor alocado à transação; e </w:t>
      </w:r>
    </w:p>
    <w:p w14:paraId="185CAA0E" w14:textId="4B15B7CD" w:rsidR="00892DC2" w:rsidRPr="002033DD" w:rsidRDefault="007E48AD" w:rsidP="001B5BE7">
      <w:pPr>
        <w:pStyle w:val="PargrafodaLista"/>
        <w:numPr>
          <w:ilvl w:val="1"/>
          <w:numId w:val="4"/>
        </w:numPr>
        <w:spacing w:after="2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partes relacionadas são aquelas entidades que mantêm estreitos vínculos entre si, tais como o controle direto ou indireto, coligadas da entidade, se fizer parte de um empreendimento controlado em conjunto, se for membro do pessoal-chave da administração da entidade ou se sua controlada, se for membro próximo da família etc.</w:t>
      </w:r>
    </w:p>
    <w:p w14:paraId="35F4972E" w14:textId="28B52BB3" w:rsidR="007E48AD" w:rsidRPr="002033DD" w:rsidRDefault="007E48AD" w:rsidP="00053FF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Com base nessas definições, cite a</w:t>
      </w:r>
      <w:r w:rsidR="00434893" w:rsidRPr="002033DD">
        <w:rPr>
          <w:rFonts w:ascii="Times New Roman" w:hAnsi="Times New Roman" w:cs="Times New Roman"/>
          <w:sz w:val="24"/>
          <w:szCs w:val="24"/>
        </w:rPr>
        <w:t>s</w:t>
      </w:r>
      <w:r w:rsidRPr="002033DD">
        <w:rPr>
          <w:rFonts w:ascii="Times New Roman" w:hAnsi="Times New Roman" w:cs="Times New Roman"/>
          <w:sz w:val="24"/>
          <w:szCs w:val="24"/>
        </w:rPr>
        <w:t xml:space="preserve"> alternativa</w:t>
      </w:r>
      <w:r w:rsidR="00434893" w:rsidRPr="002033DD">
        <w:rPr>
          <w:rFonts w:ascii="Times New Roman" w:hAnsi="Times New Roman" w:cs="Times New Roman"/>
          <w:sz w:val="24"/>
          <w:szCs w:val="24"/>
        </w:rPr>
        <w:t>s</w:t>
      </w:r>
      <w:r w:rsidRPr="002033DD">
        <w:rPr>
          <w:rFonts w:ascii="Times New Roman" w:hAnsi="Times New Roman" w:cs="Times New Roman"/>
          <w:sz w:val="24"/>
          <w:szCs w:val="24"/>
        </w:rPr>
        <w:t xml:space="preserve"> que </w:t>
      </w:r>
      <w:r w:rsidRPr="002033DD">
        <w:rPr>
          <w:rFonts w:ascii="Times New Roman" w:hAnsi="Times New Roman" w:cs="Times New Roman"/>
          <w:sz w:val="24"/>
          <w:szCs w:val="24"/>
          <w:u w:val="single"/>
        </w:rPr>
        <w:t>não</w:t>
      </w:r>
      <w:r w:rsidRPr="002033DD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434893" w:rsidRPr="002033DD">
        <w:rPr>
          <w:rFonts w:ascii="Times New Roman" w:hAnsi="Times New Roman" w:cs="Times New Roman"/>
          <w:sz w:val="24"/>
          <w:szCs w:val="24"/>
        </w:rPr>
        <w:t>m</w:t>
      </w:r>
      <w:r w:rsidRPr="002033DD">
        <w:rPr>
          <w:rFonts w:ascii="Times New Roman" w:hAnsi="Times New Roman" w:cs="Times New Roman"/>
          <w:sz w:val="24"/>
          <w:szCs w:val="24"/>
        </w:rPr>
        <w:t xml:space="preserve"> a uma transação com partes relacionadas:</w:t>
      </w:r>
    </w:p>
    <w:p w14:paraId="03588D1E" w14:textId="77777777" w:rsidR="007E48AD" w:rsidRPr="002033DD" w:rsidRDefault="007E48AD" w:rsidP="00053FF6">
      <w:pPr>
        <w:pStyle w:val="PargrafodaLista"/>
        <w:numPr>
          <w:ilvl w:val="0"/>
          <w:numId w:val="1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Os produtos acabados comercializados pela controladora Raio de Sol ficam estocados na linha de produção </w:t>
      </w:r>
      <w:r w:rsidRPr="002033DD">
        <w:rPr>
          <w:rFonts w:ascii="Times New Roman" w:hAnsi="Times New Roman" w:cs="Times New Roman"/>
          <w:sz w:val="24"/>
          <w:szCs w:val="24"/>
          <w:u w:val="single"/>
        </w:rPr>
        <w:t>da controlada Rio Verde</w:t>
      </w:r>
      <w:r w:rsidRPr="002033DD">
        <w:rPr>
          <w:rFonts w:ascii="Times New Roman" w:hAnsi="Times New Roman" w:cs="Times New Roman"/>
          <w:sz w:val="24"/>
          <w:szCs w:val="24"/>
        </w:rPr>
        <w:t>, sendo que ambos os estoques são controlados e administrados pela mesma equipe de profissionais</w:t>
      </w:r>
      <w:r w:rsidR="002C0E90" w:rsidRPr="002033DD">
        <w:rPr>
          <w:rFonts w:ascii="Times New Roman" w:hAnsi="Times New Roman" w:cs="Times New Roman"/>
          <w:sz w:val="24"/>
          <w:szCs w:val="24"/>
        </w:rPr>
        <w:t xml:space="preserve">, que </w:t>
      </w:r>
      <w:r w:rsidR="002C0E90" w:rsidRPr="002033DD">
        <w:rPr>
          <w:rFonts w:ascii="Times New Roman" w:hAnsi="Times New Roman" w:cs="Times New Roman"/>
          <w:sz w:val="24"/>
          <w:szCs w:val="24"/>
        </w:rPr>
        <w:lastRenderedPageBreak/>
        <w:t>são funcionários da controladora. Anualmente, os custos dessa equipe são cobrados da controlada, proporcionalmente à parte que lhe pertence;</w:t>
      </w:r>
    </w:p>
    <w:p w14:paraId="772A5D5C" w14:textId="77777777" w:rsidR="007E48AD" w:rsidRPr="002033DD" w:rsidRDefault="002C0E90" w:rsidP="00053FF6">
      <w:pPr>
        <w:pStyle w:val="PargrafodaLista"/>
        <w:numPr>
          <w:ilvl w:val="0"/>
          <w:numId w:val="1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A Editora América S.A. possui todos os direitos autorais dos livros que são publicados pela Editora Nova Geração, sendo que foram assinados contratos por dez anos, apesar de </w:t>
      </w:r>
      <w:r w:rsidRPr="001B5BE7">
        <w:rPr>
          <w:rFonts w:ascii="Times New Roman" w:hAnsi="Times New Roman" w:cs="Times New Roman"/>
          <w:sz w:val="24"/>
          <w:szCs w:val="24"/>
        </w:rPr>
        <w:t>não haver qualquer vínculo societário entre as duas entidades</w:t>
      </w:r>
      <w:r w:rsidRPr="002033DD">
        <w:rPr>
          <w:rFonts w:ascii="Times New Roman" w:hAnsi="Times New Roman" w:cs="Times New Roman"/>
          <w:sz w:val="24"/>
          <w:szCs w:val="24"/>
        </w:rPr>
        <w:t>. Tais livros constituem parte significativa da receita anual da Editora Nova Geração;</w:t>
      </w:r>
    </w:p>
    <w:p w14:paraId="2F4C8BBB" w14:textId="7061670D" w:rsidR="007E48AD" w:rsidRPr="002033DD" w:rsidRDefault="00CB7A87" w:rsidP="00053FF6">
      <w:pPr>
        <w:pStyle w:val="PargrafodaLista"/>
        <w:numPr>
          <w:ilvl w:val="0"/>
          <w:numId w:val="1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O processo produtivo d</w:t>
      </w:r>
      <w:r w:rsidR="001B5BE7">
        <w:rPr>
          <w:rFonts w:ascii="Times New Roman" w:hAnsi="Times New Roman" w:cs="Times New Roman"/>
          <w:sz w:val="24"/>
          <w:szCs w:val="24"/>
        </w:rPr>
        <w:t>e</w:t>
      </w:r>
      <w:r w:rsidRPr="002033DD">
        <w:rPr>
          <w:rFonts w:ascii="Times New Roman" w:hAnsi="Times New Roman" w:cs="Times New Roman"/>
          <w:sz w:val="24"/>
          <w:szCs w:val="24"/>
        </w:rPr>
        <w:t xml:space="preserve"> Y, comercializado pela empresa Razio, constitui-se de três fases, sendo cada </w:t>
      </w:r>
      <w:r w:rsidR="001B5BE7">
        <w:rPr>
          <w:rFonts w:ascii="Times New Roman" w:hAnsi="Times New Roman" w:cs="Times New Roman"/>
          <w:sz w:val="24"/>
          <w:szCs w:val="24"/>
        </w:rPr>
        <w:t>uma delas</w:t>
      </w:r>
      <w:r w:rsidRPr="002033DD">
        <w:rPr>
          <w:rFonts w:ascii="Times New Roman" w:hAnsi="Times New Roman" w:cs="Times New Roman"/>
          <w:sz w:val="24"/>
          <w:szCs w:val="24"/>
        </w:rPr>
        <w:t xml:space="preserve"> executada em uma entidade diferente. As duas primeiras são produzidas pelas controladas em conjunto da empresa Razio, sendo que a terceira fase da produção é atribuída às Indústrias Moinho do Sul, que não tem qualquer vínculo com as demais empresas do grupo Razio. Os presidentes das empresas Razio e Indústrias Moinho do </w:t>
      </w:r>
      <w:r w:rsidRPr="001B5BE7">
        <w:rPr>
          <w:rFonts w:ascii="Times New Roman" w:hAnsi="Times New Roman" w:cs="Times New Roman"/>
          <w:sz w:val="24"/>
          <w:szCs w:val="24"/>
        </w:rPr>
        <w:t xml:space="preserve">Sul são </w:t>
      </w:r>
      <w:r w:rsidR="00ED5DAE">
        <w:rPr>
          <w:rFonts w:ascii="Times New Roman" w:hAnsi="Times New Roman" w:cs="Times New Roman"/>
          <w:sz w:val="24"/>
          <w:szCs w:val="24"/>
        </w:rPr>
        <w:t>pai e filho</w:t>
      </w:r>
      <w:r w:rsidRPr="001B5BE7">
        <w:rPr>
          <w:rFonts w:ascii="Times New Roman" w:hAnsi="Times New Roman" w:cs="Times New Roman"/>
          <w:sz w:val="24"/>
          <w:szCs w:val="24"/>
        </w:rPr>
        <w:t>;</w:t>
      </w:r>
    </w:p>
    <w:p w14:paraId="269961C6" w14:textId="77777777" w:rsidR="007E48AD" w:rsidRPr="002033DD" w:rsidRDefault="00CB7A87" w:rsidP="00053FF6">
      <w:pPr>
        <w:pStyle w:val="PargrafodaLista"/>
        <w:numPr>
          <w:ilvl w:val="0"/>
          <w:numId w:val="1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A Mineradora Irmão Santos é a única fornecedora de uma matéria-prima essencial para produção de duas empresas industriais, as Indústrias Mooca e a Com. Ind. Pari. </w:t>
      </w:r>
      <w:r w:rsidRPr="001B5BE7">
        <w:rPr>
          <w:rFonts w:ascii="Times New Roman" w:hAnsi="Times New Roman" w:cs="Times New Roman"/>
          <w:sz w:val="24"/>
          <w:szCs w:val="24"/>
        </w:rPr>
        <w:t>Não há qualquer vínculo societário entre as três empresas, cujos administradores são diferentes e mantêm contratos de fornecimento respaldados</w:t>
      </w:r>
      <w:r w:rsidRPr="002033DD">
        <w:rPr>
          <w:rFonts w:ascii="Times New Roman" w:hAnsi="Times New Roman" w:cs="Times New Roman"/>
          <w:sz w:val="24"/>
          <w:szCs w:val="24"/>
        </w:rPr>
        <w:t xml:space="preserve"> em lei;</w:t>
      </w:r>
    </w:p>
    <w:p w14:paraId="65489E6D" w14:textId="77777777" w:rsidR="007E48AD" w:rsidRPr="002033DD" w:rsidRDefault="00CB7A87" w:rsidP="00053FF6">
      <w:pPr>
        <w:pStyle w:val="PargrafodaLista"/>
        <w:numPr>
          <w:ilvl w:val="0"/>
          <w:numId w:val="1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O grupo empresarial Daina detém </w:t>
      </w:r>
      <w:r w:rsidRPr="001B5BE7">
        <w:rPr>
          <w:rFonts w:ascii="Times New Roman" w:hAnsi="Times New Roman" w:cs="Times New Roman"/>
          <w:sz w:val="24"/>
          <w:szCs w:val="24"/>
        </w:rPr>
        <w:t>os direitos de aquisição de todas as essências vegetais produzidas</w:t>
      </w:r>
      <w:r w:rsidRPr="002033DD">
        <w:rPr>
          <w:rFonts w:ascii="Times New Roman" w:hAnsi="Times New Roman" w:cs="Times New Roman"/>
          <w:sz w:val="24"/>
          <w:szCs w:val="24"/>
        </w:rPr>
        <w:t xml:space="preserve"> em determinada região do país, respaldada em contratos de longo prazo que lhe assegurem condições para determinar os preços e quantidade de fornecimento. Há atualmente quatro indústrias </w:t>
      </w:r>
      <w:r w:rsidR="00252594" w:rsidRPr="002033DD">
        <w:rPr>
          <w:rFonts w:ascii="Times New Roman" w:hAnsi="Times New Roman" w:cs="Times New Roman"/>
          <w:sz w:val="24"/>
          <w:szCs w:val="24"/>
        </w:rPr>
        <w:t>interessadas na aquisição dessas essências vegetais para a produção para o mercado exterior.</w:t>
      </w:r>
    </w:p>
    <w:p w14:paraId="6C455D92" w14:textId="77777777" w:rsidR="00A24A6E" w:rsidRPr="002033DD" w:rsidRDefault="00A24A6E" w:rsidP="006C177B">
      <w:pPr>
        <w:pStyle w:val="PargrafodaLista"/>
        <w:spacing w:after="200"/>
        <w:ind w:left="567"/>
        <w:rPr>
          <w:rFonts w:ascii="Times New Roman" w:hAnsi="Times New Roman" w:cs="Times New Roman"/>
          <w:sz w:val="24"/>
          <w:szCs w:val="24"/>
        </w:rPr>
      </w:pPr>
    </w:p>
    <w:p w14:paraId="12F6FD3C" w14:textId="77777777" w:rsidR="0003586F" w:rsidRPr="002033DD" w:rsidRDefault="0003586F" w:rsidP="0003586F">
      <w:pPr>
        <w:pStyle w:val="PargrafodaLista"/>
        <w:spacing w:after="200"/>
        <w:ind w:left="567"/>
        <w:rPr>
          <w:rFonts w:ascii="Times New Roman" w:hAnsi="Times New Roman" w:cs="Times New Roman"/>
          <w:sz w:val="24"/>
          <w:szCs w:val="24"/>
        </w:rPr>
      </w:pPr>
    </w:p>
    <w:p w14:paraId="285D9ED8" w14:textId="77777777" w:rsidR="006C177B" w:rsidRPr="002033DD" w:rsidRDefault="0003586F" w:rsidP="00053FF6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Os adiantamentos ou </w:t>
      </w:r>
      <w:r w:rsidRPr="001B5BE7">
        <w:rPr>
          <w:rFonts w:ascii="Times New Roman" w:hAnsi="Times New Roman" w:cs="Times New Roman"/>
          <w:sz w:val="24"/>
          <w:szCs w:val="24"/>
        </w:rPr>
        <w:t>empréstimos a receber</w:t>
      </w:r>
      <w:r w:rsidRPr="002033DD">
        <w:rPr>
          <w:rFonts w:ascii="Times New Roman" w:hAnsi="Times New Roman" w:cs="Times New Roman"/>
          <w:sz w:val="24"/>
          <w:szCs w:val="24"/>
        </w:rPr>
        <w:t xml:space="preserve"> de socie</w:t>
      </w:r>
      <w:r w:rsidR="00105602" w:rsidRPr="002033DD">
        <w:rPr>
          <w:rFonts w:ascii="Times New Roman" w:hAnsi="Times New Roman" w:cs="Times New Roman"/>
          <w:sz w:val="24"/>
          <w:szCs w:val="24"/>
        </w:rPr>
        <w:t>dades coligadas ou controladas</w:t>
      </w:r>
      <w:r w:rsidRPr="002033DD">
        <w:rPr>
          <w:rFonts w:ascii="Times New Roman" w:hAnsi="Times New Roman" w:cs="Times New Roman"/>
          <w:sz w:val="24"/>
          <w:szCs w:val="24"/>
        </w:rPr>
        <w:t>, que não constituírem negócios usuais na exploração do objeto da companhia:</w:t>
      </w:r>
    </w:p>
    <w:p w14:paraId="2AA39937" w14:textId="77777777" w:rsidR="0003586F" w:rsidRPr="002033DD" w:rsidRDefault="0003586F" w:rsidP="00053FF6">
      <w:pPr>
        <w:pStyle w:val="PargrafodaLista"/>
        <w:numPr>
          <w:ilvl w:val="0"/>
          <w:numId w:val="2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Devem ser registrados no ativo realizável a longo prazo;</w:t>
      </w:r>
    </w:p>
    <w:p w14:paraId="6139972A" w14:textId="77777777" w:rsidR="0003586F" w:rsidRPr="002033DD" w:rsidRDefault="0003586F" w:rsidP="00053FF6">
      <w:pPr>
        <w:pStyle w:val="PargrafodaLista"/>
        <w:numPr>
          <w:ilvl w:val="0"/>
          <w:numId w:val="2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Devem ser classificados no </w:t>
      </w:r>
      <w:r w:rsidRPr="00FC58A6">
        <w:rPr>
          <w:rFonts w:ascii="Times New Roman" w:hAnsi="Times New Roman" w:cs="Times New Roman"/>
          <w:sz w:val="24"/>
          <w:szCs w:val="24"/>
        </w:rPr>
        <w:t>passivo circulante</w:t>
      </w:r>
      <w:r w:rsidRPr="002033DD">
        <w:rPr>
          <w:rFonts w:ascii="Times New Roman" w:hAnsi="Times New Roman" w:cs="Times New Roman"/>
          <w:sz w:val="24"/>
          <w:szCs w:val="24"/>
        </w:rPr>
        <w:t>, se não houver um prazo fixado em instrumento próprio;</w:t>
      </w:r>
    </w:p>
    <w:p w14:paraId="79690B55" w14:textId="77777777" w:rsidR="0003586F" w:rsidRPr="00FC58A6" w:rsidRDefault="0003586F" w:rsidP="00053FF6">
      <w:pPr>
        <w:pStyle w:val="PargrafodaLista"/>
        <w:numPr>
          <w:ilvl w:val="0"/>
          <w:numId w:val="2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Serão sempre classificados no </w:t>
      </w:r>
      <w:r w:rsidRPr="00FC58A6">
        <w:rPr>
          <w:rFonts w:ascii="Times New Roman" w:hAnsi="Times New Roman" w:cs="Times New Roman"/>
          <w:sz w:val="24"/>
          <w:szCs w:val="24"/>
        </w:rPr>
        <w:t>exigível a longo prazo, independentemente da existência de prazo para liquidação fixado em contrato;</w:t>
      </w:r>
    </w:p>
    <w:p w14:paraId="4DE4BD5B" w14:textId="77777777" w:rsidR="0003586F" w:rsidRPr="00FC58A6" w:rsidRDefault="0003586F" w:rsidP="00053FF6">
      <w:pPr>
        <w:pStyle w:val="PargrafodaLista"/>
        <w:numPr>
          <w:ilvl w:val="0"/>
          <w:numId w:val="2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8A6">
        <w:rPr>
          <w:rFonts w:ascii="Times New Roman" w:hAnsi="Times New Roman" w:cs="Times New Roman"/>
          <w:sz w:val="24"/>
          <w:szCs w:val="24"/>
        </w:rPr>
        <w:t>Serão sempre classificados no passivo circulante</w:t>
      </w:r>
      <w:r w:rsidR="009848A1" w:rsidRPr="00FC58A6">
        <w:rPr>
          <w:rFonts w:ascii="Times New Roman" w:hAnsi="Times New Roman" w:cs="Times New Roman"/>
          <w:sz w:val="24"/>
          <w:szCs w:val="24"/>
        </w:rPr>
        <w:t>, independentemente da existência de prazo para liquidação fixado em contrato;</w:t>
      </w:r>
    </w:p>
    <w:p w14:paraId="5B41211A" w14:textId="77777777" w:rsidR="009848A1" w:rsidRPr="002033DD" w:rsidRDefault="009848A1" w:rsidP="00053FF6">
      <w:pPr>
        <w:pStyle w:val="PargrafodaLista"/>
        <w:numPr>
          <w:ilvl w:val="0"/>
          <w:numId w:val="21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8A6">
        <w:rPr>
          <w:rFonts w:ascii="Times New Roman" w:hAnsi="Times New Roman" w:cs="Times New Roman"/>
          <w:sz w:val="24"/>
          <w:szCs w:val="24"/>
        </w:rPr>
        <w:t>Serão sempre classificados no ativo circulante</w:t>
      </w:r>
      <w:r w:rsidRPr="002033DD">
        <w:rPr>
          <w:rFonts w:ascii="Times New Roman" w:hAnsi="Times New Roman" w:cs="Times New Roman"/>
          <w:sz w:val="24"/>
          <w:szCs w:val="24"/>
        </w:rPr>
        <w:t>, independentemente da existência de prazo para liquidação fixado em contrato.</w:t>
      </w:r>
    </w:p>
    <w:p w14:paraId="6C9FC280" w14:textId="77777777" w:rsidR="009848A1" w:rsidRPr="002033DD" w:rsidRDefault="009848A1" w:rsidP="009848A1">
      <w:pPr>
        <w:pStyle w:val="PargrafodaLista"/>
        <w:spacing w:after="200"/>
        <w:ind w:left="567"/>
        <w:rPr>
          <w:rFonts w:ascii="Times New Roman" w:hAnsi="Times New Roman" w:cs="Times New Roman"/>
          <w:sz w:val="24"/>
          <w:szCs w:val="24"/>
        </w:rPr>
      </w:pPr>
    </w:p>
    <w:p w14:paraId="47F5A375" w14:textId="77777777" w:rsidR="0003586F" w:rsidRPr="002033DD" w:rsidRDefault="009848A1" w:rsidP="00291CE5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A </w:t>
      </w:r>
      <w:r w:rsidRPr="00FC58A6">
        <w:rPr>
          <w:rFonts w:ascii="Times New Roman" w:hAnsi="Times New Roman" w:cs="Times New Roman"/>
          <w:sz w:val="24"/>
          <w:szCs w:val="24"/>
        </w:rPr>
        <w:t>legislação societária teve como uma das suas principais preocupações a proteção dos agentes de mercado de capitais que não têm acesso às informações detalhadas</w:t>
      </w:r>
      <w:r w:rsidRPr="002033DD">
        <w:rPr>
          <w:rFonts w:ascii="Times New Roman" w:hAnsi="Times New Roman" w:cs="Times New Roman"/>
          <w:sz w:val="24"/>
          <w:szCs w:val="24"/>
        </w:rPr>
        <w:t xml:space="preserve"> da empresa. Assinale a premissa </w:t>
      </w:r>
      <w:r w:rsidRPr="002033DD">
        <w:rPr>
          <w:rFonts w:ascii="Times New Roman" w:hAnsi="Times New Roman" w:cs="Times New Roman"/>
          <w:sz w:val="24"/>
          <w:szCs w:val="24"/>
          <w:u w:val="single"/>
        </w:rPr>
        <w:t xml:space="preserve">falsa </w:t>
      </w:r>
      <w:r w:rsidRPr="002033DD">
        <w:rPr>
          <w:rFonts w:ascii="Times New Roman" w:hAnsi="Times New Roman" w:cs="Times New Roman"/>
          <w:sz w:val="24"/>
          <w:szCs w:val="24"/>
        </w:rPr>
        <w:t xml:space="preserve">em relação aos atuais </w:t>
      </w:r>
      <w:r w:rsidR="009314F0" w:rsidRPr="002033DD">
        <w:rPr>
          <w:rFonts w:ascii="Times New Roman" w:hAnsi="Times New Roman" w:cs="Times New Roman"/>
          <w:sz w:val="24"/>
          <w:szCs w:val="24"/>
        </w:rPr>
        <w:t>dispositivos legais e pronunciamentos do CPC:</w:t>
      </w:r>
    </w:p>
    <w:p w14:paraId="358C9C31" w14:textId="77777777" w:rsidR="009314F0" w:rsidRPr="00FC58A6" w:rsidRDefault="009314F0" w:rsidP="00291CE5">
      <w:pPr>
        <w:pStyle w:val="PargrafodaLista"/>
        <w:numPr>
          <w:ilvl w:val="0"/>
          <w:numId w:val="22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8A6">
        <w:rPr>
          <w:rFonts w:ascii="Times New Roman" w:hAnsi="Times New Roman" w:cs="Times New Roman"/>
          <w:sz w:val="24"/>
          <w:szCs w:val="24"/>
        </w:rPr>
        <w:t>A Lei nº 6.404/76, conhecida como Lei das Sociedades por Ações, teve como uma de suas preocupações a proteção dos interesses dos acionistas não controladores;</w:t>
      </w:r>
    </w:p>
    <w:p w14:paraId="6E50D1B9" w14:textId="3E5BEBDC" w:rsidR="009314F0" w:rsidRPr="00FC58A6" w:rsidRDefault="00ED5DAE" w:rsidP="00291CE5">
      <w:pPr>
        <w:pStyle w:val="PargrafodaLista"/>
        <w:numPr>
          <w:ilvl w:val="0"/>
          <w:numId w:val="22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montante das transações</w:t>
      </w:r>
      <w:r w:rsidR="009314F0" w:rsidRPr="00FC58A6">
        <w:rPr>
          <w:rFonts w:ascii="Times New Roman" w:hAnsi="Times New Roman" w:cs="Times New Roman"/>
          <w:sz w:val="24"/>
          <w:szCs w:val="24"/>
        </w:rPr>
        <w:t xml:space="preserve"> entre as partes relacionadas deve</w:t>
      </w:r>
      <w:r>
        <w:rPr>
          <w:rFonts w:ascii="Times New Roman" w:hAnsi="Times New Roman" w:cs="Times New Roman"/>
          <w:sz w:val="24"/>
          <w:szCs w:val="24"/>
        </w:rPr>
        <w:t xml:space="preserve"> ser segregado</w:t>
      </w:r>
      <w:r w:rsidR="009314F0" w:rsidRPr="00FC58A6">
        <w:rPr>
          <w:rFonts w:ascii="Times New Roman" w:hAnsi="Times New Roman" w:cs="Times New Roman"/>
          <w:sz w:val="24"/>
          <w:szCs w:val="24"/>
        </w:rPr>
        <w:t xml:space="preserve"> nas demonstrações contábeis e divulgad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14F0" w:rsidRPr="00FC58A6">
        <w:rPr>
          <w:rFonts w:ascii="Times New Roman" w:hAnsi="Times New Roman" w:cs="Times New Roman"/>
          <w:sz w:val="24"/>
          <w:szCs w:val="24"/>
        </w:rPr>
        <w:t xml:space="preserve"> em notas explicativas, se os valores forem significativos;</w:t>
      </w:r>
    </w:p>
    <w:p w14:paraId="2D8AA2D0" w14:textId="1021C9C3" w:rsidR="009314F0" w:rsidRPr="00FC58A6" w:rsidRDefault="00ED5DAE" w:rsidP="00291CE5">
      <w:pPr>
        <w:pStyle w:val="PargrafodaLista"/>
        <w:numPr>
          <w:ilvl w:val="0"/>
          <w:numId w:val="22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montante das transações</w:t>
      </w:r>
      <w:r w:rsidR="009314F0" w:rsidRPr="00FC58A6">
        <w:rPr>
          <w:rFonts w:ascii="Times New Roman" w:hAnsi="Times New Roman" w:cs="Times New Roman"/>
          <w:sz w:val="24"/>
          <w:szCs w:val="24"/>
        </w:rPr>
        <w:t xml:space="preserve"> entre as partes relacionadas deve ser segregad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14F0" w:rsidRPr="00FC58A6">
        <w:rPr>
          <w:rFonts w:ascii="Times New Roman" w:hAnsi="Times New Roman" w:cs="Times New Roman"/>
          <w:sz w:val="24"/>
          <w:szCs w:val="24"/>
        </w:rPr>
        <w:t xml:space="preserve"> nas demonstrações contábeis e divulgadas em notas explicativas somente se houver a consolidação das demonstrações contábeis;</w:t>
      </w:r>
    </w:p>
    <w:p w14:paraId="3A94E219" w14:textId="77777777" w:rsidR="009314F0" w:rsidRPr="002033DD" w:rsidRDefault="009314F0" w:rsidP="00291CE5">
      <w:pPr>
        <w:pStyle w:val="PargrafodaLista"/>
        <w:numPr>
          <w:ilvl w:val="0"/>
          <w:numId w:val="22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58A6">
        <w:rPr>
          <w:rFonts w:ascii="Times New Roman" w:hAnsi="Times New Roman" w:cs="Times New Roman"/>
          <w:sz w:val="24"/>
          <w:szCs w:val="24"/>
        </w:rPr>
        <w:t>Se os valores</w:t>
      </w:r>
      <w:r w:rsidRPr="002033DD">
        <w:rPr>
          <w:rFonts w:ascii="Times New Roman" w:hAnsi="Times New Roman" w:cs="Times New Roman"/>
          <w:sz w:val="24"/>
          <w:szCs w:val="24"/>
        </w:rPr>
        <w:t xml:space="preserve"> envolvidos não forem significativos, não</w:t>
      </w:r>
      <w:r w:rsidR="00620732" w:rsidRPr="002033DD">
        <w:rPr>
          <w:rFonts w:ascii="Times New Roman" w:hAnsi="Times New Roman" w:cs="Times New Roman"/>
          <w:sz w:val="24"/>
          <w:szCs w:val="24"/>
        </w:rPr>
        <w:t xml:space="preserve"> há necessidade de divulgar em notas explicativas as receitas e despesas entre as partes relacionadas;</w:t>
      </w:r>
    </w:p>
    <w:p w14:paraId="7066E3CE" w14:textId="77777777" w:rsidR="00620732" w:rsidRPr="002033DD" w:rsidRDefault="00620732" w:rsidP="00620732">
      <w:pPr>
        <w:pStyle w:val="PargrafodaLista"/>
        <w:spacing w:after="200"/>
        <w:ind w:left="567"/>
        <w:rPr>
          <w:rFonts w:ascii="Times New Roman" w:hAnsi="Times New Roman" w:cs="Times New Roman"/>
          <w:sz w:val="24"/>
          <w:szCs w:val="24"/>
        </w:rPr>
      </w:pPr>
    </w:p>
    <w:p w14:paraId="11855626" w14:textId="77777777" w:rsidR="00620732" w:rsidRPr="002033DD" w:rsidRDefault="00620732" w:rsidP="00620732">
      <w:pPr>
        <w:pStyle w:val="PargrafodaLista"/>
        <w:spacing w:after="200"/>
        <w:ind w:left="567"/>
        <w:rPr>
          <w:rFonts w:ascii="Times New Roman" w:hAnsi="Times New Roman" w:cs="Times New Roman"/>
          <w:sz w:val="24"/>
          <w:szCs w:val="24"/>
        </w:rPr>
      </w:pPr>
    </w:p>
    <w:p w14:paraId="4346A262" w14:textId="6A9A35FA" w:rsidR="00620732" w:rsidRPr="002033DD" w:rsidRDefault="00620732" w:rsidP="00291CE5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Identifique, nas opções a seguir, aquela na </w:t>
      </w:r>
      <w:r w:rsidRPr="002033DD">
        <w:rPr>
          <w:rFonts w:ascii="Times New Roman" w:hAnsi="Times New Roman" w:cs="Times New Roman"/>
          <w:sz w:val="24"/>
          <w:szCs w:val="24"/>
          <w:u w:val="single"/>
        </w:rPr>
        <w:t>qual não caracteriza</w:t>
      </w:r>
      <w:r w:rsidRPr="002033DD">
        <w:rPr>
          <w:rFonts w:ascii="Times New Roman" w:hAnsi="Times New Roman" w:cs="Times New Roman"/>
          <w:sz w:val="24"/>
          <w:szCs w:val="24"/>
        </w:rPr>
        <w:t xml:space="preserve"> o conceito de partes relacionadas:</w:t>
      </w:r>
    </w:p>
    <w:p w14:paraId="07D05462" w14:textId="77777777" w:rsidR="00620732" w:rsidRPr="002033DD" w:rsidRDefault="00620732" w:rsidP="00291CE5">
      <w:pPr>
        <w:pStyle w:val="PargrafodaLista"/>
        <w:numPr>
          <w:ilvl w:val="0"/>
          <w:numId w:val="24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Empresas que, direta ou indiretamente, através de uma ou mais empresas intermediárias, controlam a empresa que apresenta suas Demonstrações Financeiras;</w:t>
      </w:r>
    </w:p>
    <w:p w14:paraId="5E41F1B7" w14:textId="2BC6B7BA" w:rsidR="00620732" w:rsidRPr="002033DD" w:rsidRDefault="00620732" w:rsidP="00291CE5">
      <w:pPr>
        <w:pStyle w:val="PargrafodaLista"/>
        <w:numPr>
          <w:ilvl w:val="0"/>
          <w:numId w:val="24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Pessoas que possuem, direta ou indiretamente, </w:t>
      </w:r>
      <w:r w:rsidR="00ED5DAE">
        <w:rPr>
          <w:rFonts w:ascii="Times New Roman" w:hAnsi="Times New Roman" w:cs="Times New Roman"/>
          <w:sz w:val="24"/>
          <w:szCs w:val="24"/>
        </w:rPr>
        <w:t>poder de voto n</w:t>
      </w:r>
      <w:r w:rsidRPr="002033DD">
        <w:rPr>
          <w:rFonts w:ascii="Times New Roman" w:hAnsi="Times New Roman" w:cs="Times New Roman"/>
          <w:sz w:val="24"/>
          <w:szCs w:val="24"/>
        </w:rPr>
        <w:t>a empresa que emite as Demonstrações Financeiras;</w:t>
      </w:r>
    </w:p>
    <w:p w14:paraId="22E2E993" w14:textId="0DAF78FB" w:rsidR="00620732" w:rsidRPr="002033DD" w:rsidRDefault="00434893" w:rsidP="00291CE5">
      <w:pPr>
        <w:pStyle w:val="PargrafodaLista"/>
        <w:numPr>
          <w:ilvl w:val="0"/>
          <w:numId w:val="24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Pessoas chaves</w:t>
      </w:r>
      <w:r w:rsidR="00620732" w:rsidRPr="002033DD">
        <w:rPr>
          <w:rFonts w:ascii="Times New Roman" w:hAnsi="Times New Roman" w:cs="Times New Roman"/>
          <w:sz w:val="24"/>
          <w:szCs w:val="24"/>
        </w:rPr>
        <w:t xml:space="preserve"> da administração, inclusive diretores e executivos de companh</w:t>
      </w:r>
      <w:r w:rsidR="00205DB3" w:rsidRPr="002033DD">
        <w:rPr>
          <w:rFonts w:ascii="Times New Roman" w:hAnsi="Times New Roman" w:cs="Times New Roman"/>
          <w:sz w:val="24"/>
          <w:szCs w:val="24"/>
        </w:rPr>
        <w:t>i</w:t>
      </w:r>
      <w:r w:rsidR="00620732" w:rsidRPr="002033DD">
        <w:rPr>
          <w:rFonts w:ascii="Times New Roman" w:hAnsi="Times New Roman" w:cs="Times New Roman"/>
          <w:sz w:val="24"/>
          <w:szCs w:val="24"/>
        </w:rPr>
        <w:t>as e membros mais próximos de suas famílias</w:t>
      </w:r>
      <w:r w:rsidR="009440EB" w:rsidRPr="002033DD">
        <w:rPr>
          <w:rFonts w:ascii="Times New Roman" w:hAnsi="Times New Roman" w:cs="Times New Roman"/>
          <w:sz w:val="24"/>
          <w:szCs w:val="24"/>
        </w:rPr>
        <w:t>;</w:t>
      </w:r>
    </w:p>
    <w:p w14:paraId="76277C0C" w14:textId="77777777" w:rsidR="009440EB" w:rsidRPr="002033DD" w:rsidRDefault="009440EB" w:rsidP="00291CE5">
      <w:pPr>
        <w:pStyle w:val="PargrafodaLista"/>
        <w:numPr>
          <w:ilvl w:val="0"/>
          <w:numId w:val="24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Empresas com administradores comuns ou que possam influenciar e/ou beneficiarem-se de determinadas decisões nas referidas empresas, tomadas em conjunto ou individualmente;</w:t>
      </w:r>
    </w:p>
    <w:p w14:paraId="63CEDBC8" w14:textId="1ED5AF17" w:rsidR="009440EB" w:rsidRPr="002033DD" w:rsidRDefault="009440EB" w:rsidP="00291CE5">
      <w:pPr>
        <w:pStyle w:val="PargrafodaLista"/>
        <w:numPr>
          <w:ilvl w:val="0"/>
          <w:numId w:val="24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 xml:space="preserve">Empresas possuídas por acionistas não controladores, </w:t>
      </w:r>
      <w:r w:rsidR="00ED5DAE">
        <w:rPr>
          <w:rFonts w:ascii="Times New Roman" w:hAnsi="Times New Roman" w:cs="Times New Roman"/>
          <w:sz w:val="24"/>
          <w:szCs w:val="24"/>
        </w:rPr>
        <w:t>sem influência significativa</w:t>
      </w:r>
      <w:r w:rsidRPr="002033DD">
        <w:rPr>
          <w:rFonts w:ascii="Times New Roman" w:hAnsi="Times New Roman" w:cs="Times New Roman"/>
          <w:sz w:val="24"/>
          <w:szCs w:val="24"/>
        </w:rPr>
        <w:t>.</w:t>
      </w:r>
    </w:p>
    <w:p w14:paraId="11D27894" w14:textId="77777777" w:rsidR="00620732" w:rsidRPr="002033DD" w:rsidRDefault="00620732" w:rsidP="00620732">
      <w:pPr>
        <w:pStyle w:val="PargrafodaLista"/>
        <w:spacing w:after="200"/>
        <w:rPr>
          <w:rFonts w:ascii="Times New Roman" w:hAnsi="Times New Roman" w:cs="Times New Roman"/>
          <w:sz w:val="24"/>
          <w:szCs w:val="24"/>
        </w:rPr>
      </w:pPr>
    </w:p>
    <w:p w14:paraId="52686EFA" w14:textId="77777777" w:rsidR="00620732" w:rsidRPr="002033DD" w:rsidRDefault="009440EB" w:rsidP="00291CE5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A Cia. Itamaracá tem como atividade o transporte de cargas e foi constituída apenas para prestar esse tipo de serviço às empresas do grupo. Nesse caso, a divulgação desse fato em notas explicativas:</w:t>
      </w:r>
    </w:p>
    <w:p w14:paraId="0B7642EB" w14:textId="77777777" w:rsidR="009440EB" w:rsidRPr="002033DD" w:rsidRDefault="009440EB" w:rsidP="00291CE5">
      <w:pPr>
        <w:pStyle w:val="PargrafodaLista"/>
        <w:numPr>
          <w:ilvl w:val="0"/>
          <w:numId w:val="25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Não é necessária se as empresas do grupo estiverem obrigadas a consolidar suas demonstrações;</w:t>
      </w:r>
    </w:p>
    <w:p w14:paraId="52F1D988" w14:textId="77777777" w:rsidR="009440EB" w:rsidRPr="002033DD" w:rsidRDefault="009440EB" w:rsidP="00291CE5">
      <w:pPr>
        <w:pStyle w:val="PargrafodaLista"/>
        <w:numPr>
          <w:ilvl w:val="0"/>
          <w:numId w:val="25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É obrigatória por ferir possíveis interesses de acionistas não controladores e afetar a tributação do Imposto de Renda;</w:t>
      </w:r>
    </w:p>
    <w:p w14:paraId="23331E09" w14:textId="77777777" w:rsidR="009440EB" w:rsidRPr="002033DD" w:rsidRDefault="009440EB" w:rsidP="00291CE5">
      <w:pPr>
        <w:pStyle w:val="PargrafodaLista"/>
        <w:numPr>
          <w:ilvl w:val="0"/>
          <w:numId w:val="25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É facultativa desde que esta decisão não afete o fato gerador para o cálculo do ICMS e do Imposto de Renda;</w:t>
      </w:r>
    </w:p>
    <w:p w14:paraId="7B13FAC2" w14:textId="77777777" w:rsidR="009440EB" w:rsidRPr="002033DD" w:rsidRDefault="009440EB" w:rsidP="00291CE5">
      <w:pPr>
        <w:pStyle w:val="PargrafodaLista"/>
        <w:numPr>
          <w:ilvl w:val="0"/>
          <w:numId w:val="25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Não é necessária por eventualmente vir a gerar transferências não remuneradas entre as partes relacionadas;</w:t>
      </w:r>
    </w:p>
    <w:p w14:paraId="4887ED38" w14:textId="06AACCA7" w:rsidR="009440EB" w:rsidRPr="002033DD" w:rsidRDefault="009440EB" w:rsidP="00291CE5">
      <w:pPr>
        <w:pStyle w:val="PargrafodaLista"/>
        <w:numPr>
          <w:ilvl w:val="0"/>
          <w:numId w:val="25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É indispensável por se tratar de operações entre partes relacionadas.</w:t>
      </w:r>
    </w:p>
    <w:p w14:paraId="21A46A37" w14:textId="77777777" w:rsidR="009440EB" w:rsidRPr="002033DD" w:rsidRDefault="009440EB" w:rsidP="00291CE5">
      <w:pPr>
        <w:pStyle w:val="PargrafodaLista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79B9F05E" w14:textId="77777777" w:rsidR="009440EB" w:rsidRPr="002033DD" w:rsidRDefault="003849A4" w:rsidP="00291CE5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Todas as opções abaixo descritas são transações entre partes relacionadas</w:t>
      </w:r>
      <w:r w:rsidRPr="002033DD">
        <w:rPr>
          <w:rFonts w:ascii="Times New Roman" w:hAnsi="Times New Roman" w:cs="Times New Roman"/>
          <w:sz w:val="24"/>
          <w:szCs w:val="24"/>
          <w:u w:val="single"/>
        </w:rPr>
        <w:t>, exceto</w:t>
      </w:r>
      <w:r w:rsidRPr="002033DD">
        <w:rPr>
          <w:rFonts w:ascii="Times New Roman" w:hAnsi="Times New Roman" w:cs="Times New Roman"/>
          <w:sz w:val="24"/>
          <w:szCs w:val="24"/>
        </w:rPr>
        <w:t>:</w:t>
      </w:r>
    </w:p>
    <w:p w14:paraId="6D473544" w14:textId="77777777" w:rsidR="003849A4" w:rsidRPr="002033DD" w:rsidRDefault="003849A4" w:rsidP="00291CE5">
      <w:pPr>
        <w:pStyle w:val="PargrafodaLista"/>
        <w:numPr>
          <w:ilvl w:val="0"/>
          <w:numId w:val="27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Compras ou vendas de produtos/serviços, realizadas pela controladora, que constituem o objeto social da empresa controlada;</w:t>
      </w:r>
    </w:p>
    <w:p w14:paraId="5FD359ED" w14:textId="77777777" w:rsidR="003849A4" w:rsidRPr="002033DD" w:rsidRDefault="003849A4" w:rsidP="00291CE5">
      <w:pPr>
        <w:pStyle w:val="PargrafodaLista"/>
        <w:numPr>
          <w:ilvl w:val="0"/>
          <w:numId w:val="27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Avais, fianças e hipotecas, depósitos e outras garantias concedidas a empresas de acionistas controladores;</w:t>
      </w:r>
    </w:p>
    <w:p w14:paraId="4A2DCC69" w14:textId="77777777" w:rsidR="003849A4" w:rsidRPr="002033DD" w:rsidRDefault="003849A4" w:rsidP="00291CE5">
      <w:pPr>
        <w:pStyle w:val="PargrafodaLista"/>
        <w:numPr>
          <w:ilvl w:val="0"/>
          <w:numId w:val="27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Direitos de preferência à subscrição de valores mobiliários de empresas coligadas em condições favorecidas;</w:t>
      </w:r>
    </w:p>
    <w:p w14:paraId="5A07C6E3" w14:textId="77777777" w:rsidR="003849A4" w:rsidRPr="002033DD" w:rsidRDefault="003849A4" w:rsidP="00291CE5">
      <w:pPr>
        <w:pStyle w:val="PargrafodaLista"/>
        <w:numPr>
          <w:ilvl w:val="0"/>
          <w:numId w:val="27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Quaisquer transferências não remuneradas efetuadas com empresas pertencentes ao mesmo grupo econômico;</w:t>
      </w:r>
    </w:p>
    <w:p w14:paraId="7765DE22" w14:textId="77777777" w:rsidR="003849A4" w:rsidRPr="002033DD" w:rsidRDefault="003849A4" w:rsidP="00291CE5">
      <w:pPr>
        <w:pStyle w:val="PargrafodaLista"/>
        <w:numPr>
          <w:ilvl w:val="0"/>
          <w:numId w:val="27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Alienação ou transferência de direitos de propriedade industrial realizadas sem qualquer tipo de benefício ou dependência.</w:t>
      </w:r>
    </w:p>
    <w:p w14:paraId="1A07BF3B" w14:textId="77777777" w:rsidR="003849A4" w:rsidRPr="002033DD" w:rsidRDefault="003849A4" w:rsidP="00291CE5">
      <w:pPr>
        <w:pStyle w:val="PargrafodaLista"/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3FFE18" w14:textId="77777777" w:rsidR="003849A4" w:rsidRPr="002033DD" w:rsidRDefault="003849A4" w:rsidP="00291CE5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A exigência de divulgação das transações entre partes relacionadas é dispensável quando:</w:t>
      </w:r>
    </w:p>
    <w:p w14:paraId="5003B962" w14:textId="77777777" w:rsidR="003849A4" w:rsidRPr="002033DD" w:rsidRDefault="003849A4" w:rsidP="00291CE5">
      <w:pPr>
        <w:pStyle w:val="PargrafodaLista"/>
        <w:numPr>
          <w:ilvl w:val="0"/>
          <w:numId w:val="28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As operações entre as partes relacionadas tenham ocorrido nas mesmas condições das operações realizadas com terceiros;</w:t>
      </w:r>
    </w:p>
    <w:p w14:paraId="39EBB633" w14:textId="77777777" w:rsidR="003849A4" w:rsidRPr="002033DD" w:rsidRDefault="003849A4" w:rsidP="00291CE5">
      <w:pPr>
        <w:pStyle w:val="PargrafodaLista"/>
        <w:numPr>
          <w:ilvl w:val="0"/>
          <w:numId w:val="28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Da existência de empresas relacionadas não incluídas no processo de consolidação;</w:t>
      </w:r>
    </w:p>
    <w:p w14:paraId="22B994F3" w14:textId="77777777" w:rsidR="003849A4" w:rsidRPr="002033DD" w:rsidRDefault="003849A4" w:rsidP="00291CE5">
      <w:pPr>
        <w:pStyle w:val="PargrafodaLista"/>
        <w:numPr>
          <w:ilvl w:val="0"/>
          <w:numId w:val="28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Essas transações ocorrerem entre empresas obrigadas a publicar demonstrações contábeis consolidadas;</w:t>
      </w:r>
    </w:p>
    <w:p w14:paraId="449400A0" w14:textId="77777777" w:rsidR="003849A4" w:rsidRPr="002033DD" w:rsidRDefault="003849A4" w:rsidP="00291CE5">
      <w:pPr>
        <w:pStyle w:val="PargrafodaLista"/>
        <w:numPr>
          <w:ilvl w:val="0"/>
          <w:numId w:val="28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Na ocorrência de transferências não remuneradas entre as partes relacionadas</w:t>
      </w:r>
      <w:r w:rsidR="00F65A2B" w:rsidRPr="002033DD">
        <w:rPr>
          <w:rFonts w:ascii="Times New Roman" w:hAnsi="Times New Roman" w:cs="Times New Roman"/>
          <w:sz w:val="24"/>
          <w:szCs w:val="24"/>
        </w:rPr>
        <w:t>;</w:t>
      </w:r>
    </w:p>
    <w:p w14:paraId="7CE8C580" w14:textId="77777777" w:rsidR="00F65A2B" w:rsidRPr="002033DD" w:rsidRDefault="00F65A2B" w:rsidP="00291CE5">
      <w:pPr>
        <w:pStyle w:val="PargrafodaLista"/>
        <w:numPr>
          <w:ilvl w:val="0"/>
          <w:numId w:val="28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Verificada a dependência mercadológica e financeira entre as empresas relacionadas.</w:t>
      </w:r>
    </w:p>
    <w:p w14:paraId="08EDB55E" w14:textId="77777777" w:rsidR="00F65A2B" w:rsidRPr="002033DD" w:rsidRDefault="00F65A2B" w:rsidP="00F65A2B">
      <w:pPr>
        <w:pStyle w:val="PargrafodaLista"/>
        <w:spacing w:after="200"/>
        <w:ind w:left="567"/>
        <w:rPr>
          <w:rFonts w:ascii="Times New Roman" w:hAnsi="Times New Roman" w:cs="Times New Roman"/>
          <w:sz w:val="24"/>
          <w:szCs w:val="24"/>
        </w:rPr>
      </w:pPr>
    </w:p>
    <w:p w14:paraId="22537FFD" w14:textId="77777777" w:rsidR="003849A4" w:rsidRPr="002033DD" w:rsidRDefault="00F65A2B" w:rsidP="00291CE5">
      <w:pPr>
        <w:pStyle w:val="PargrafodaLista"/>
        <w:numPr>
          <w:ilvl w:val="0"/>
          <w:numId w:val="4"/>
        </w:numPr>
        <w:spacing w:after="20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Qual das afirmações abaixo não é considerada como elemento que deve ser revelado, nas demonstrações contábeis, quando da divulgação das transações entre partes relacionadas:</w:t>
      </w:r>
    </w:p>
    <w:p w14:paraId="7861C028" w14:textId="77777777" w:rsidR="00F65A2B" w:rsidRPr="002033DD" w:rsidRDefault="00F65A2B" w:rsidP="00291CE5">
      <w:pPr>
        <w:pStyle w:val="PargrafodaLista"/>
        <w:numPr>
          <w:ilvl w:val="0"/>
          <w:numId w:val="2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A natureza do relacionamento; eventualmente, o nome da parte relacionada, se for essencial para o entendimento do relacionamento;</w:t>
      </w:r>
    </w:p>
    <w:p w14:paraId="5915C806" w14:textId="77777777" w:rsidR="00F65A2B" w:rsidRPr="002033DD" w:rsidRDefault="00F65A2B" w:rsidP="00291CE5">
      <w:pPr>
        <w:pStyle w:val="PargrafodaLista"/>
        <w:numPr>
          <w:ilvl w:val="0"/>
          <w:numId w:val="2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Saldos de contas a receber entre empresas controladas, após a consolidação das demonstrações contábeis;</w:t>
      </w:r>
    </w:p>
    <w:p w14:paraId="33A77402" w14:textId="77777777" w:rsidR="00F65A2B" w:rsidRPr="002033DD" w:rsidRDefault="00F65A2B" w:rsidP="00291CE5">
      <w:pPr>
        <w:pStyle w:val="PargrafodaLista"/>
        <w:numPr>
          <w:ilvl w:val="0"/>
          <w:numId w:val="2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Efeitos de quaisquer mudanças em relação a acordos, contratos entre dois exercícios, cujo valor seja relevante;</w:t>
      </w:r>
    </w:p>
    <w:p w14:paraId="3A1A44CC" w14:textId="77777777" w:rsidR="00F65A2B" w:rsidRPr="002033DD" w:rsidRDefault="00F65A2B" w:rsidP="00291CE5">
      <w:pPr>
        <w:pStyle w:val="PargrafodaLista"/>
        <w:numPr>
          <w:ilvl w:val="0"/>
          <w:numId w:val="2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3DD">
        <w:rPr>
          <w:rFonts w:ascii="Times New Roman" w:hAnsi="Times New Roman" w:cs="Times New Roman"/>
          <w:sz w:val="24"/>
          <w:szCs w:val="24"/>
        </w:rPr>
        <w:t>Descrição das transações, inclusive valores ou proporções e outras informações necessárias;</w:t>
      </w:r>
    </w:p>
    <w:p w14:paraId="29874C24" w14:textId="5262DE91" w:rsidR="00F65A2B" w:rsidRPr="00957028" w:rsidRDefault="00F65A2B" w:rsidP="00F65A2B">
      <w:pPr>
        <w:pStyle w:val="PargrafodaLista"/>
        <w:numPr>
          <w:ilvl w:val="0"/>
          <w:numId w:val="29"/>
        </w:numPr>
        <w:spacing w:after="20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028">
        <w:rPr>
          <w:rFonts w:ascii="Times New Roman" w:hAnsi="Times New Roman" w:cs="Times New Roman"/>
          <w:sz w:val="24"/>
          <w:szCs w:val="24"/>
        </w:rPr>
        <w:t>Política de preços de produtos/serviços e de remuneração por transferência de recurs</w:t>
      </w:r>
      <w:bookmarkStart w:id="0" w:name="_GoBack"/>
      <w:bookmarkEnd w:id="0"/>
      <w:r w:rsidRPr="00957028">
        <w:rPr>
          <w:rFonts w:ascii="Times New Roman" w:hAnsi="Times New Roman" w:cs="Times New Roman"/>
          <w:sz w:val="24"/>
          <w:szCs w:val="24"/>
        </w:rPr>
        <w:t>os financeiros.</w:t>
      </w:r>
    </w:p>
    <w:sectPr w:rsidR="00F65A2B" w:rsidRPr="009570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36715" w14:textId="77777777" w:rsidR="0033031B" w:rsidRDefault="0033031B" w:rsidP="00291CE5">
      <w:pPr>
        <w:spacing w:after="0" w:line="240" w:lineRule="auto"/>
      </w:pPr>
      <w:r>
        <w:separator/>
      </w:r>
    </w:p>
  </w:endnote>
  <w:endnote w:type="continuationSeparator" w:id="0">
    <w:p w14:paraId="72B35DCE" w14:textId="77777777" w:rsidR="0033031B" w:rsidRDefault="0033031B" w:rsidP="0029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2CB3" w14:textId="42859FBA" w:rsidR="00407BF3" w:rsidRPr="00291CE5" w:rsidRDefault="00291CE5" w:rsidP="00291CE5">
    <w:pPr>
      <w:pStyle w:val="Rodap"/>
      <w:jc w:val="both"/>
      <w:rPr>
        <w:rFonts w:ascii="Times New Roman" w:hAnsi="Times New Roman" w:cs="Times New Roman"/>
      </w:rPr>
    </w:pPr>
    <w:r w:rsidRPr="00291CE5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PEREZ JÚNIOR, J. H.; OLIVEIRA, L. M. Contabilidade avançada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D0EA" w14:textId="77777777" w:rsidR="0033031B" w:rsidRDefault="0033031B" w:rsidP="00291CE5">
      <w:pPr>
        <w:spacing w:after="0" w:line="240" w:lineRule="auto"/>
      </w:pPr>
      <w:r>
        <w:separator/>
      </w:r>
    </w:p>
  </w:footnote>
  <w:footnote w:type="continuationSeparator" w:id="0">
    <w:p w14:paraId="12263EFE" w14:textId="77777777" w:rsidR="0033031B" w:rsidRDefault="0033031B" w:rsidP="0029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9392"/>
      <w:docPartObj>
        <w:docPartGallery w:val="Page Numbers (Top of Page)"/>
        <w:docPartUnique/>
      </w:docPartObj>
    </w:sdtPr>
    <w:sdtEndPr/>
    <w:sdtContent>
      <w:p w14:paraId="76A68867" w14:textId="4879B10E" w:rsidR="00407BF3" w:rsidRDefault="00407BF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89">
          <w:rPr>
            <w:noProof/>
          </w:rPr>
          <w:t>4</w:t>
        </w:r>
        <w:r>
          <w:fldChar w:fldCharType="end"/>
        </w:r>
      </w:p>
    </w:sdtContent>
  </w:sdt>
  <w:p w14:paraId="38DFDEDE" w14:textId="77777777" w:rsidR="00291CE5" w:rsidRDefault="00291C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26B"/>
    <w:multiLevelType w:val="hybridMultilevel"/>
    <w:tmpl w:val="76F4F89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160D52"/>
    <w:multiLevelType w:val="hybridMultilevel"/>
    <w:tmpl w:val="7D64C5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A2F"/>
    <w:multiLevelType w:val="hybridMultilevel"/>
    <w:tmpl w:val="D7102D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ABF"/>
    <w:multiLevelType w:val="hybridMultilevel"/>
    <w:tmpl w:val="DA86F7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44B8"/>
    <w:multiLevelType w:val="hybridMultilevel"/>
    <w:tmpl w:val="306649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7060"/>
    <w:multiLevelType w:val="hybridMultilevel"/>
    <w:tmpl w:val="B6F6A4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06E3"/>
    <w:multiLevelType w:val="hybridMultilevel"/>
    <w:tmpl w:val="57BAED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0D44"/>
    <w:multiLevelType w:val="hybridMultilevel"/>
    <w:tmpl w:val="1A72C650"/>
    <w:lvl w:ilvl="0" w:tplc="54582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3EE7"/>
    <w:multiLevelType w:val="hybridMultilevel"/>
    <w:tmpl w:val="DCA41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0683"/>
    <w:multiLevelType w:val="hybridMultilevel"/>
    <w:tmpl w:val="D7102D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12E0E"/>
    <w:multiLevelType w:val="hybridMultilevel"/>
    <w:tmpl w:val="2A4038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C7F"/>
    <w:multiLevelType w:val="hybridMultilevel"/>
    <w:tmpl w:val="2F60E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339C"/>
    <w:multiLevelType w:val="hybridMultilevel"/>
    <w:tmpl w:val="11BCC8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6F6A"/>
    <w:multiLevelType w:val="hybridMultilevel"/>
    <w:tmpl w:val="FADC93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C3B"/>
    <w:multiLevelType w:val="hybridMultilevel"/>
    <w:tmpl w:val="4A24A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B226E"/>
    <w:multiLevelType w:val="hybridMultilevel"/>
    <w:tmpl w:val="1C00A7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07EB"/>
    <w:multiLevelType w:val="hybridMultilevel"/>
    <w:tmpl w:val="668EE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3C3"/>
    <w:multiLevelType w:val="hybridMultilevel"/>
    <w:tmpl w:val="50CCF7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42CE3"/>
    <w:multiLevelType w:val="hybridMultilevel"/>
    <w:tmpl w:val="91724B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D3BC8"/>
    <w:multiLevelType w:val="hybridMultilevel"/>
    <w:tmpl w:val="AE64A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26B58"/>
    <w:multiLevelType w:val="hybridMultilevel"/>
    <w:tmpl w:val="5220FB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92910"/>
    <w:multiLevelType w:val="hybridMultilevel"/>
    <w:tmpl w:val="075A8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25E2C"/>
    <w:multiLevelType w:val="hybridMultilevel"/>
    <w:tmpl w:val="0D7E1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4245"/>
    <w:multiLevelType w:val="hybridMultilevel"/>
    <w:tmpl w:val="49386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21C11"/>
    <w:multiLevelType w:val="hybridMultilevel"/>
    <w:tmpl w:val="D7E86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46D7"/>
    <w:multiLevelType w:val="hybridMultilevel"/>
    <w:tmpl w:val="B3DEE7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B6CFF"/>
    <w:multiLevelType w:val="hybridMultilevel"/>
    <w:tmpl w:val="866EA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94141"/>
    <w:multiLevelType w:val="hybridMultilevel"/>
    <w:tmpl w:val="2E70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E674D"/>
    <w:multiLevelType w:val="hybridMultilevel"/>
    <w:tmpl w:val="7B584C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2081A"/>
    <w:multiLevelType w:val="hybridMultilevel"/>
    <w:tmpl w:val="57BAED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E40B6"/>
    <w:multiLevelType w:val="hybridMultilevel"/>
    <w:tmpl w:val="8DB258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30"/>
  </w:num>
  <w:num w:numId="6">
    <w:abstractNumId w:val="23"/>
  </w:num>
  <w:num w:numId="7">
    <w:abstractNumId w:val="29"/>
  </w:num>
  <w:num w:numId="8">
    <w:abstractNumId w:val="6"/>
  </w:num>
  <w:num w:numId="9">
    <w:abstractNumId w:val="9"/>
  </w:num>
  <w:num w:numId="10">
    <w:abstractNumId w:val="20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"/>
  </w:num>
  <w:num w:numId="16">
    <w:abstractNumId w:val="27"/>
  </w:num>
  <w:num w:numId="17">
    <w:abstractNumId w:val="4"/>
  </w:num>
  <w:num w:numId="18">
    <w:abstractNumId w:val="1"/>
  </w:num>
  <w:num w:numId="19">
    <w:abstractNumId w:val="25"/>
  </w:num>
  <w:num w:numId="20">
    <w:abstractNumId w:val="15"/>
  </w:num>
  <w:num w:numId="21">
    <w:abstractNumId w:val="11"/>
  </w:num>
  <w:num w:numId="22">
    <w:abstractNumId w:val="21"/>
  </w:num>
  <w:num w:numId="23">
    <w:abstractNumId w:val="10"/>
  </w:num>
  <w:num w:numId="24">
    <w:abstractNumId w:val="24"/>
  </w:num>
  <w:num w:numId="25">
    <w:abstractNumId w:val="0"/>
  </w:num>
  <w:num w:numId="26">
    <w:abstractNumId w:val="18"/>
  </w:num>
  <w:num w:numId="27">
    <w:abstractNumId w:val="17"/>
  </w:num>
  <w:num w:numId="28">
    <w:abstractNumId w:val="28"/>
  </w:num>
  <w:num w:numId="29">
    <w:abstractNumId w:val="22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B4"/>
    <w:rsid w:val="0003586F"/>
    <w:rsid w:val="00053FF6"/>
    <w:rsid w:val="000C3BA2"/>
    <w:rsid w:val="00105602"/>
    <w:rsid w:val="001B5BE7"/>
    <w:rsid w:val="001F7184"/>
    <w:rsid w:val="002033DD"/>
    <w:rsid w:val="00205DB3"/>
    <w:rsid w:val="00252594"/>
    <w:rsid w:val="00291CE5"/>
    <w:rsid w:val="002C0E90"/>
    <w:rsid w:val="0033031B"/>
    <w:rsid w:val="0034289C"/>
    <w:rsid w:val="003849A4"/>
    <w:rsid w:val="00407BF3"/>
    <w:rsid w:val="00434893"/>
    <w:rsid w:val="00450136"/>
    <w:rsid w:val="00565D3F"/>
    <w:rsid w:val="005A4290"/>
    <w:rsid w:val="005F5089"/>
    <w:rsid w:val="00620732"/>
    <w:rsid w:val="006C177B"/>
    <w:rsid w:val="006F048A"/>
    <w:rsid w:val="006F0BF3"/>
    <w:rsid w:val="00705CB8"/>
    <w:rsid w:val="007826AD"/>
    <w:rsid w:val="007C1803"/>
    <w:rsid w:val="007E3307"/>
    <w:rsid w:val="007E48AD"/>
    <w:rsid w:val="00892DC2"/>
    <w:rsid w:val="008A145B"/>
    <w:rsid w:val="008C06E8"/>
    <w:rsid w:val="008C2053"/>
    <w:rsid w:val="009314F0"/>
    <w:rsid w:val="009440EB"/>
    <w:rsid w:val="00957028"/>
    <w:rsid w:val="009848A1"/>
    <w:rsid w:val="009A412A"/>
    <w:rsid w:val="00A24A6E"/>
    <w:rsid w:val="00A3538B"/>
    <w:rsid w:val="00A646BF"/>
    <w:rsid w:val="00AC25F9"/>
    <w:rsid w:val="00B11465"/>
    <w:rsid w:val="00CB7A87"/>
    <w:rsid w:val="00D34F8A"/>
    <w:rsid w:val="00DE583D"/>
    <w:rsid w:val="00E01C7E"/>
    <w:rsid w:val="00E328B4"/>
    <w:rsid w:val="00E57C25"/>
    <w:rsid w:val="00EB5E4F"/>
    <w:rsid w:val="00ED5DAE"/>
    <w:rsid w:val="00F03F35"/>
    <w:rsid w:val="00F65A2B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EB64"/>
  <w15:docId w15:val="{4AAE168F-DFB4-4886-991F-32FE9717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1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CE5"/>
  </w:style>
  <w:style w:type="paragraph" w:styleId="Rodap">
    <w:name w:val="footer"/>
    <w:basedOn w:val="Normal"/>
    <w:link w:val="RodapChar"/>
    <w:uiPriority w:val="99"/>
    <w:unhideWhenUsed/>
    <w:rsid w:val="0029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CE5"/>
  </w:style>
  <w:style w:type="character" w:styleId="Refdecomentrio">
    <w:name w:val="annotation reference"/>
    <w:basedOn w:val="Fontepargpadro"/>
    <w:uiPriority w:val="99"/>
    <w:semiHidden/>
    <w:unhideWhenUsed/>
    <w:rsid w:val="008C2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20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20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0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05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C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kitamura</dc:creator>
  <cp:lastModifiedBy>Maisa</cp:lastModifiedBy>
  <cp:revision>2</cp:revision>
  <cp:lastPrinted>2017-06-13T18:42:00Z</cp:lastPrinted>
  <dcterms:created xsi:type="dcterms:W3CDTF">2020-05-11T20:55:00Z</dcterms:created>
  <dcterms:modified xsi:type="dcterms:W3CDTF">2020-05-11T20:55:00Z</dcterms:modified>
</cp:coreProperties>
</file>