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B" w:rsidRDefault="00C37BF6" w:rsidP="00C37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F6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C37BF6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C37BF6" w:rsidRPr="00F133AF" w:rsidRDefault="00C37BF6" w:rsidP="00C37B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C37BF6" w:rsidRDefault="00C37BF6" w:rsidP="00051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F41">
        <w:rPr>
          <w:rFonts w:ascii="Times New Roman" w:hAnsi="Times New Roman"/>
          <w:sz w:val="24"/>
          <w:szCs w:val="24"/>
        </w:rPr>
        <w:t xml:space="preserve">A Indústria </w:t>
      </w:r>
      <w:bookmarkStart w:id="0" w:name="_GoBack"/>
      <w:bookmarkEnd w:id="0"/>
      <w:r w:rsidRPr="00965F41">
        <w:rPr>
          <w:rFonts w:ascii="Times New Roman" w:hAnsi="Times New Roman"/>
          <w:sz w:val="24"/>
          <w:szCs w:val="24"/>
        </w:rPr>
        <w:t>Sterling vem girando 12 vezes, em média, suas duplicatas a receber e 24 vezes seus fornecedores, considerando um ano com 360 dias. As matérias-primas permanecem,</w:t>
      </w:r>
      <w:r>
        <w:rPr>
          <w:rFonts w:ascii="Times New Roman" w:hAnsi="Times New Roman"/>
          <w:sz w:val="24"/>
          <w:szCs w:val="24"/>
        </w:rPr>
        <w:t xml:space="preserve"> normalmente, 40 dias estocadas</w:t>
      </w:r>
      <w:r w:rsidRPr="00965F41">
        <w:rPr>
          <w:rFonts w:ascii="Times New Roman" w:hAnsi="Times New Roman"/>
          <w:sz w:val="24"/>
          <w:szCs w:val="24"/>
        </w:rPr>
        <w:t xml:space="preserve"> antes de ser</w:t>
      </w:r>
      <w:r>
        <w:rPr>
          <w:rFonts w:ascii="Times New Roman" w:hAnsi="Times New Roman"/>
          <w:sz w:val="24"/>
          <w:szCs w:val="24"/>
        </w:rPr>
        <w:t>em</w:t>
      </w:r>
      <w:r w:rsidRPr="00965F41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nsumidas no </w:t>
      </w:r>
      <w:proofErr w:type="gramStart"/>
      <w:r>
        <w:rPr>
          <w:rFonts w:ascii="Times New Roman" w:hAnsi="Times New Roman"/>
          <w:sz w:val="24"/>
          <w:szCs w:val="24"/>
        </w:rPr>
        <w:t>processo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produtivo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965F41">
        <w:rPr>
          <w:rFonts w:ascii="Times New Roman" w:hAnsi="Times New Roman"/>
          <w:sz w:val="24"/>
          <w:szCs w:val="24"/>
        </w:rPr>
        <w:t xml:space="preserve"> os produtos acabados demandam 60 dias para ser</w:t>
      </w:r>
      <w:r>
        <w:rPr>
          <w:rFonts w:ascii="Times New Roman" w:hAnsi="Times New Roman"/>
          <w:sz w:val="24"/>
          <w:szCs w:val="24"/>
        </w:rPr>
        <w:t>em</w:t>
      </w:r>
      <w:r w:rsidRPr="00965F41">
        <w:rPr>
          <w:rFonts w:ascii="Times New Roman" w:hAnsi="Times New Roman"/>
          <w:sz w:val="24"/>
          <w:szCs w:val="24"/>
        </w:rPr>
        <w:t xml:space="preserve"> vendidos e são despendidos ainda 45 dias na fabricação dos produtos. Com</w:t>
      </w:r>
      <w:r w:rsidR="00D753CE">
        <w:rPr>
          <w:rFonts w:ascii="Times New Roman" w:hAnsi="Times New Roman"/>
          <w:sz w:val="24"/>
          <w:szCs w:val="24"/>
        </w:rPr>
        <w:t xml:space="preserve"> base nessas</w:t>
      </w:r>
      <w:r>
        <w:rPr>
          <w:rFonts w:ascii="Times New Roman" w:hAnsi="Times New Roman"/>
          <w:sz w:val="24"/>
          <w:szCs w:val="24"/>
        </w:rPr>
        <w:t xml:space="preserve"> informações calcule os ciclos- </w:t>
      </w:r>
      <w:proofErr w:type="gramStart"/>
      <w:r>
        <w:rPr>
          <w:rFonts w:ascii="Times New Roman" w:hAnsi="Times New Roman"/>
          <w:sz w:val="24"/>
          <w:szCs w:val="24"/>
        </w:rPr>
        <w:t>operacional, econômico</w:t>
      </w:r>
      <w:proofErr w:type="gramEnd"/>
      <w:r>
        <w:rPr>
          <w:rFonts w:ascii="Times New Roman" w:hAnsi="Times New Roman"/>
          <w:sz w:val="24"/>
          <w:szCs w:val="24"/>
        </w:rPr>
        <w:t xml:space="preserve"> e financeiro. Calcule também o giro de caixa.</w:t>
      </w:r>
    </w:p>
    <w:p w:rsidR="00C37BF6" w:rsidRDefault="00C37BF6" w:rsidP="00C37B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BF6" w:rsidRPr="00F133AF" w:rsidRDefault="00C37BF6" w:rsidP="00C37B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EF31E3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>O lucro por ação de uma empresa atinge a $ 2,00. Os lucros anuais reinvestidos em seus negócios tem proporcionado um retorno histórico de 20% a.a. Admite-se que este percentual não irá se alterar no futuro. A empresa tem reinvestido o equivalente a 40% de seus lucros, e distribuído o restante para seus acionistas sob a forma de dividendos. Sua direção está estudando a possibilidade de reinvestir todo o lucro auferido. Considerando o risco apresentado pela empresa, os acionistas vêm exigindo u</w:t>
      </w:r>
      <w:r>
        <w:rPr>
          <w:rFonts w:ascii="Times New Roman" w:hAnsi="Times New Roman"/>
          <w:sz w:val="24"/>
          <w:szCs w:val="24"/>
        </w:rPr>
        <w:t>ma taxa de retorno de 18% a.a. C</w:t>
      </w:r>
      <w:r w:rsidRPr="00F133AF">
        <w:rPr>
          <w:rFonts w:ascii="Times New Roman" w:hAnsi="Times New Roman"/>
          <w:sz w:val="24"/>
          <w:szCs w:val="24"/>
        </w:rPr>
        <w:t>om ba</w:t>
      </w:r>
      <w:r>
        <w:rPr>
          <w:rFonts w:ascii="Times New Roman" w:hAnsi="Times New Roman"/>
          <w:sz w:val="24"/>
          <w:szCs w:val="24"/>
        </w:rPr>
        <w:t>se nas informações apresentadas</w:t>
      </w:r>
      <w:r w:rsidRPr="00F133AF">
        <w:rPr>
          <w:rFonts w:ascii="Times New Roman" w:hAnsi="Times New Roman"/>
          <w:sz w:val="24"/>
          <w:szCs w:val="24"/>
        </w:rPr>
        <w:t xml:space="preserve"> é correto afirmar:</w:t>
      </w:r>
    </w:p>
    <w:p w:rsidR="00EF31E3" w:rsidRPr="0045446B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5446B">
        <w:rPr>
          <w:rFonts w:ascii="Times New Roman" w:hAnsi="Times New Roman"/>
          <w:sz w:val="24"/>
          <w:szCs w:val="24"/>
        </w:rPr>
        <w:t>s lucros anuais reinvestidos na empresa estão minimizando a riqueza dos acionistas.</w:t>
      </w:r>
    </w:p>
    <w:p w:rsidR="00EF31E3" w:rsidRPr="0045446B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5446B">
        <w:rPr>
          <w:rFonts w:ascii="Times New Roman" w:hAnsi="Times New Roman"/>
          <w:sz w:val="24"/>
          <w:szCs w:val="24"/>
        </w:rPr>
        <w:t xml:space="preserve"> geração de valor aos acionistas se dará somente se a empresa não reinvestir os lucros.</w:t>
      </w:r>
    </w:p>
    <w:p w:rsidR="00EF31E3" w:rsidRPr="00D753CE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D753CE">
        <w:rPr>
          <w:rFonts w:ascii="Times New Roman" w:hAnsi="Times New Roman"/>
          <w:b/>
          <w:sz w:val="24"/>
          <w:szCs w:val="24"/>
        </w:rPr>
        <w:t>c)</w:t>
      </w:r>
      <w:r w:rsidRPr="00D753CE">
        <w:rPr>
          <w:rFonts w:ascii="Times New Roman" w:hAnsi="Times New Roman"/>
          <w:sz w:val="24"/>
          <w:szCs w:val="24"/>
        </w:rPr>
        <w:t xml:space="preserve"> a nova política de dividendos (reinvestir todo o lucro) maximiza a riqueza dos acionistas.</w:t>
      </w:r>
    </w:p>
    <w:p w:rsidR="00EF31E3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é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46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5446B">
        <w:rPr>
          <w:rFonts w:ascii="Times New Roman" w:hAnsi="Times New Roman"/>
          <w:sz w:val="24"/>
          <w:szCs w:val="24"/>
        </w:rPr>
        <w:t>indiferente distribuir ou reter o lucro.</w:t>
      </w:r>
    </w:p>
    <w:p w:rsidR="00EF31E3" w:rsidRPr="00F133AF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a geração de valor se dará somente se a empresa reinvestir mais de 20% dos lucros</w:t>
      </w:r>
    </w:p>
    <w:p w:rsidR="00EF31E3" w:rsidRPr="000D1C3C" w:rsidRDefault="00EF31E3" w:rsidP="00EF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EF31E3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A31">
        <w:rPr>
          <w:rFonts w:ascii="Times New Roman" w:hAnsi="Times New Roman"/>
          <w:sz w:val="24"/>
          <w:szCs w:val="24"/>
        </w:rPr>
        <w:t>Considere as seguintes afirmativas abaixo:</w:t>
      </w:r>
    </w:p>
    <w:p w:rsidR="00EF31E3" w:rsidRPr="00444A31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1E3" w:rsidRPr="00444A31" w:rsidRDefault="00EF31E3" w:rsidP="00EF31E3">
      <w:p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I- O retorno sobre os ativos (ROA</w:t>
      </w:r>
      <w:r w:rsidRPr="00444A31">
        <w:rPr>
          <w:rFonts w:ascii="Times New Roman" w:hAnsi="Times New Roman"/>
          <w:sz w:val="24"/>
          <w:szCs w:val="24"/>
        </w:rPr>
        <w:t xml:space="preserve">) pode ser decomposto em </w:t>
      </w:r>
      <w:r>
        <w:rPr>
          <w:rFonts w:ascii="Times New Roman" w:hAnsi="Times New Roman"/>
          <w:sz w:val="24"/>
          <w:szCs w:val="24"/>
        </w:rPr>
        <w:t>duas medidas: margem líquida</w:t>
      </w:r>
      <w:r w:rsidRPr="00444A31">
        <w:rPr>
          <w:rFonts w:ascii="Times New Roman" w:hAnsi="Times New Roman"/>
          <w:sz w:val="24"/>
          <w:szCs w:val="24"/>
        </w:rPr>
        <w:t xml:space="preserve"> e giro dos ativos.</w:t>
      </w:r>
    </w:p>
    <w:p w:rsidR="00EF31E3" w:rsidRPr="00444A31" w:rsidRDefault="00EF31E3" w:rsidP="00EF31E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 </w:t>
      </w:r>
      <w:r w:rsidRPr="00444A31">
        <w:rPr>
          <w:rFonts w:ascii="Times New Roman" w:hAnsi="Times New Roman"/>
          <w:sz w:val="24"/>
          <w:szCs w:val="24"/>
        </w:rPr>
        <w:t>A necessidade de capital de giro (NCG) tem tendência de crescimento quando as vendas aumentam, permanecendo tudo o mais constante.</w:t>
      </w:r>
    </w:p>
    <w:p w:rsidR="00EF31E3" w:rsidRPr="00444A31" w:rsidRDefault="00EF31E3" w:rsidP="00EF31E3">
      <w:pPr>
        <w:spacing w:after="0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III- </w:t>
      </w:r>
      <w:r w:rsidRPr="00444A31">
        <w:rPr>
          <w:rFonts w:ascii="Times New Roman" w:hAnsi="Times New Roman"/>
          <w:sz w:val="24"/>
          <w:szCs w:val="24"/>
        </w:rPr>
        <w:t>O efeito tesoura ocorre quando a necessidade de capital de giro (NCG) cresce relativamente em relação ao capital de giro (CDG) em períodos subsequentes.</w:t>
      </w:r>
    </w:p>
    <w:p w:rsidR="00EF31E3" w:rsidRPr="00444A31" w:rsidRDefault="00EF31E3" w:rsidP="00EF31E3">
      <w:pPr>
        <w:spacing w:after="0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IV- </w:t>
      </w:r>
      <w:r w:rsidRPr="00444A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grau de </w:t>
      </w:r>
      <w:proofErr w:type="gramStart"/>
      <w:r>
        <w:rPr>
          <w:rFonts w:ascii="Times New Roman" w:hAnsi="Times New Roman"/>
          <w:sz w:val="24"/>
          <w:szCs w:val="24"/>
        </w:rPr>
        <w:t>alavancagem</w:t>
      </w:r>
      <w:proofErr w:type="gramEnd"/>
      <w:r>
        <w:rPr>
          <w:rFonts w:ascii="Times New Roman" w:hAnsi="Times New Roman"/>
          <w:sz w:val="24"/>
          <w:szCs w:val="24"/>
        </w:rPr>
        <w:t xml:space="preserve"> financeira</w:t>
      </w:r>
      <w:r w:rsidRPr="00444A31">
        <w:rPr>
          <w:rFonts w:ascii="Times New Roman" w:hAnsi="Times New Roman"/>
          <w:sz w:val="24"/>
          <w:szCs w:val="24"/>
        </w:rPr>
        <w:t xml:space="preserve"> baseia-se na relação e</w:t>
      </w:r>
      <w:r>
        <w:rPr>
          <w:rFonts w:ascii="Times New Roman" w:hAnsi="Times New Roman"/>
          <w:sz w:val="24"/>
          <w:szCs w:val="24"/>
        </w:rPr>
        <w:t>ntre custos variáveis e fixos para</w:t>
      </w:r>
      <w:r w:rsidRPr="00444A31">
        <w:rPr>
          <w:rFonts w:ascii="Times New Roman" w:hAnsi="Times New Roman"/>
          <w:sz w:val="24"/>
          <w:szCs w:val="24"/>
        </w:rPr>
        <w:t xml:space="preserve"> uma determinada empresa.</w:t>
      </w:r>
    </w:p>
    <w:p w:rsidR="00EF31E3" w:rsidRPr="00444A31" w:rsidRDefault="00EF31E3" w:rsidP="00EF31E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V- O Saldo de Tesouraria (ST) é calculado a partir de ativos e passivos financeiros de curto prazo.</w:t>
      </w:r>
    </w:p>
    <w:p w:rsidR="00EF31E3" w:rsidRPr="00207F96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I, II e III estão corretas.</w:t>
      </w:r>
    </w:p>
    <w:p w:rsidR="00EF31E3" w:rsidRPr="00207F96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I, III e IV estão corretas.</w:t>
      </w:r>
    </w:p>
    <w:p w:rsidR="00EF31E3" w:rsidRPr="00207F96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II, IV e V estão corretas.</w:t>
      </w:r>
    </w:p>
    <w:p w:rsidR="00EF31E3" w:rsidRPr="00D753CE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D753CE">
        <w:rPr>
          <w:rFonts w:ascii="Times New Roman" w:hAnsi="Times New Roman"/>
          <w:b/>
          <w:sz w:val="24"/>
          <w:szCs w:val="24"/>
        </w:rPr>
        <w:t>d)</w:t>
      </w:r>
      <w:r w:rsidRPr="00D753CE">
        <w:rPr>
          <w:rFonts w:ascii="Times New Roman" w:hAnsi="Times New Roman"/>
          <w:sz w:val="24"/>
          <w:szCs w:val="24"/>
        </w:rPr>
        <w:t xml:space="preserve"> as afirmativas II, III e V estão corretas.</w:t>
      </w:r>
    </w:p>
    <w:p w:rsidR="00EF31E3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I, II</w:t>
      </w:r>
      <w:r>
        <w:rPr>
          <w:rFonts w:ascii="Times New Roman" w:hAnsi="Times New Roman"/>
          <w:sz w:val="24"/>
          <w:szCs w:val="24"/>
        </w:rPr>
        <w:t>I</w:t>
      </w:r>
      <w:r w:rsidRPr="00207F96">
        <w:rPr>
          <w:rFonts w:ascii="Times New Roman" w:hAnsi="Times New Roman"/>
          <w:sz w:val="24"/>
          <w:szCs w:val="24"/>
        </w:rPr>
        <w:t xml:space="preserve"> e V estão corretas.</w:t>
      </w:r>
    </w:p>
    <w:p w:rsidR="00051340" w:rsidRPr="009E5889" w:rsidRDefault="00051340" w:rsidP="00051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</w:p>
    <w:p w:rsidR="00051340" w:rsidRDefault="00051340" w:rsidP="00051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Considere um investimento de $ 40,0 milhões em um novo produto</w:t>
      </w:r>
      <w:r w:rsidR="00391DF7">
        <w:rPr>
          <w:rFonts w:ascii="Times New Roman" w:hAnsi="Times New Roman"/>
          <w:sz w:val="24"/>
          <w:szCs w:val="24"/>
        </w:rPr>
        <w:t>.</w:t>
      </w:r>
      <w:r w:rsidR="00AB2A0E">
        <w:rPr>
          <w:rFonts w:ascii="Times New Roman" w:hAnsi="Times New Roman"/>
          <w:sz w:val="24"/>
          <w:szCs w:val="24"/>
        </w:rPr>
        <w:t xml:space="preserve"> E</w:t>
      </w:r>
      <w:r w:rsidR="00391DF7">
        <w:rPr>
          <w:rFonts w:ascii="Times New Roman" w:hAnsi="Times New Roman"/>
          <w:sz w:val="24"/>
          <w:szCs w:val="24"/>
        </w:rPr>
        <w:t>sse foi o</w:t>
      </w:r>
      <w:r w:rsidR="00AB2A0E">
        <w:rPr>
          <w:rFonts w:ascii="Times New Roman" w:hAnsi="Times New Roman"/>
          <w:sz w:val="24"/>
          <w:szCs w:val="24"/>
        </w:rPr>
        <w:t xml:space="preserve"> único investimento relevante realizado pela</w:t>
      </w:r>
      <w:r w:rsidR="00391DF7">
        <w:rPr>
          <w:rFonts w:ascii="Times New Roman" w:hAnsi="Times New Roman"/>
          <w:sz w:val="24"/>
          <w:szCs w:val="24"/>
        </w:rPr>
        <w:t xml:space="preserve"> firma em quatro anos. O lucro operacional previsto</w:t>
      </w:r>
      <w:r>
        <w:rPr>
          <w:rFonts w:ascii="Times New Roman" w:hAnsi="Times New Roman"/>
          <w:sz w:val="24"/>
          <w:szCs w:val="24"/>
        </w:rPr>
        <w:t xml:space="preserve"> para cada um dos quatro anos de vida útil</w:t>
      </w:r>
      <w:r w:rsidR="00391DF7">
        <w:rPr>
          <w:rFonts w:ascii="Times New Roman" w:hAnsi="Times New Roman"/>
          <w:sz w:val="24"/>
          <w:szCs w:val="24"/>
        </w:rPr>
        <w:t xml:space="preserve"> do investimento</w:t>
      </w:r>
      <w:r>
        <w:rPr>
          <w:rFonts w:ascii="Times New Roman" w:hAnsi="Times New Roman"/>
          <w:sz w:val="24"/>
          <w:szCs w:val="24"/>
        </w:rPr>
        <w:t xml:space="preserve"> são os seguintes ($ Milhões):              </w:t>
      </w: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18"/>
        <w:gridCol w:w="1168"/>
        <w:gridCol w:w="1276"/>
        <w:gridCol w:w="1276"/>
        <w:gridCol w:w="1275"/>
      </w:tblGrid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Ano1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Ano2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Ano3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Ano </w:t>
            </w:r>
            <w:proofErr w:type="gramStart"/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391DF7" w:rsidP="00DA2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AB2A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Lucro operacional 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-0,1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$ 8,0</w:t>
            </w:r>
          </w:p>
        </w:tc>
      </w:tr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391DF7" w:rsidP="00DA2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 w:rsidR="00051340" w:rsidRPr="002017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Investimento (início do ano</w:t>
            </w:r>
            <w:proofErr w:type="gramStart"/>
            <w:r w:rsidR="00051340" w:rsidRPr="002017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$ 10,0</w:t>
            </w:r>
          </w:p>
        </w:tc>
      </w:tr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E. ROI</w:t>
            </w:r>
            <w:r w:rsidR="00391D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(A/B</w:t>
            </w: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-0,25%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13,33%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30,00%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80,00%</w:t>
            </w:r>
          </w:p>
        </w:tc>
      </w:tr>
    </w:tbl>
    <w:p w:rsidR="00051340" w:rsidRPr="001657B3" w:rsidRDefault="00051340" w:rsidP="00051340">
      <w:pPr>
        <w:jc w:val="both"/>
        <w:rPr>
          <w:rFonts w:ascii="Times New Roman" w:hAnsi="Times New Roman"/>
          <w:sz w:val="24"/>
          <w:szCs w:val="24"/>
        </w:rPr>
      </w:pPr>
    </w:p>
    <w:p w:rsidR="00051340" w:rsidRDefault="00051340" w:rsidP="0005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340">
        <w:rPr>
          <w:rFonts w:ascii="Times New Roman" w:hAnsi="Times New Roman"/>
          <w:sz w:val="24"/>
          <w:szCs w:val="24"/>
        </w:rPr>
        <w:t>Com ba</w:t>
      </w:r>
      <w:r>
        <w:rPr>
          <w:rFonts w:ascii="Times New Roman" w:hAnsi="Times New Roman"/>
          <w:sz w:val="24"/>
          <w:szCs w:val="24"/>
        </w:rPr>
        <w:t>se nas informações apresentadas</w:t>
      </w:r>
      <w:r w:rsidRPr="00051340">
        <w:rPr>
          <w:rFonts w:ascii="Times New Roman" w:hAnsi="Times New Roman"/>
          <w:sz w:val="24"/>
          <w:szCs w:val="24"/>
        </w:rPr>
        <w:t xml:space="preserve"> pede-se explicar por que o ROI</w:t>
      </w:r>
      <w:r w:rsidR="00AB2A0E">
        <w:rPr>
          <w:rFonts w:ascii="Times New Roman" w:hAnsi="Times New Roman"/>
          <w:sz w:val="24"/>
          <w:szCs w:val="24"/>
        </w:rPr>
        <w:t xml:space="preserve"> (Retorno sobre o Investimento)</w:t>
      </w:r>
      <w:r w:rsidRPr="00051340">
        <w:rPr>
          <w:rFonts w:ascii="Times New Roman" w:hAnsi="Times New Roman"/>
          <w:sz w:val="24"/>
          <w:szCs w:val="24"/>
        </w:rPr>
        <w:t xml:space="preserve"> tem tendência de crescimento em períodos de baixo investimento?</w:t>
      </w:r>
    </w:p>
    <w:p w:rsidR="00EF31E3" w:rsidRDefault="00EF31E3" w:rsidP="0005134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A0E" w:rsidRPr="009E5889" w:rsidRDefault="00AB2A0E" w:rsidP="00AB2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</w:p>
    <w:p w:rsidR="00AB2A0E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 w:rsidRPr="000E5531">
        <w:rPr>
          <w:rFonts w:ascii="Times New Roman" w:hAnsi="Times New Roman"/>
          <w:sz w:val="24"/>
          <w:szCs w:val="24"/>
        </w:rPr>
        <w:t>Determinada empresa apresentou os seguintes indicadores:</w:t>
      </w: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sz w:val="24"/>
          <w:szCs w:val="24"/>
        </w:rPr>
        <w:t>Retorno sobre o patrimônio líquido (ROE): 20%</w:t>
      </w: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Ativo Total</w:t>
      </w:r>
      <w:r w:rsidRPr="000D1C3C">
        <w:rPr>
          <w:rFonts w:ascii="Times New Roman" w:hAnsi="Times New Roman"/>
          <w:sz w:val="24"/>
          <w:szCs w:val="24"/>
        </w:rPr>
        <w:t xml:space="preserve">: $ 80 milhões                    </w:t>
      </w: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sz w:val="24"/>
          <w:szCs w:val="24"/>
        </w:rPr>
        <w:t>Custo do capital de terceiros (K</w:t>
      </w:r>
      <w:r w:rsidRPr="000D1C3C">
        <w:rPr>
          <w:rFonts w:ascii="Times New Roman" w:hAnsi="Times New Roman"/>
          <w:sz w:val="24"/>
          <w:szCs w:val="24"/>
          <w:vertAlign w:val="subscript"/>
        </w:rPr>
        <w:t>i</w:t>
      </w:r>
      <w:r w:rsidRPr="000D1C3C">
        <w:rPr>
          <w:rFonts w:ascii="Times New Roman" w:hAnsi="Times New Roman"/>
          <w:sz w:val="24"/>
          <w:szCs w:val="24"/>
        </w:rPr>
        <w:t xml:space="preserve">): 14%                                                           </w:t>
      </w:r>
    </w:p>
    <w:p w:rsidR="00AB2A0E" w:rsidRPr="000D1C3C" w:rsidRDefault="00AB2A0E" w:rsidP="00D753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Lucro operacional</w:t>
      </w:r>
      <w:r w:rsidRPr="000D1C3C">
        <w:rPr>
          <w:rFonts w:ascii="Times New Roman" w:hAnsi="Times New Roman"/>
          <w:sz w:val="24"/>
          <w:szCs w:val="24"/>
        </w:rPr>
        <w:t>: 13 milhões</w:t>
      </w:r>
    </w:p>
    <w:p w:rsidR="0033036C" w:rsidRDefault="00AB2A0E" w:rsidP="00D753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sz w:val="24"/>
          <w:szCs w:val="24"/>
        </w:rPr>
        <w:t>Pede-s</w:t>
      </w:r>
      <w:r w:rsidR="00E64E29">
        <w:rPr>
          <w:rFonts w:ascii="Times New Roman" w:hAnsi="Times New Roman"/>
          <w:sz w:val="24"/>
          <w:szCs w:val="24"/>
        </w:rPr>
        <w:t>e calcular o valor da relação: Passivo E</w:t>
      </w:r>
      <w:r w:rsidRPr="000D1C3C">
        <w:rPr>
          <w:rFonts w:ascii="Times New Roman" w:hAnsi="Times New Roman"/>
          <w:sz w:val="24"/>
          <w:szCs w:val="24"/>
        </w:rPr>
        <w:t>xi</w:t>
      </w:r>
      <w:r w:rsidR="00E64E29">
        <w:rPr>
          <w:rFonts w:ascii="Times New Roman" w:hAnsi="Times New Roman"/>
          <w:sz w:val="24"/>
          <w:szCs w:val="24"/>
        </w:rPr>
        <w:t>gível/Patrimônio líquido (P/PL),</w:t>
      </w:r>
      <w:r w:rsidRPr="000D1C3C">
        <w:rPr>
          <w:rFonts w:ascii="Times New Roman" w:hAnsi="Times New Roman"/>
          <w:sz w:val="24"/>
          <w:szCs w:val="24"/>
        </w:rPr>
        <w:t xml:space="preserve"> posterio</w:t>
      </w:r>
      <w:r w:rsidR="0033036C">
        <w:rPr>
          <w:rFonts w:ascii="Times New Roman" w:hAnsi="Times New Roman"/>
          <w:sz w:val="24"/>
          <w:szCs w:val="24"/>
        </w:rPr>
        <w:t>rmente calcule os valores para o Passivo Exigível</w:t>
      </w:r>
      <w:r w:rsidRPr="000D1C3C">
        <w:rPr>
          <w:rFonts w:ascii="Times New Roman" w:hAnsi="Times New Roman"/>
          <w:sz w:val="24"/>
          <w:szCs w:val="24"/>
        </w:rPr>
        <w:t xml:space="preserve"> e PL</w:t>
      </w:r>
      <w:r w:rsidR="00E64E29">
        <w:rPr>
          <w:rFonts w:ascii="Times New Roman" w:hAnsi="Times New Roman"/>
          <w:sz w:val="24"/>
          <w:szCs w:val="24"/>
        </w:rPr>
        <w:t>.</w:t>
      </w:r>
    </w:p>
    <w:p w:rsidR="004E74B6" w:rsidRPr="00F133AF" w:rsidRDefault="0077682A" w:rsidP="004E74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</w:p>
    <w:p w:rsidR="004E74B6" w:rsidRDefault="004E74B6" w:rsidP="004E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empresa Doces</w:t>
      </w:r>
      <w:proofErr w:type="gramEnd"/>
      <w:r>
        <w:rPr>
          <w:rFonts w:ascii="Times New Roman" w:hAnsi="Times New Roman"/>
          <w:sz w:val="24"/>
          <w:szCs w:val="24"/>
        </w:rPr>
        <w:t xml:space="preserve"> Ltda. apresentou o Balanço Patrimonial de encerramento do exercício em 31/12/2019. Sabe-se ainda que as vend</w:t>
      </w:r>
      <w:r w:rsidR="0077682A">
        <w:rPr>
          <w:rFonts w:ascii="Times New Roman" w:hAnsi="Times New Roman"/>
          <w:sz w:val="24"/>
          <w:szCs w:val="24"/>
        </w:rPr>
        <w:t xml:space="preserve">as do período </w:t>
      </w:r>
      <w:proofErr w:type="gramStart"/>
      <w:r w:rsidR="0077682A">
        <w:rPr>
          <w:rFonts w:ascii="Times New Roman" w:hAnsi="Times New Roman"/>
          <w:sz w:val="24"/>
          <w:szCs w:val="24"/>
        </w:rPr>
        <w:t>foram</w:t>
      </w:r>
      <w:proofErr w:type="gramEnd"/>
      <w:r w:rsidR="0077682A">
        <w:rPr>
          <w:rFonts w:ascii="Times New Roman" w:hAnsi="Times New Roman"/>
          <w:sz w:val="24"/>
          <w:szCs w:val="24"/>
        </w:rPr>
        <w:t xml:space="preserve"> de $ 5</w:t>
      </w:r>
      <w:r>
        <w:rPr>
          <w:rFonts w:ascii="Times New Roman" w:hAnsi="Times New Roman"/>
          <w:sz w:val="24"/>
          <w:szCs w:val="24"/>
        </w:rPr>
        <w:t>0.000,00.</w:t>
      </w:r>
    </w:p>
    <w:p w:rsidR="004E74B6" w:rsidRPr="000D1C3C" w:rsidRDefault="004E74B6" w:rsidP="004E74B6">
      <w:pPr>
        <w:jc w:val="center"/>
        <w:rPr>
          <w:rFonts w:ascii="Times New Roman" w:hAnsi="Times New Roman"/>
          <w:b/>
        </w:rPr>
      </w:pPr>
      <w:r w:rsidRPr="000D1C3C">
        <w:rPr>
          <w:rFonts w:ascii="Times New Roman" w:hAnsi="Times New Roman"/>
          <w:b/>
        </w:rPr>
        <w:t xml:space="preserve">Balanço </w:t>
      </w:r>
      <w:proofErr w:type="gramStart"/>
      <w:r w:rsidRPr="000D1C3C">
        <w:rPr>
          <w:rFonts w:ascii="Times New Roman" w:hAnsi="Times New Roman"/>
          <w:b/>
        </w:rPr>
        <w:t>Patrimonial- Doces</w:t>
      </w:r>
      <w:proofErr w:type="gramEnd"/>
      <w:r w:rsidRPr="000D1C3C">
        <w:rPr>
          <w:rFonts w:ascii="Times New Roman" w:hAnsi="Times New Roman"/>
          <w:b/>
        </w:rPr>
        <w:t xml:space="preserve"> </w:t>
      </w:r>
      <w:proofErr w:type="spellStart"/>
      <w:r w:rsidRPr="000D1C3C">
        <w:rPr>
          <w:rFonts w:ascii="Times New Roman" w:hAnsi="Times New Roman"/>
          <w:b/>
        </w:rPr>
        <w:t>Ltda</w:t>
      </w:r>
      <w:proofErr w:type="spellEnd"/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620"/>
        <w:gridCol w:w="2250"/>
        <w:gridCol w:w="1630"/>
      </w:tblGrid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Ativo circulante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144.800,00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199.100,00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Disponibilidades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Fornecedores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23.000,00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Aplicações financeiras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9.600,00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55.600,00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Contas a Receber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Impostos a Recolher (sobre mercadorias)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18.000,00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Estoques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Salários a Pagar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33.000,00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13.200,00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Contas a Pagar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43.500,00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Ativo Não Circulante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192.000,00</w:t>
            </w:r>
          </w:p>
        </w:tc>
        <w:tc>
          <w:tcPr>
            <w:tcW w:w="2250" w:type="dxa"/>
            <w:vAlign w:val="center"/>
          </w:tcPr>
          <w:p w:rsidR="004E74B6" w:rsidRPr="008308DD" w:rsidRDefault="008308DD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Emprést</w:t>
            </w:r>
            <w:proofErr w:type="spellEnd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="004E74B6"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Pagar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26.000,00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Realiz</w:t>
            </w:r>
            <w:proofErr w:type="spellEnd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Longo Prazo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Passivo Não Circ.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137.700,00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Ativo Permanente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137.000,00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Exigível a Longo </w:t>
            </w:r>
            <w:proofErr w:type="spellStart"/>
            <w:proofErr w:type="gram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Pr</w:t>
            </w:r>
            <w:proofErr w:type="spellEnd"/>
            <w:proofErr w:type="gramEnd"/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37.700,00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Patrimônio Líquido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4E74B6" w:rsidRPr="00640899" w:rsidTr="004E74B6">
        <w:trPr>
          <w:trHeight w:val="330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Ativo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336.800,00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Passivo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336.800,00</w:t>
            </w:r>
          </w:p>
        </w:tc>
      </w:tr>
    </w:tbl>
    <w:p w:rsidR="009D13D6" w:rsidRDefault="004402EB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Pede-se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Calcular as variáveis: Saldo de Tesouraria, Necessidade de Capital de Giro e Capital de Giro;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Identifique a estrutura financeira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 Doces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 o ciclo financeiro;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 o giro de caixa</w:t>
      </w:r>
      <w:r w:rsidR="008308D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308DD" w:rsidRDefault="008308DD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 o Índice de Liquidez Dinâmico e o Índice de Liquidez Corrente.</w:t>
      </w:r>
    </w:p>
    <w:p w:rsidR="0077682A" w:rsidRPr="009E5889" w:rsidRDefault="0077682A" w:rsidP="007768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</w:p>
    <w:p w:rsidR="0077682A" w:rsidRDefault="0077682A" w:rsidP="0077682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Preencha os dados faltantes para o cálculo do Índice de Liquidez Dinâmica.</w:t>
      </w:r>
      <w:r w:rsidR="00E872F7">
        <w:rPr>
          <w:rFonts w:ascii="Times New Roman" w:hAnsi="Times New Roman"/>
          <w:sz w:val="24"/>
          <w:szCs w:val="24"/>
        </w:rPr>
        <w:t xml:space="preserve"> Examine se existe o Efeito Tesoura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134"/>
        <w:gridCol w:w="1559"/>
        <w:gridCol w:w="992"/>
        <w:gridCol w:w="1134"/>
        <w:gridCol w:w="993"/>
      </w:tblGrid>
      <w:tr w:rsidR="00463826" w:rsidRPr="00463826" w:rsidTr="0046382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D753CE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Períodos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Vendas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NCG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CDG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ST/|NCG|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872F7" w:rsidRDefault="00E872F7" w:rsidP="0077682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63826" w:rsidRPr="00EF3E7A" w:rsidRDefault="00463826" w:rsidP="0077682A">
      <w:pPr>
        <w:tabs>
          <w:tab w:val="left" w:pos="0"/>
        </w:tabs>
      </w:pPr>
    </w:p>
    <w:sectPr w:rsidR="00463826" w:rsidRPr="00EF3E7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16" w:rsidRDefault="008D5516" w:rsidP="00D753CE">
      <w:pPr>
        <w:spacing w:after="0" w:line="240" w:lineRule="auto"/>
      </w:pPr>
      <w:r>
        <w:separator/>
      </w:r>
    </w:p>
  </w:endnote>
  <w:endnote w:type="continuationSeparator" w:id="0">
    <w:p w:rsidR="008D5516" w:rsidRDefault="008D5516" w:rsidP="00D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16" w:rsidRDefault="008D5516" w:rsidP="00D753CE">
      <w:pPr>
        <w:spacing w:after="0" w:line="240" w:lineRule="auto"/>
      </w:pPr>
      <w:r>
        <w:separator/>
      </w:r>
    </w:p>
  </w:footnote>
  <w:footnote w:type="continuationSeparator" w:id="0">
    <w:p w:rsidR="008D5516" w:rsidRDefault="008D5516" w:rsidP="00D7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16585"/>
      <w:docPartObj>
        <w:docPartGallery w:val="Page Numbers (Top of Page)"/>
        <w:docPartUnique/>
      </w:docPartObj>
    </w:sdtPr>
    <w:sdtContent>
      <w:p w:rsidR="00D753CE" w:rsidRDefault="00D753C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53CE" w:rsidRDefault="00D753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9A8"/>
    <w:multiLevelType w:val="hybridMultilevel"/>
    <w:tmpl w:val="8C341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33C"/>
    <w:multiLevelType w:val="hybridMultilevel"/>
    <w:tmpl w:val="D2F451F0"/>
    <w:lvl w:ilvl="0" w:tplc="C952EE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A3B"/>
    <w:multiLevelType w:val="hybridMultilevel"/>
    <w:tmpl w:val="63CE3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67D"/>
    <w:multiLevelType w:val="hybridMultilevel"/>
    <w:tmpl w:val="ED5093D8"/>
    <w:lvl w:ilvl="0" w:tplc="DAA23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4D00"/>
    <w:multiLevelType w:val="hybridMultilevel"/>
    <w:tmpl w:val="97CA89F0"/>
    <w:lvl w:ilvl="0" w:tplc="DAA23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1B37"/>
    <w:multiLevelType w:val="hybridMultilevel"/>
    <w:tmpl w:val="036C875A"/>
    <w:lvl w:ilvl="0" w:tplc="6DA4B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105"/>
    <w:multiLevelType w:val="hybridMultilevel"/>
    <w:tmpl w:val="37169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6"/>
    <w:rsid w:val="00051340"/>
    <w:rsid w:val="0033036C"/>
    <w:rsid w:val="00391DF7"/>
    <w:rsid w:val="004402EB"/>
    <w:rsid w:val="00463826"/>
    <w:rsid w:val="004E74B6"/>
    <w:rsid w:val="0077682A"/>
    <w:rsid w:val="008308DD"/>
    <w:rsid w:val="008D5516"/>
    <w:rsid w:val="009D13D6"/>
    <w:rsid w:val="00AB2A0E"/>
    <w:rsid w:val="00C37BF6"/>
    <w:rsid w:val="00D753CE"/>
    <w:rsid w:val="00E46C0B"/>
    <w:rsid w:val="00E64E29"/>
    <w:rsid w:val="00E872F7"/>
    <w:rsid w:val="00EF31E3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B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303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3CE"/>
  </w:style>
  <w:style w:type="paragraph" w:styleId="Rodap">
    <w:name w:val="footer"/>
    <w:basedOn w:val="Normal"/>
    <w:link w:val="RodapChar"/>
    <w:uiPriority w:val="99"/>
    <w:unhideWhenUsed/>
    <w:rsid w:val="00D7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B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303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3CE"/>
  </w:style>
  <w:style w:type="paragraph" w:styleId="Rodap">
    <w:name w:val="footer"/>
    <w:basedOn w:val="Normal"/>
    <w:link w:val="RodapChar"/>
    <w:uiPriority w:val="99"/>
    <w:unhideWhenUsed/>
    <w:rsid w:val="00D75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2020-05-09T12:41:00Z</cp:lastPrinted>
  <dcterms:created xsi:type="dcterms:W3CDTF">2020-05-09T11:11:00Z</dcterms:created>
  <dcterms:modified xsi:type="dcterms:W3CDTF">2020-05-09T13:44:00Z</dcterms:modified>
</cp:coreProperties>
</file>