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AF27" w14:textId="77777777" w:rsidR="00D46321" w:rsidRPr="00FF495A" w:rsidRDefault="000001B5">
      <w:pPr>
        <w:pStyle w:val="Corpodetexto"/>
        <w:ind w:left="1842"/>
      </w:pPr>
      <w:r w:rsidRPr="00FF495A">
        <w:rPr>
          <w:noProof/>
          <w:lang w:val="pt-BR" w:eastAsia="pt-BR" w:bidi="ar-SA"/>
        </w:rPr>
        <w:drawing>
          <wp:inline distT="0" distB="0" distL="0" distR="0" wp14:anchorId="2E64E3F5" wp14:editId="6F89F99B">
            <wp:extent cx="4098724" cy="17754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724" cy="177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02B74" w14:textId="77777777" w:rsidR="00D46321" w:rsidRPr="00FF495A" w:rsidRDefault="00D46321">
      <w:pPr>
        <w:pStyle w:val="Corpodetexto"/>
      </w:pPr>
    </w:p>
    <w:p w14:paraId="49BFFB80" w14:textId="77777777" w:rsidR="00D46321" w:rsidRPr="00FF495A" w:rsidRDefault="00D46321">
      <w:pPr>
        <w:pStyle w:val="Corpodetexto"/>
      </w:pPr>
    </w:p>
    <w:p w14:paraId="652028BA" w14:textId="77777777" w:rsidR="00D46321" w:rsidRPr="00FF495A" w:rsidRDefault="00D46321">
      <w:pPr>
        <w:pStyle w:val="Corpodetexto"/>
        <w:spacing w:before="3"/>
      </w:pPr>
    </w:p>
    <w:p w14:paraId="1DC74F80" w14:textId="77DE0504" w:rsidR="00D46321" w:rsidRPr="00FF495A" w:rsidRDefault="000001B5">
      <w:pPr>
        <w:pStyle w:val="Ttulo1"/>
        <w:spacing w:before="93" w:line="278" w:lineRule="auto"/>
        <w:ind w:left="4036" w:hanging="1887"/>
        <w:rPr>
          <w:u w:val="none"/>
        </w:rPr>
      </w:pPr>
      <w:r w:rsidRPr="00FF495A">
        <w:rPr>
          <w:u w:val="thick"/>
        </w:rPr>
        <w:t xml:space="preserve">SEMINÁRIO </w:t>
      </w:r>
      <w:proofErr w:type="gramStart"/>
      <w:r w:rsidR="00793C0B">
        <w:rPr>
          <w:u w:val="thick"/>
        </w:rPr>
        <w:t>3</w:t>
      </w:r>
      <w:proofErr w:type="gramEnd"/>
      <w:r w:rsidRPr="00FF495A">
        <w:rPr>
          <w:u w:val="thick"/>
        </w:rPr>
        <w:t xml:space="preserve">: </w:t>
      </w:r>
      <w:r w:rsidR="007D5B3E" w:rsidRPr="00FF495A">
        <w:rPr>
          <w:u w:val="thick"/>
        </w:rPr>
        <w:t>DEFENSORIA PÚBLICA</w:t>
      </w:r>
    </w:p>
    <w:p w14:paraId="02419282" w14:textId="77777777" w:rsidR="00D46321" w:rsidRPr="00FF495A" w:rsidRDefault="00D46321">
      <w:pPr>
        <w:pStyle w:val="Corpodetexto"/>
        <w:rPr>
          <w:b/>
        </w:rPr>
      </w:pPr>
    </w:p>
    <w:p w14:paraId="289E30C3" w14:textId="77777777" w:rsidR="00D46321" w:rsidRPr="00FF495A" w:rsidRDefault="00D46321">
      <w:pPr>
        <w:pStyle w:val="Corpodetexto"/>
        <w:spacing w:before="8"/>
        <w:rPr>
          <w:b/>
        </w:rPr>
      </w:pPr>
    </w:p>
    <w:p w14:paraId="57C170C6" w14:textId="278C004C" w:rsidR="00D46321" w:rsidRPr="00FF495A" w:rsidRDefault="000001B5">
      <w:pPr>
        <w:pStyle w:val="Corpodetexto"/>
        <w:spacing w:before="94"/>
        <w:ind w:left="959"/>
      </w:pPr>
      <w:r w:rsidRPr="00FF495A">
        <w:t>Texto de leitura obrigatória:</w:t>
      </w:r>
    </w:p>
    <w:p w14:paraId="331034CC" w14:textId="77777777" w:rsidR="00A8778F" w:rsidRPr="00FF495A" w:rsidRDefault="00A8778F" w:rsidP="00A8778F">
      <w:pPr>
        <w:spacing w:line="278" w:lineRule="auto"/>
        <w:ind w:right="349"/>
        <w:jc w:val="both"/>
      </w:pPr>
    </w:p>
    <w:p w14:paraId="0C2ADC11" w14:textId="0C8C0FC5" w:rsidR="007200A5" w:rsidRDefault="007200A5" w:rsidP="007200A5">
      <w:pPr>
        <w:spacing w:line="278" w:lineRule="auto"/>
        <w:ind w:right="349"/>
        <w:jc w:val="both"/>
      </w:pPr>
      <w:r>
        <w:t xml:space="preserve">Texto </w:t>
      </w:r>
      <w:r>
        <w:t>1</w:t>
      </w:r>
      <w:r>
        <w:t xml:space="preserve"> – LAURIS, Élida. </w:t>
      </w:r>
      <w:r w:rsidRPr="00447B76">
        <w:rPr>
          <w:b/>
        </w:rPr>
        <w:t>O Sul Como Emergência: Mobilização Social do Direito e Experimentalismo Institucional do Acesso à Justiça em São Paulo</w:t>
      </w:r>
      <w:r>
        <w:t xml:space="preserve">. Disponível em: </w:t>
      </w:r>
      <w:hyperlink r:id="rId7" w:history="1">
        <w:r>
          <w:rPr>
            <w:rStyle w:val="Hyperlink"/>
          </w:rPr>
          <w:t>http://opo.iisj.net/index.php/sortuz/article/viewFile/564/709</w:t>
        </w:r>
      </w:hyperlink>
      <w:r>
        <w:t>. Acesso em: 26 abr. 2020, p. 73-89.</w:t>
      </w:r>
    </w:p>
    <w:p w14:paraId="05F16B9C" w14:textId="77777777" w:rsidR="007200A5" w:rsidRDefault="007200A5" w:rsidP="00F078BC">
      <w:pPr>
        <w:spacing w:line="278" w:lineRule="auto"/>
        <w:ind w:right="349"/>
        <w:jc w:val="both"/>
      </w:pPr>
    </w:p>
    <w:p w14:paraId="782FB855" w14:textId="30926BE9" w:rsidR="00F078BC" w:rsidRDefault="00F078BC" w:rsidP="00F078BC">
      <w:pPr>
        <w:spacing w:line="278" w:lineRule="auto"/>
        <w:ind w:right="349"/>
        <w:jc w:val="both"/>
      </w:pPr>
      <w:bookmarkStart w:id="0" w:name="_GoBack"/>
      <w:bookmarkEnd w:id="0"/>
      <w:r>
        <w:t xml:space="preserve">Texto </w:t>
      </w:r>
      <w:r w:rsidR="007200A5">
        <w:t>2</w:t>
      </w:r>
      <w:r>
        <w:t xml:space="preserve"> - Tortura blindada: Como as instituições do sistema de Justiça perpetuam a violência nas audiências de custódia. Conectas. Disponível em: &lt;</w:t>
      </w:r>
      <w:hyperlink r:id="rId8" w:history="1">
        <w:r>
          <w:rPr>
            <w:rStyle w:val="Hyperlink"/>
          </w:rPr>
          <w:t>https://www.conectas.org/publicacoes/download/tortura-blindada</w:t>
        </w:r>
      </w:hyperlink>
      <w:r>
        <w:t>&gt;. Acesso 30 abr 2020. P. 29-31, 55-97, 99-118.</w:t>
      </w:r>
    </w:p>
    <w:p w14:paraId="5DBD3A75" w14:textId="0D93BFBF" w:rsidR="00F078BC" w:rsidRDefault="00F078BC" w:rsidP="00536E26">
      <w:pPr>
        <w:spacing w:line="278" w:lineRule="auto"/>
        <w:ind w:right="349"/>
        <w:jc w:val="both"/>
      </w:pPr>
    </w:p>
    <w:p w14:paraId="2B790AB4" w14:textId="77777777" w:rsidR="00857B51" w:rsidRDefault="00857B51" w:rsidP="00857B51">
      <w:pPr>
        <w:spacing w:line="278" w:lineRule="auto"/>
        <w:ind w:right="349"/>
        <w:jc w:val="both"/>
      </w:pPr>
    </w:p>
    <w:p w14:paraId="331BEEB3" w14:textId="77777777" w:rsidR="00857B51" w:rsidRDefault="00857B51" w:rsidP="00857B51">
      <w:pPr>
        <w:spacing w:line="278" w:lineRule="auto"/>
        <w:ind w:right="349"/>
      </w:pPr>
    </w:p>
    <w:p w14:paraId="76656458" w14:textId="77777777" w:rsidR="00B345A9" w:rsidRPr="00FF495A" w:rsidRDefault="00B345A9"/>
    <w:p w14:paraId="61F63C72" w14:textId="77777777" w:rsidR="008E7BCA" w:rsidRPr="00FF495A" w:rsidRDefault="008E7BCA" w:rsidP="008E7BCA">
      <w:pPr>
        <w:spacing w:line="360" w:lineRule="auto"/>
        <w:ind w:firstLine="850"/>
        <w:jc w:val="both"/>
        <w:rPr>
          <w:color w:val="000000" w:themeColor="text1"/>
        </w:rPr>
      </w:pPr>
      <w:r w:rsidRPr="00FF495A">
        <w:rPr>
          <w:color w:val="000000" w:themeColor="text1"/>
        </w:rPr>
        <w:t xml:space="preserve">Analise as questões centrais veiculadas nas reportagens e entrevistas anexas, para, em conjunto com os textos de leitura obrigatória, responder as perguntas abaixo. </w:t>
      </w:r>
    </w:p>
    <w:p w14:paraId="43D9A7C1" w14:textId="77777777" w:rsidR="00416191" w:rsidRPr="00FF495A" w:rsidRDefault="00416191" w:rsidP="000001B5">
      <w:pPr>
        <w:spacing w:line="360" w:lineRule="auto"/>
        <w:jc w:val="both"/>
        <w:rPr>
          <w:color w:val="000000" w:themeColor="text1"/>
        </w:rPr>
      </w:pPr>
    </w:p>
    <w:p w14:paraId="3E79D6FA" w14:textId="77777777" w:rsidR="008E7BCA" w:rsidRDefault="008E7BCA" w:rsidP="008E7BCA">
      <w:pPr>
        <w:spacing w:line="360" w:lineRule="auto"/>
        <w:jc w:val="center"/>
        <w:rPr>
          <w:b/>
          <w:color w:val="000000" w:themeColor="text1"/>
          <w:u w:val="single"/>
        </w:rPr>
      </w:pPr>
      <w:r w:rsidRPr="00FF495A">
        <w:rPr>
          <w:b/>
          <w:color w:val="000000" w:themeColor="text1"/>
          <w:u w:val="single"/>
        </w:rPr>
        <w:t>Anexos</w:t>
      </w:r>
    </w:p>
    <w:p w14:paraId="21CFE5C8" w14:textId="77777777" w:rsidR="00617A6E" w:rsidRPr="00FF495A" w:rsidRDefault="00617A6E" w:rsidP="008E7BCA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52D56C93" w14:textId="019D1073" w:rsidR="00FF495A" w:rsidRPr="00FF495A" w:rsidRDefault="008E7BCA" w:rsidP="0046010A">
      <w:pPr>
        <w:spacing w:line="278" w:lineRule="auto"/>
        <w:ind w:right="349"/>
        <w:jc w:val="both"/>
      </w:pPr>
      <w:r w:rsidRPr="00FF495A">
        <w:rPr>
          <w:color w:val="000000" w:themeColor="text1"/>
        </w:rPr>
        <w:t>Anexo nº</w:t>
      </w:r>
      <w:r w:rsidR="001E44C2">
        <w:rPr>
          <w:color w:val="000000" w:themeColor="text1"/>
        </w:rPr>
        <w:t xml:space="preserve"> </w:t>
      </w:r>
      <w:r w:rsidRPr="00FF495A">
        <w:rPr>
          <w:color w:val="000000" w:themeColor="text1"/>
        </w:rPr>
        <w:t xml:space="preserve">01: </w:t>
      </w:r>
      <w:r w:rsidR="00FF495A" w:rsidRPr="00FF495A">
        <w:t xml:space="preserve">VIEIRA. Vanessa Alves; </w:t>
      </w:r>
      <w:r w:rsidR="00FF495A" w:rsidRPr="00FF495A">
        <w:rPr>
          <w:bCs/>
          <w:caps/>
          <w:color w:val="000000"/>
          <w:shd w:val="clear" w:color="auto" w:fill="FFFFFF"/>
        </w:rPr>
        <w:t>Radomysler</w:t>
      </w:r>
      <w:r w:rsidR="00FF495A" w:rsidRPr="00FF495A">
        <w:rPr>
          <w:bCs/>
          <w:color w:val="000000"/>
          <w:shd w:val="clear" w:color="auto" w:fill="FFFFFF"/>
        </w:rPr>
        <w:t xml:space="preserve">, </w:t>
      </w:r>
      <w:r w:rsidR="00617A6E">
        <w:rPr>
          <w:bCs/>
          <w:color w:val="000000"/>
          <w:shd w:val="clear" w:color="auto" w:fill="FFFFFF"/>
        </w:rPr>
        <w:t>Clio Nudel</w:t>
      </w:r>
      <w:r w:rsidR="00FF495A" w:rsidRPr="00FF495A">
        <w:rPr>
          <w:bCs/>
          <w:color w:val="000000"/>
          <w:shd w:val="clear" w:color="auto" w:fill="FFFFFF"/>
        </w:rPr>
        <w:t>.</w:t>
      </w:r>
      <w:r w:rsidR="00FF495A" w:rsidRPr="00FF495A">
        <w:rPr>
          <w:b/>
          <w:bCs/>
          <w:color w:val="000000"/>
          <w:shd w:val="clear" w:color="auto" w:fill="FFFFFF"/>
        </w:rPr>
        <w:t xml:space="preserve"> </w:t>
      </w:r>
      <w:r w:rsidR="00FF495A" w:rsidRPr="00FF495A">
        <w:rPr>
          <w:b/>
        </w:rPr>
        <w:t xml:space="preserve">A Defensoria Pública e o reconhecimento das diferenças: potencialidades e desafios de suas práticas institucionais em São Paulo. </w:t>
      </w:r>
      <w:r w:rsidR="00FF495A" w:rsidRPr="00FF495A">
        <w:t>Disponível em: &lt;</w:t>
      </w:r>
      <w:hyperlink r:id="rId9" w:history="1">
        <w:r w:rsidR="00FF495A" w:rsidRPr="00FF495A">
          <w:rPr>
            <w:rStyle w:val="Hyperlink"/>
          </w:rPr>
          <w:t>http://www.scielo.br/scielo.php?script=sci_arttext&amp;pid=S1808-24322015000200455</w:t>
        </w:r>
      </w:hyperlink>
      <w:r w:rsidR="00FF495A" w:rsidRPr="00FF495A">
        <w:t>&gt;. Acesso em 26 abr. 2020.</w:t>
      </w:r>
    </w:p>
    <w:p w14:paraId="60B33691" w14:textId="77777777" w:rsidR="00FF495A" w:rsidRDefault="00FF495A" w:rsidP="0046010A">
      <w:pPr>
        <w:spacing w:line="278" w:lineRule="auto"/>
        <w:ind w:right="349"/>
        <w:jc w:val="both"/>
      </w:pPr>
    </w:p>
    <w:p w14:paraId="50188B06" w14:textId="4AAB1D47" w:rsidR="001E44C2" w:rsidRPr="00FF495A" w:rsidRDefault="001E44C2" w:rsidP="0046010A">
      <w:pPr>
        <w:spacing w:line="278" w:lineRule="auto"/>
        <w:ind w:right="349"/>
        <w:jc w:val="both"/>
      </w:pPr>
      <w:r>
        <w:t xml:space="preserve">Anexo 02: </w:t>
      </w:r>
      <w:r w:rsidRPr="001E44C2">
        <w:rPr>
          <w:b/>
        </w:rPr>
        <w:t>STJ admite Defensoria Pública como custos vulnerabilis em recurso repetitivo.</w:t>
      </w:r>
      <w:r>
        <w:t xml:space="preserve"> Disponível em: &lt;</w:t>
      </w:r>
      <w:hyperlink r:id="rId10" w:history="1">
        <w:r>
          <w:rPr>
            <w:rStyle w:val="Hyperlink"/>
          </w:rPr>
          <w:t>https://www.conjur.com.br/2019-out-01/stj-admite-defensoria-custos-vulnerabilis-repetitivo</w:t>
        </w:r>
      </w:hyperlink>
      <w:r>
        <w:t>&gt;. Acesso em 26 abr. 2020.</w:t>
      </w:r>
    </w:p>
    <w:p w14:paraId="1EEB9B75" w14:textId="5B186B33" w:rsidR="008E7BCA" w:rsidRPr="00FF495A" w:rsidRDefault="008E7BCA" w:rsidP="0046010A">
      <w:pPr>
        <w:pStyle w:val="Ttulo1"/>
        <w:spacing w:after="150"/>
        <w:jc w:val="both"/>
        <w:rPr>
          <w:rFonts w:eastAsia="Times New Roman"/>
          <w:b w:val="0"/>
          <w:bCs w:val="0"/>
          <w:color w:val="3F2C2E"/>
          <w:spacing w:val="-39"/>
        </w:rPr>
      </w:pPr>
    </w:p>
    <w:p w14:paraId="374BA13E" w14:textId="2BC561B3" w:rsidR="001E44C2" w:rsidRDefault="001E44C2" w:rsidP="0046010A">
      <w:pPr>
        <w:spacing w:line="278" w:lineRule="auto"/>
        <w:ind w:right="349"/>
        <w:jc w:val="both"/>
      </w:pPr>
      <w:r>
        <w:t xml:space="preserve">Anexo 03: </w:t>
      </w:r>
      <w:proofErr w:type="gramStart"/>
      <w:r w:rsidRPr="001E44C2">
        <w:t>EDcl</w:t>
      </w:r>
      <w:proofErr w:type="gramEnd"/>
      <w:r w:rsidRPr="001E44C2">
        <w:t xml:space="preserve"> no REC</w:t>
      </w:r>
      <w:r>
        <w:t xml:space="preserve">URSO ESPECIAL Nº 1.712.163 </w:t>
      </w:r>
      <w:r w:rsidR="00447B76">
        <w:t>–</w:t>
      </w:r>
      <w:r>
        <w:t xml:space="preserve"> SP</w:t>
      </w:r>
      <w:r w:rsidR="00447B76">
        <w:t>.</w:t>
      </w:r>
      <w:r w:rsidR="0012130B">
        <w:t xml:space="preserve"> Em especial, pgs. 14-29. </w:t>
      </w:r>
    </w:p>
    <w:p w14:paraId="5C7EA3B5" w14:textId="7E45B56B" w:rsidR="00380FC6" w:rsidRDefault="00380FC6" w:rsidP="0046010A">
      <w:pPr>
        <w:spacing w:line="278" w:lineRule="auto"/>
        <w:ind w:right="349"/>
        <w:jc w:val="both"/>
      </w:pPr>
      <w:r>
        <w:br/>
        <w:t>Anexo 04:</w:t>
      </w:r>
      <w:r w:rsidR="00F000C8">
        <w:t xml:space="preserve"> </w:t>
      </w:r>
      <w:r w:rsidR="00F000C8" w:rsidRPr="00F000C8">
        <w:t>Defensoria Pública de SP lança serviço de teleagendamento</w:t>
      </w:r>
      <w:r w:rsidR="00F000C8">
        <w:t>. Disponível em: &lt;</w:t>
      </w:r>
      <w:hyperlink r:id="rId11" w:history="1">
        <w:r w:rsidR="00F000C8">
          <w:rPr>
            <w:rStyle w:val="Hyperlink"/>
          </w:rPr>
          <w:t>https://www.conjur.com.br/2014-abr-25/defensoria-publica-sp-lanca-agendamento-consultas-telefone</w:t>
        </w:r>
      </w:hyperlink>
      <w:r w:rsidR="00F000C8">
        <w:t>&gt;. Acesso em 29 abr. 2020.</w:t>
      </w:r>
    </w:p>
    <w:p w14:paraId="18D3CA1D" w14:textId="77777777" w:rsidR="00380FC6" w:rsidRDefault="00380FC6" w:rsidP="0046010A">
      <w:pPr>
        <w:spacing w:line="278" w:lineRule="auto"/>
        <w:ind w:right="349"/>
        <w:jc w:val="both"/>
      </w:pPr>
    </w:p>
    <w:p w14:paraId="0FFD77AE" w14:textId="13C60F53" w:rsidR="00380FC6" w:rsidRDefault="00380FC6" w:rsidP="0046010A">
      <w:pPr>
        <w:spacing w:line="278" w:lineRule="auto"/>
        <w:ind w:right="349"/>
        <w:jc w:val="both"/>
        <w:rPr>
          <w:rStyle w:val="Hyperlink"/>
        </w:rPr>
      </w:pPr>
      <w:r>
        <w:lastRenderedPageBreak/>
        <w:t xml:space="preserve">Anexo 05:  </w:t>
      </w:r>
      <w:hyperlink r:id="rId12" w:history="1">
        <w:r>
          <w:rPr>
            <w:rStyle w:val="Hyperlink"/>
          </w:rPr>
          <w:t>https://www.saopaulo.sp.gov.br/ultimas-noticias/defensoria-publica-realiza-atendimento-remoto-durante-o-periodo-de-quarentena/</w:t>
        </w:r>
      </w:hyperlink>
      <w:r w:rsidR="00F000C8">
        <w:rPr>
          <w:rStyle w:val="Hyperlink"/>
        </w:rPr>
        <w:t xml:space="preserve">. </w:t>
      </w:r>
      <w:r w:rsidR="00F000C8" w:rsidRPr="00F000C8">
        <w:rPr>
          <w:rStyle w:val="Hyperlink"/>
          <w:color w:val="auto"/>
          <w:u w:val="none"/>
        </w:rPr>
        <w:t>Acesso em 29 abr. 2020.</w:t>
      </w:r>
    </w:p>
    <w:p w14:paraId="29096832" w14:textId="77777777" w:rsidR="00F000C8" w:rsidRDefault="00F000C8" w:rsidP="0046010A">
      <w:pPr>
        <w:spacing w:line="278" w:lineRule="auto"/>
        <w:ind w:right="349"/>
        <w:jc w:val="both"/>
      </w:pPr>
    </w:p>
    <w:p w14:paraId="534DB7A4" w14:textId="4EFBCE37" w:rsidR="00F000C8" w:rsidRDefault="00F000C8" w:rsidP="00F000C8">
      <w:pPr>
        <w:spacing w:line="278" w:lineRule="auto"/>
        <w:ind w:right="349"/>
        <w:jc w:val="both"/>
      </w:pPr>
      <w:r>
        <w:t xml:space="preserve">Anexo 06: Covid-19: Defensoria Pública obtém liminar que autoriza pagamento de 30% do valor de aluguel </w:t>
      </w:r>
      <w:proofErr w:type="gramStart"/>
      <w:r>
        <w:t>a</w:t>
      </w:r>
      <w:proofErr w:type="gramEnd"/>
      <w:r>
        <w:t xml:space="preserve"> mulher desempregada. Disponível em: &lt;</w:t>
      </w:r>
      <w:hyperlink r:id="rId13" w:history="1">
        <w:r>
          <w:rPr>
            <w:rStyle w:val="Hyperlink"/>
          </w:rPr>
          <w:t>https://www.defensoria.sp.def.br/dpesp/Conteudos/Noticias/NoticiaMostra.aspx?idItem=89218&amp;idPagina=1&amp;flaDestaque=V</w:t>
        </w:r>
      </w:hyperlink>
      <w:r>
        <w:t xml:space="preserve">&gt;. Acesso em </w:t>
      </w:r>
      <w:proofErr w:type="gramStart"/>
      <w:r>
        <w:t>29 abr</w:t>
      </w:r>
      <w:proofErr w:type="gramEnd"/>
      <w:r>
        <w:t xml:space="preserve"> 2020.</w:t>
      </w:r>
    </w:p>
    <w:p w14:paraId="34C8B5DA" w14:textId="77777777" w:rsidR="00447B76" w:rsidRDefault="00447B76" w:rsidP="0046010A">
      <w:pPr>
        <w:spacing w:line="278" w:lineRule="auto"/>
        <w:ind w:right="349"/>
        <w:jc w:val="both"/>
      </w:pPr>
    </w:p>
    <w:p w14:paraId="07096234" w14:textId="77777777" w:rsidR="00F078BC" w:rsidRDefault="00F078BC" w:rsidP="0046010A">
      <w:pPr>
        <w:spacing w:line="278" w:lineRule="auto"/>
        <w:ind w:right="349"/>
        <w:jc w:val="both"/>
      </w:pPr>
    </w:p>
    <w:p w14:paraId="53A9EB57" w14:textId="2FFDEEDE" w:rsidR="008E7BCA" w:rsidRPr="004A45D1" w:rsidRDefault="004B0495" w:rsidP="004B0495">
      <w:pPr>
        <w:pStyle w:val="Ttulo1"/>
        <w:spacing w:after="86"/>
        <w:jc w:val="center"/>
        <w:rPr>
          <w:b w:val="0"/>
          <w:color w:val="000000"/>
        </w:rPr>
      </w:pPr>
      <w:r>
        <w:rPr>
          <w:rFonts w:eastAsia="Times New Roman"/>
          <w:color w:val="333333"/>
        </w:rPr>
        <w:t>Perguntas</w:t>
      </w:r>
    </w:p>
    <w:p w14:paraId="2CF0C76D" w14:textId="77777777" w:rsidR="00D22C73" w:rsidRPr="00FF495A" w:rsidRDefault="00D22C73" w:rsidP="00D22C73">
      <w:pPr>
        <w:pStyle w:val="PargrafodaLista"/>
        <w:adjustRightInd w:val="0"/>
        <w:spacing w:line="280" w:lineRule="atLeast"/>
        <w:ind w:left="720" w:firstLine="0"/>
        <w:contextualSpacing/>
        <w:jc w:val="both"/>
        <w:rPr>
          <w:rFonts w:eastAsiaTheme="minorHAnsi"/>
          <w:color w:val="000000"/>
        </w:rPr>
      </w:pPr>
    </w:p>
    <w:p w14:paraId="301D7D41" w14:textId="19F92084" w:rsidR="001860B2" w:rsidRPr="00C117F2" w:rsidRDefault="00C117F2" w:rsidP="008E7BCA">
      <w:pPr>
        <w:pStyle w:val="PargrafodaLista"/>
        <w:numPr>
          <w:ilvl w:val="0"/>
          <w:numId w:val="3"/>
        </w:numPr>
        <w:adjustRightInd w:val="0"/>
        <w:spacing w:line="280" w:lineRule="atLeast"/>
        <w:contextualSpacing/>
        <w:jc w:val="both"/>
        <w:rPr>
          <w:rFonts w:eastAsiaTheme="minorHAnsi"/>
          <w:color w:val="000000"/>
        </w:rPr>
      </w:pPr>
      <w:r>
        <w:rPr>
          <w:color w:val="000000"/>
        </w:rPr>
        <w:t xml:space="preserve">Valendo-se da classificação dos serviços legais em tradicionais e inovadores, </w:t>
      </w:r>
      <w:r w:rsidR="001860B2">
        <w:rPr>
          <w:color w:val="000000"/>
        </w:rPr>
        <w:t>quais</w:t>
      </w:r>
      <w:r>
        <w:rPr>
          <w:color w:val="000000"/>
        </w:rPr>
        <w:t xml:space="preserve"> os limites</w:t>
      </w:r>
      <w:r w:rsidR="00564038">
        <w:rPr>
          <w:color w:val="000000"/>
        </w:rPr>
        <w:t xml:space="preserve"> as</w:t>
      </w:r>
      <w:r>
        <w:rPr>
          <w:color w:val="000000"/>
        </w:rPr>
        <w:t xml:space="preserve"> e </w:t>
      </w:r>
      <w:r w:rsidR="001860B2">
        <w:rPr>
          <w:color w:val="000000"/>
        </w:rPr>
        <w:t xml:space="preserve">potencialidades da atuação da </w:t>
      </w:r>
      <w:r>
        <w:rPr>
          <w:color w:val="000000"/>
        </w:rPr>
        <w:t>Defensoria Pública</w:t>
      </w:r>
      <w:r w:rsidR="00B87C2C">
        <w:rPr>
          <w:color w:val="000000"/>
        </w:rPr>
        <w:t xml:space="preserve"> </w:t>
      </w:r>
      <w:r w:rsidR="001860B2">
        <w:rPr>
          <w:color w:val="000000"/>
        </w:rPr>
        <w:t>enquanto “</w:t>
      </w:r>
      <w:r w:rsidR="001860B2" w:rsidRPr="001860B2">
        <w:rPr>
          <w:i/>
          <w:color w:val="000000"/>
        </w:rPr>
        <w:t>custos vulnerabilis</w:t>
      </w:r>
      <w:r w:rsidR="001860B2">
        <w:rPr>
          <w:color w:val="000000"/>
        </w:rPr>
        <w:t>”?</w:t>
      </w:r>
      <w:r w:rsidR="00F86CB2">
        <w:rPr>
          <w:color w:val="000000"/>
        </w:rPr>
        <w:t xml:space="preserve"> </w:t>
      </w:r>
      <w:r w:rsidR="0046010A">
        <w:rPr>
          <w:color w:val="000000"/>
        </w:rPr>
        <w:t xml:space="preserve">Relacione tal atuação estratégica com os Núcleos Especializados temáticos existentes na Defensoria Pública de São Paulo. </w:t>
      </w:r>
    </w:p>
    <w:p w14:paraId="02A56F16" w14:textId="77777777" w:rsidR="00C117F2" w:rsidRPr="00C117F2" w:rsidRDefault="00C117F2" w:rsidP="00C117F2">
      <w:pPr>
        <w:pStyle w:val="PargrafodaLista"/>
        <w:rPr>
          <w:rFonts w:eastAsiaTheme="minorHAnsi"/>
          <w:color w:val="000000"/>
        </w:rPr>
      </w:pPr>
    </w:p>
    <w:p w14:paraId="3D99D31E" w14:textId="77777777" w:rsidR="00A5714F" w:rsidRPr="00A5714F" w:rsidRDefault="00A5714F" w:rsidP="00A5714F">
      <w:pPr>
        <w:pStyle w:val="PargrafodaLista"/>
        <w:rPr>
          <w:rFonts w:eastAsiaTheme="minorHAnsi"/>
          <w:color w:val="000000"/>
        </w:rPr>
      </w:pPr>
    </w:p>
    <w:p w14:paraId="7EDC8EAA" w14:textId="773DBB47" w:rsidR="00380FC6" w:rsidRPr="00380FC6" w:rsidRDefault="0080461B" w:rsidP="00380FC6">
      <w:pPr>
        <w:pStyle w:val="PargrafodaLista"/>
        <w:numPr>
          <w:ilvl w:val="0"/>
          <w:numId w:val="3"/>
        </w:numPr>
        <w:adjustRightInd w:val="0"/>
        <w:spacing w:before="2" w:line="280" w:lineRule="atLeast"/>
        <w:contextualSpacing/>
        <w:jc w:val="both"/>
        <w:rPr>
          <w:i/>
        </w:rPr>
      </w:pPr>
      <w:r w:rsidRPr="00380FC6">
        <w:rPr>
          <w:rFonts w:eastAsiaTheme="minorHAnsi"/>
          <w:color w:val="000000"/>
        </w:rPr>
        <w:t xml:space="preserve">A atuação em massa prestada pela Defensoria Pública pode comprometer o acesso à justiça qualitativo? </w:t>
      </w:r>
      <w:r w:rsidR="004A45D1">
        <w:rPr>
          <w:rFonts w:eastAsiaTheme="minorHAnsi"/>
          <w:color w:val="000000"/>
        </w:rPr>
        <w:t xml:space="preserve">Exemplifique. </w:t>
      </w:r>
      <w:r w:rsidR="00380FC6" w:rsidRPr="00380FC6">
        <w:rPr>
          <w:rFonts w:eastAsiaTheme="minorHAnsi"/>
          <w:color w:val="000000"/>
        </w:rPr>
        <w:t>Em que medida uma atuação massificada</w:t>
      </w:r>
      <w:r w:rsidR="00564038">
        <w:rPr>
          <w:rFonts w:eastAsiaTheme="minorHAnsi"/>
          <w:color w:val="000000"/>
        </w:rPr>
        <w:t xml:space="preserve"> também</w:t>
      </w:r>
      <w:r w:rsidR="00380FC6" w:rsidRPr="00380FC6">
        <w:rPr>
          <w:rFonts w:eastAsiaTheme="minorHAnsi"/>
          <w:color w:val="000000"/>
        </w:rPr>
        <w:t xml:space="preserve"> pode ser estratégica no sentido de pressionar realizar pressão junto ao Poder Judiciário? </w:t>
      </w:r>
      <w:r w:rsidR="004A45D1">
        <w:rPr>
          <w:rFonts w:eastAsiaTheme="minorHAnsi"/>
          <w:color w:val="000000"/>
        </w:rPr>
        <w:t>Poderia o Defensor Público negar o acesso à justiça individual de cidadão em prol do ajuizamento de ação coletiva?</w:t>
      </w:r>
      <w:r w:rsidR="00F000C8">
        <w:rPr>
          <w:rFonts w:eastAsiaTheme="minorHAnsi"/>
          <w:color w:val="000000"/>
        </w:rPr>
        <w:t xml:space="preserve"> Explique as vantagens e desvantagens da atuação coletiva e individual na tutela de interesses do cidadão.</w:t>
      </w:r>
    </w:p>
    <w:p w14:paraId="290BA2DF" w14:textId="77777777" w:rsidR="00380FC6" w:rsidRPr="00380FC6" w:rsidRDefault="00380FC6" w:rsidP="00380FC6">
      <w:pPr>
        <w:pStyle w:val="PargrafodaLista"/>
        <w:rPr>
          <w:i/>
        </w:rPr>
      </w:pPr>
    </w:p>
    <w:p w14:paraId="6AFDE373" w14:textId="7DFC25F3" w:rsidR="00380FC6" w:rsidRDefault="00380FC6" w:rsidP="00380FC6">
      <w:pPr>
        <w:pStyle w:val="PargrafodaLista"/>
        <w:numPr>
          <w:ilvl w:val="0"/>
          <w:numId w:val="3"/>
        </w:numPr>
        <w:adjustRightInd w:val="0"/>
        <w:spacing w:before="2" w:line="280" w:lineRule="atLeast"/>
        <w:contextualSpacing/>
        <w:jc w:val="both"/>
      </w:pPr>
      <w:r w:rsidRPr="00564038">
        <w:t xml:space="preserve">Apesar de contar com canal de teleagendamento desde 2014, o atendimento da Defensoria Pública em São Paulo sempre foi bastante centralizado na presença dos usuários nas Unidades físicas da </w:t>
      </w:r>
      <w:r w:rsidR="00564038">
        <w:t>Instituição, que sempre realizou atendimentos com senhas, ordem de chegada e em dias úteis e horários comerciais</w:t>
      </w:r>
      <w:r w:rsidRPr="00564038">
        <w:t xml:space="preserve">. Com a pandemia instalada pelo COVID-19, foi necessário estabelecer </w:t>
      </w:r>
      <w:r w:rsidR="00564038">
        <w:t xml:space="preserve">canais </w:t>
      </w:r>
      <w:r w:rsidRPr="00564038">
        <w:t>teleatendiment</w:t>
      </w:r>
      <w:r w:rsidR="00564038" w:rsidRPr="00564038">
        <w:t>o</w:t>
      </w:r>
      <w:r w:rsidR="00564038">
        <w:t xml:space="preserve"> dos usuários neste período, tais como whatsapp, formulários de autopreenchimento no portal e atendimento telefônico</w:t>
      </w:r>
      <w:r w:rsidR="00564038" w:rsidRPr="00564038">
        <w:t>. Aponte as dificuldades, limites e potencialiadades do atendimento remoto e digital realizado pela Defensoria Pública</w:t>
      </w:r>
      <w:r w:rsidR="00564038">
        <w:t>, tendo em conta que os usuários são pessoas vulneráveis economicamente</w:t>
      </w:r>
      <w:r w:rsidR="001A135D">
        <w:t xml:space="preserve"> e </w:t>
      </w:r>
      <w:r w:rsidR="00564038">
        <w:t>com pouco acesso à tecnologia</w:t>
      </w:r>
      <w:r w:rsidR="00564038" w:rsidRPr="00564038">
        <w:t xml:space="preserve">. </w:t>
      </w:r>
      <w:r w:rsidR="001A135D">
        <w:t>Com o término da quarentena, é possível vislumbrar alguns benefícios de teleatendimento?</w:t>
      </w:r>
    </w:p>
    <w:p w14:paraId="5ACE1CA5" w14:textId="77777777" w:rsidR="000C3BE2" w:rsidRDefault="000C3BE2" w:rsidP="000C3BE2">
      <w:pPr>
        <w:pStyle w:val="PargrafodaLista"/>
      </w:pPr>
    </w:p>
    <w:p w14:paraId="3AF2D3DC" w14:textId="5A47D914" w:rsidR="00564038" w:rsidRPr="004B0495" w:rsidRDefault="000C3BE2" w:rsidP="00564038">
      <w:pPr>
        <w:pStyle w:val="PargrafodaLista"/>
        <w:numPr>
          <w:ilvl w:val="0"/>
          <w:numId w:val="3"/>
        </w:numPr>
        <w:adjustRightInd w:val="0"/>
        <w:spacing w:before="2" w:line="280" w:lineRule="atLeast"/>
        <w:ind w:firstLine="0"/>
        <w:contextualSpacing/>
        <w:jc w:val="both"/>
        <w:rPr>
          <w:i/>
        </w:rPr>
      </w:pPr>
      <w:r>
        <w:t xml:space="preserve">Considerando os resultados da pesquisa “Tortura Blindada” realizada pelo Conectas, </w:t>
      </w:r>
      <w:r w:rsidR="00B9042F">
        <w:t xml:space="preserve">é possível dizer que a Defensoria Pública atua de maneira protocolar nas audiências de custódia e quais seriam as causas desse modo de atuação? </w:t>
      </w:r>
      <w:r>
        <w:t xml:space="preserve">Quais os limites e as dificuldades institucionais no enfrentamento do tema? Avalie a posição das instituições frente ao combate à tortura e a atuação junto às audiências de custódia.  </w:t>
      </w:r>
    </w:p>
    <w:sectPr w:rsidR="00564038" w:rsidRPr="004B0495">
      <w:pgSz w:w="11910" w:h="16840"/>
      <w:pgMar w:top="1580" w:right="12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A9E"/>
    <w:multiLevelType w:val="hybridMultilevel"/>
    <w:tmpl w:val="9A320154"/>
    <w:lvl w:ilvl="0" w:tplc="447C9B82">
      <w:numFmt w:val="bullet"/>
      <w:lvlText w:val=""/>
      <w:lvlJc w:val="left"/>
      <w:pPr>
        <w:ind w:left="1679" w:hanging="360"/>
      </w:pPr>
      <w:rPr>
        <w:rFonts w:hint="default"/>
        <w:w w:val="100"/>
        <w:lang w:val="pt-PT" w:eastAsia="pt-PT" w:bidi="pt-PT"/>
      </w:rPr>
    </w:lvl>
    <w:lvl w:ilvl="1" w:tplc="3258C370">
      <w:numFmt w:val="bullet"/>
      <w:lvlText w:val="•"/>
      <w:lvlJc w:val="left"/>
      <w:pPr>
        <w:ind w:left="1680" w:hanging="360"/>
      </w:pPr>
      <w:rPr>
        <w:rFonts w:hint="default"/>
        <w:lang w:val="pt-PT" w:eastAsia="pt-PT" w:bidi="pt-PT"/>
      </w:rPr>
    </w:lvl>
    <w:lvl w:ilvl="2" w:tplc="2814CE0C">
      <w:numFmt w:val="bullet"/>
      <w:lvlText w:val="•"/>
      <w:lvlJc w:val="left"/>
      <w:pPr>
        <w:ind w:left="2593" w:hanging="360"/>
      </w:pPr>
      <w:rPr>
        <w:rFonts w:hint="default"/>
        <w:lang w:val="pt-PT" w:eastAsia="pt-PT" w:bidi="pt-PT"/>
      </w:rPr>
    </w:lvl>
    <w:lvl w:ilvl="3" w:tplc="3E689A56">
      <w:numFmt w:val="bullet"/>
      <w:lvlText w:val="•"/>
      <w:lvlJc w:val="left"/>
      <w:pPr>
        <w:ind w:left="3507" w:hanging="360"/>
      </w:pPr>
      <w:rPr>
        <w:rFonts w:hint="default"/>
        <w:lang w:val="pt-PT" w:eastAsia="pt-PT" w:bidi="pt-PT"/>
      </w:rPr>
    </w:lvl>
    <w:lvl w:ilvl="4" w:tplc="68F04224">
      <w:numFmt w:val="bullet"/>
      <w:lvlText w:val="•"/>
      <w:lvlJc w:val="left"/>
      <w:pPr>
        <w:ind w:left="4421" w:hanging="360"/>
      </w:pPr>
      <w:rPr>
        <w:rFonts w:hint="default"/>
        <w:lang w:val="pt-PT" w:eastAsia="pt-PT" w:bidi="pt-PT"/>
      </w:rPr>
    </w:lvl>
    <w:lvl w:ilvl="5" w:tplc="DED41184">
      <w:numFmt w:val="bullet"/>
      <w:lvlText w:val="•"/>
      <w:lvlJc w:val="left"/>
      <w:pPr>
        <w:ind w:left="5335" w:hanging="360"/>
      </w:pPr>
      <w:rPr>
        <w:rFonts w:hint="default"/>
        <w:lang w:val="pt-PT" w:eastAsia="pt-PT" w:bidi="pt-PT"/>
      </w:rPr>
    </w:lvl>
    <w:lvl w:ilvl="6" w:tplc="47F040AA">
      <w:numFmt w:val="bullet"/>
      <w:lvlText w:val="•"/>
      <w:lvlJc w:val="left"/>
      <w:pPr>
        <w:ind w:left="6249" w:hanging="360"/>
      </w:pPr>
      <w:rPr>
        <w:rFonts w:hint="default"/>
        <w:lang w:val="pt-PT" w:eastAsia="pt-PT" w:bidi="pt-PT"/>
      </w:rPr>
    </w:lvl>
    <w:lvl w:ilvl="7" w:tplc="3B0A6BC6">
      <w:numFmt w:val="bullet"/>
      <w:lvlText w:val="•"/>
      <w:lvlJc w:val="left"/>
      <w:pPr>
        <w:ind w:left="7163" w:hanging="360"/>
      </w:pPr>
      <w:rPr>
        <w:rFonts w:hint="default"/>
        <w:lang w:val="pt-PT" w:eastAsia="pt-PT" w:bidi="pt-PT"/>
      </w:rPr>
    </w:lvl>
    <w:lvl w:ilvl="8" w:tplc="E84A11FA">
      <w:numFmt w:val="bullet"/>
      <w:lvlText w:val="•"/>
      <w:lvlJc w:val="left"/>
      <w:pPr>
        <w:ind w:left="8077" w:hanging="360"/>
      </w:pPr>
      <w:rPr>
        <w:rFonts w:hint="default"/>
        <w:lang w:val="pt-PT" w:eastAsia="pt-PT" w:bidi="pt-PT"/>
      </w:rPr>
    </w:lvl>
  </w:abstractNum>
  <w:abstractNum w:abstractNumId="1">
    <w:nsid w:val="4BE00D4B"/>
    <w:multiLevelType w:val="hybridMultilevel"/>
    <w:tmpl w:val="2ADCC0E8"/>
    <w:lvl w:ilvl="0" w:tplc="1F2C36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967BE"/>
    <w:multiLevelType w:val="multilevel"/>
    <w:tmpl w:val="644E8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3A83E92"/>
    <w:multiLevelType w:val="hybridMultilevel"/>
    <w:tmpl w:val="5A20D0DE"/>
    <w:lvl w:ilvl="0" w:tplc="93849AA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284A35A">
      <w:numFmt w:val="bullet"/>
      <w:lvlText w:val="•"/>
      <w:lvlJc w:val="left"/>
      <w:pPr>
        <w:ind w:left="2502" w:hanging="360"/>
      </w:pPr>
      <w:rPr>
        <w:rFonts w:hint="default"/>
        <w:lang w:val="pt-PT" w:eastAsia="pt-PT" w:bidi="pt-PT"/>
      </w:rPr>
    </w:lvl>
    <w:lvl w:ilvl="2" w:tplc="27FA00F0">
      <w:numFmt w:val="bullet"/>
      <w:lvlText w:val="•"/>
      <w:lvlJc w:val="left"/>
      <w:pPr>
        <w:ind w:left="3325" w:hanging="360"/>
      </w:pPr>
      <w:rPr>
        <w:rFonts w:hint="default"/>
        <w:lang w:val="pt-PT" w:eastAsia="pt-PT" w:bidi="pt-PT"/>
      </w:rPr>
    </w:lvl>
    <w:lvl w:ilvl="3" w:tplc="3FF64A44">
      <w:numFmt w:val="bullet"/>
      <w:lvlText w:val="•"/>
      <w:lvlJc w:val="left"/>
      <w:pPr>
        <w:ind w:left="4147" w:hanging="360"/>
      </w:pPr>
      <w:rPr>
        <w:rFonts w:hint="default"/>
        <w:lang w:val="pt-PT" w:eastAsia="pt-PT" w:bidi="pt-PT"/>
      </w:rPr>
    </w:lvl>
    <w:lvl w:ilvl="4" w:tplc="9D1CB348">
      <w:numFmt w:val="bullet"/>
      <w:lvlText w:val="•"/>
      <w:lvlJc w:val="left"/>
      <w:pPr>
        <w:ind w:left="4970" w:hanging="360"/>
      </w:pPr>
      <w:rPr>
        <w:rFonts w:hint="default"/>
        <w:lang w:val="pt-PT" w:eastAsia="pt-PT" w:bidi="pt-PT"/>
      </w:rPr>
    </w:lvl>
    <w:lvl w:ilvl="5" w:tplc="7868B5FE">
      <w:numFmt w:val="bullet"/>
      <w:lvlText w:val="•"/>
      <w:lvlJc w:val="left"/>
      <w:pPr>
        <w:ind w:left="5792" w:hanging="360"/>
      </w:pPr>
      <w:rPr>
        <w:rFonts w:hint="default"/>
        <w:lang w:val="pt-PT" w:eastAsia="pt-PT" w:bidi="pt-PT"/>
      </w:rPr>
    </w:lvl>
    <w:lvl w:ilvl="6" w:tplc="7E52A3F6">
      <w:numFmt w:val="bullet"/>
      <w:lvlText w:val="•"/>
      <w:lvlJc w:val="left"/>
      <w:pPr>
        <w:ind w:left="6615" w:hanging="360"/>
      </w:pPr>
      <w:rPr>
        <w:rFonts w:hint="default"/>
        <w:lang w:val="pt-PT" w:eastAsia="pt-PT" w:bidi="pt-PT"/>
      </w:rPr>
    </w:lvl>
    <w:lvl w:ilvl="7" w:tplc="B17EA4FA">
      <w:numFmt w:val="bullet"/>
      <w:lvlText w:val="•"/>
      <w:lvlJc w:val="left"/>
      <w:pPr>
        <w:ind w:left="7437" w:hanging="360"/>
      </w:pPr>
      <w:rPr>
        <w:rFonts w:hint="default"/>
        <w:lang w:val="pt-PT" w:eastAsia="pt-PT" w:bidi="pt-PT"/>
      </w:rPr>
    </w:lvl>
    <w:lvl w:ilvl="8" w:tplc="A8241632">
      <w:numFmt w:val="bullet"/>
      <w:lvlText w:val="•"/>
      <w:lvlJc w:val="left"/>
      <w:pPr>
        <w:ind w:left="8260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21"/>
    <w:rsid w:val="000001B5"/>
    <w:rsid w:val="00056AB7"/>
    <w:rsid w:val="000C3BE2"/>
    <w:rsid w:val="0012130B"/>
    <w:rsid w:val="001860B2"/>
    <w:rsid w:val="001A135D"/>
    <w:rsid w:val="001E44C2"/>
    <w:rsid w:val="00233814"/>
    <w:rsid w:val="00380FC6"/>
    <w:rsid w:val="00416191"/>
    <w:rsid w:val="00447B76"/>
    <w:rsid w:val="0046010A"/>
    <w:rsid w:val="004A45D1"/>
    <w:rsid w:val="004B0495"/>
    <w:rsid w:val="00536E26"/>
    <w:rsid w:val="00564038"/>
    <w:rsid w:val="005E079E"/>
    <w:rsid w:val="00617A6E"/>
    <w:rsid w:val="007177E7"/>
    <w:rsid w:val="007200A5"/>
    <w:rsid w:val="00793C0B"/>
    <w:rsid w:val="007D5B3E"/>
    <w:rsid w:val="0080461B"/>
    <w:rsid w:val="00857B51"/>
    <w:rsid w:val="008E32E1"/>
    <w:rsid w:val="008E7BCA"/>
    <w:rsid w:val="00922091"/>
    <w:rsid w:val="00A5714F"/>
    <w:rsid w:val="00A8778F"/>
    <w:rsid w:val="00B345A9"/>
    <w:rsid w:val="00B87C2C"/>
    <w:rsid w:val="00B9042F"/>
    <w:rsid w:val="00C117F2"/>
    <w:rsid w:val="00D22C73"/>
    <w:rsid w:val="00D46321"/>
    <w:rsid w:val="00DB24D1"/>
    <w:rsid w:val="00F000C8"/>
    <w:rsid w:val="00F078BC"/>
    <w:rsid w:val="00F17B67"/>
    <w:rsid w:val="00F86CB2"/>
    <w:rsid w:val="00FD2A4B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A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4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6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8778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8E7BC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E7BCA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B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B3E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4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4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6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8778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8E7BC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E7BCA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B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B3E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4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ectas.org/publicacoes/download/tortura-blindada" TargetMode="External"/><Relationship Id="rId13" Type="http://schemas.openxmlformats.org/officeDocument/2006/relationships/hyperlink" Target="https://www.defensoria.sp.def.br/dpesp/Conteudos/Noticias/NoticiaMostra.aspx?idItem=89218&amp;idPagina=1&amp;flaDestaque=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o.iisj.net/index.php/sortuz/article/viewFile/564/709" TargetMode="External"/><Relationship Id="rId12" Type="http://schemas.openxmlformats.org/officeDocument/2006/relationships/hyperlink" Target="https://www.saopaulo.sp.gov.br/ultimas-noticias/defensoria-publica-realiza-atendimento-remoto-durante-o-periodo-de-quarente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onjur.com.br/2014-abr-25/defensoria-publica-sp-lanca-agendamento-consultas-telefo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jur.com.br/2019-out-01/stj-admite-defensoria-custos-vulnerabilis-repetiti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script=sci_arttext&amp;pid=S1808-243220150002004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</dc:creator>
  <cp:lastModifiedBy>Win</cp:lastModifiedBy>
  <cp:revision>3</cp:revision>
  <dcterms:created xsi:type="dcterms:W3CDTF">2020-04-30T23:31:00Z</dcterms:created>
  <dcterms:modified xsi:type="dcterms:W3CDTF">2020-04-30T23:33:00Z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PDF Architect 5</vt:lpwstr>
  </property>
  <property fmtid="{D5CDD505-2E9C-101B-9397-08002B2CF9AE}" pid="4" name="LastSaved">
    <vt:filetime>2020-03-29T00:00:00Z</vt:filetime>
  </property>
</Properties>
</file>