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39F88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44"/>
          <w:szCs w:val="40"/>
          <w:lang w:eastAsia="pt-BR"/>
        </w:rPr>
      </w:pPr>
      <w:bookmarkStart w:id="0" w:name="_GoBack"/>
      <w:bookmarkEnd w:id="0"/>
      <w:r w:rsidRPr="006D1BCD">
        <w:rPr>
          <w:rFonts w:eastAsia="Times New Roman" w:cstheme="minorHAnsi"/>
          <w:b/>
          <w:bCs/>
          <w:color w:val="000000"/>
          <w:sz w:val="44"/>
          <w:szCs w:val="40"/>
          <w:lang w:eastAsia="pt-BR"/>
        </w:rPr>
        <w:t xml:space="preserve">Exame </w:t>
      </w:r>
      <w:r w:rsidR="002B7A90" w:rsidRPr="006D1BCD">
        <w:rPr>
          <w:rFonts w:eastAsia="Times New Roman" w:cstheme="minorHAnsi"/>
          <w:b/>
          <w:bCs/>
          <w:color w:val="000000"/>
          <w:sz w:val="44"/>
          <w:szCs w:val="40"/>
          <w:lang w:eastAsia="pt-BR"/>
        </w:rPr>
        <w:t>O</w:t>
      </w:r>
      <w:r w:rsidRPr="006D1BCD">
        <w:rPr>
          <w:rFonts w:eastAsia="Times New Roman" w:cstheme="minorHAnsi"/>
          <w:b/>
          <w:bCs/>
          <w:color w:val="000000"/>
          <w:sz w:val="44"/>
          <w:szCs w:val="40"/>
          <w:lang w:eastAsia="pt-BR"/>
        </w:rPr>
        <w:t>torrinolaringológico</w:t>
      </w:r>
    </w:p>
    <w:p w14:paraId="1B3BED9D" w14:textId="77777777" w:rsidR="00D56D86" w:rsidRPr="006D1BCD" w:rsidRDefault="00D56D86" w:rsidP="00CF24D6">
      <w:pPr>
        <w:spacing w:after="24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65176544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32"/>
          <w:szCs w:val="28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  <w:t>Cavidade oral e Orofaringe</w:t>
      </w:r>
      <w:r w:rsidRPr="006D1BCD"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  <w:tab/>
      </w:r>
      <w:r w:rsidRPr="006D1BCD"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  <w:tab/>
      </w:r>
      <w:r w:rsidRPr="006D1BCD"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  <w:tab/>
      </w:r>
    </w:p>
    <w:p w14:paraId="4D94DB9C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62B9DDD1" w14:textId="7B3581CC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-Oroscopia: </w:t>
      </w:r>
      <w:r w:rsidR="001D1015" w:rsidRPr="006D1BCD">
        <w:rPr>
          <w:rFonts w:eastAsia="Times New Roman" w:cstheme="minorHAnsi"/>
          <w:color w:val="000000"/>
          <w:sz w:val="24"/>
          <w:lang w:eastAsia="pt-BR"/>
        </w:rPr>
        <w:t xml:space="preserve">Vestíbulo oral, 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>b</w:t>
      </w:r>
      <w:r w:rsidR="001D1015" w:rsidRPr="006D1BCD">
        <w:rPr>
          <w:rFonts w:eastAsia="Times New Roman" w:cstheme="minorHAnsi"/>
          <w:color w:val="000000"/>
          <w:sz w:val="24"/>
          <w:lang w:eastAsia="pt-BR"/>
        </w:rPr>
        <w:t>oca e orofaringe. L</w:t>
      </w:r>
      <w:r w:rsidRPr="006D1BCD">
        <w:rPr>
          <w:rFonts w:eastAsia="Times New Roman" w:cstheme="minorHAnsi"/>
          <w:color w:val="000000"/>
          <w:sz w:val="24"/>
          <w:lang w:eastAsia="pt-BR"/>
        </w:rPr>
        <w:t>ábios</w:t>
      </w:r>
      <w:r w:rsidR="001D1015" w:rsidRPr="006D1BCD">
        <w:rPr>
          <w:rFonts w:eastAsia="Times New Roman" w:cstheme="minorHAnsi"/>
          <w:color w:val="000000"/>
          <w:sz w:val="24"/>
          <w:lang w:eastAsia="pt-BR"/>
        </w:rPr>
        <w:t xml:space="preserve">, </w:t>
      </w:r>
      <w:r w:rsidR="00586F77">
        <w:rPr>
          <w:rFonts w:eastAsia="Times New Roman" w:cstheme="minorHAnsi"/>
          <w:color w:val="000000"/>
          <w:sz w:val="24"/>
          <w:lang w:eastAsia="pt-BR"/>
        </w:rPr>
        <w:t>b</w:t>
      </w:r>
      <w:r w:rsidR="00A26A8A" w:rsidRPr="006D1BCD">
        <w:rPr>
          <w:rFonts w:eastAsia="Times New Roman" w:cstheme="minorHAnsi"/>
          <w:color w:val="000000"/>
          <w:sz w:val="24"/>
          <w:lang w:eastAsia="pt-BR"/>
        </w:rPr>
        <w:t>ochechas</w:t>
      </w:r>
      <w:r w:rsidRPr="006D1BCD">
        <w:rPr>
          <w:rFonts w:eastAsia="Times New Roman" w:cstheme="minorHAnsi"/>
          <w:color w:val="000000"/>
          <w:sz w:val="24"/>
          <w:lang w:eastAsia="pt-BR"/>
        </w:rPr>
        <w:t>, arcada dentária, língua, assoalho bucal gengivas, permeabilidade dos ductos salivares, mucosas jugais, palatos duro e mole, tonsilas e orofaringe</w:t>
      </w:r>
    </w:p>
    <w:p w14:paraId="0F7F7538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27C0941A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Materiais: fonte de luz, abaixador de língua ou espátula, luvas para palpação</w:t>
      </w:r>
    </w:p>
    <w:p w14:paraId="21FE6A1C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383984A5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→ nodulações ou abaulamentos, fissuras, úlceras ou rugosidades, irregularidades da superfície labial, abaulamentos nas bochechas, alteração de coloração, fissuras, úlceras ou irregularidades mucosas, estado de conservação e falhas dentárias, cáries e dentes quebrados, traumatismos na mucosa lingual; simetria das lojas tonsilares, exsudatos, inchaços, abaulamentos e ulcerações tonsilares.</w:t>
      </w:r>
    </w:p>
    <w:p w14:paraId="11A28AEE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23B88FE6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→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macroglossia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, língua seca, língua saburrosa, língua geográfica, língua pilosa, glossite romboide mediana, língua fissurada, língua careca, úlceras, petéquias,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tonsilolito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, exsudato tonsilar,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leucoplasia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,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eritroplasias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>.</w:t>
      </w:r>
    </w:p>
    <w:p w14:paraId="7A75304F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7CCB4B05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-Palpação da cavidade oral: mucosa labial e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jugal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>, bem como no assoalho da boca; glândulas salivares submandibulares e sublinguais; língua, com destaque para a sua base.</w:t>
      </w:r>
    </w:p>
    <w:p w14:paraId="1E09F6A1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→ abaulamentos e massas na mucosa ou no assoalho da boca; irregularidades na superfície das glândulas salivares, massas, cálculos, cistos, dor ao toque; endurecimentos na base da língua e neoplasias.</w:t>
      </w:r>
    </w:p>
    <w:p w14:paraId="7F47430B" w14:textId="77777777" w:rsidR="00242926" w:rsidRPr="006D1BCD" w:rsidRDefault="00242926" w:rsidP="00242926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Vídeo: CCP – Oroscopia I</w:t>
      </w:r>
    </w:p>
    <w:p w14:paraId="6BE404EA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259D7208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Classificação de estruturas que causam obstrução na região da faringe: manter o paciente com a língua dentro da boca, em posição relaxada.</w:t>
      </w:r>
    </w:p>
    <w:p w14:paraId="242C5B79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54BDFE22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-Classificação de Brodsky: tamanho das amígdalas segundo a distância ocupada por elas entre o pilar amigdaliano anterior e a linha média</w:t>
      </w:r>
      <w:r w:rsidR="00C52E65" w:rsidRPr="006D1BCD">
        <w:rPr>
          <w:rFonts w:eastAsia="Times New Roman" w:cstheme="minorHAnsi"/>
          <w:color w:val="000000"/>
          <w:sz w:val="24"/>
          <w:lang w:eastAsia="pt-BR"/>
        </w:rPr>
        <w:t xml:space="preserve"> (imagem)</w:t>
      </w:r>
      <w:r w:rsidRPr="006D1BCD">
        <w:rPr>
          <w:rFonts w:eastAsia="Times New Roman" w:cstheme="minorHAnsi"/>
          <w:color w:val="000000"/>
          <w:sz w:val="24"/>
          <w:lang w:eastAsia="pt-BR"/>
        </w:rPr>
        <w:t>:</w:t>
      </w:r>
    </w:p>
    <w:p w14:paraId="17CB3BA4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Grau I: amígdala ocupa menos de 25% da distância</w:t>
      </w:r>
    </w:p>
    <w:p w14:paraId="6ABBBB85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Grau II: amígdala ocupa entre 25 e 50% da distância </w:t>
      </w:r>
    </w:p>
    <w:p w14:paraId="3F15DF51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Grau III: amígdala ocupa entre 50 e 75% da distância </w:t>
      </w:r>
    </w:p>
    <w:p w14:paraId="452505E2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Grau IV: amígdala ocupa mais de 75% da distância</w:t>
      </w:r>
    </w:p>
    <w:p w14:paraId="385F98AD" w14:textId="77777777" w:rsidR="001B3A65" w:rsidRPr="006D1BCD" w:rsidRDefault="001B3A65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670FC10" w14:textId="77777777" w:rsidR="00531858" w:rsidRPr="006D1BCD" w:rsidRDefault="00531858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noProof/>
          <w:sz w:val="24"/>
          <w:lang w:eastAsia="pt-BR"/>
        </w:rPr>
        <w:lastRenderedPageBreak/>
        <w:drawing>
          <wp:inline distT="0" distB="0" distL="0" distR="0" wp14:anchorId="20ADBF58" wp14:editId="5DFC7A36">
            <wp:extent cx="5400040" cy="24288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resentação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96"/>
                    <a:stretch/>
                  </pic:blipFill>
                  <pic:spPr bwMode="auto">
                    <a:xfrm>
                      <a:off x="0" y="0"/>
                      <a:ext cx="540004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2DC22" w14:textId="70B3EC82" w:rsidR="001B3A65" w:rsidRPr="006D1BCD" w:rsidRDefault="00531858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Figura </w:t>
      </w:r>
      <w:r w:rsidR="00FC44C2" w:rsidRPr="006D1BCD">
        <w:rPr>
          <w:rFonts w:eastAsia="Times New Roman" w:cstheme="minorHAnsi"/>
          <w:sz w:val="24"/>
          <w:lang w:eastAsia="pt-BR"/>
        </w:rPr>
        <w:t>1</w:t>
      </w:r>
      <w:r w:rsidRPr="006D1BCD">
        <w:rPr>
          <w:rFonts w:eastAsia="Times New Roman" w:cstheme="minorHAnsi"/>
          <w:sz w:val="24"/>
          <w:lang w:eastAsia="pt-BR"/>
        </w:rPr>
        <w:t xml:space="preserve">. </w:t>
      </w:r>
      <w:r w:rsidR="00FC44C2" w:rsidRPr="006D1BCD">
        <w:rPr>
          <w:rFonts w:eastAsia="Times New Roman" w:cstheme="minorHAnsi"/>
          <w:sz w:val="24"/>
          <w:lang w:eastAsia="pt-BR"/>
        </w:rPr>
        <w:t>T</w:t>
      </w:r>
      <w:r w:rsidRPr="006D1BCD">
        <w:rPr>
          <w:rFonts w:eastAsia="Times New Roman" w:cstheme="minorHAnsi"/>
          <w:color w:val="000000"/>
          <w:sz w:val="24"/>
          <w:lang w:eastAsia="pt-BR"/>
        </w:rPr>
        <w:t>amanho das tonsilas palatinas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 xml:space="preserve"> segundo a classificação de Brodsky.</w:t>
      </w:r>
    </w:p>
    <w:p w14:paraId="7243FAE3" w14:textId="77777777" w:rsidR="001B3A65" w:rsidRPr="006D1BCD" w:rsidRDefault="001B3A65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5536BC79" w14:textId="1F91EFFE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-Classificação de Mallampati modificada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 xml:space="preserve"> ou posição palatal de Friedman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: avaliação 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>da posição do palato em relação à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base da língua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>.</w:t>
      </w:r>
    </w:p>
    <w:p w14:paraId="2FE9635F" w14:textId="3CB0B10A" w:rsidR="005A57C3" w:rsidRPr="006D1BCD" w:rsidRDefault="00FC44C2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CCE53C" wp14:editId="5CD44FD7">
                <wp:simplePos x="0" y="0"/>
                <wp:positionH relativeFrom="column">
                  <wp:posOffset>262890</wp:posOffset>
                </wp:positionH>
                <wp:positionV relativeFrom="paragraph">
                  <wp:posOffset>4445</wp:posOffset>
                </wp:positionV>
                <wp:extent cx="638175" cy="295275"/>
                <wp:effectExtent l="0" t="0" r="28575" b="2857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4F913C" w14:textId="77777777" w:rsidR="00D67B2A" w:rsidRDefault="00D67B2A">
                            <w:r>
                              <w:t>Classe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CE53C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20.7pt;margin-top:.35pt;width:50.25pt;height:2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" fillcolor="white [3201]" strokecolor="white [3212]" strokeweight=".5pt">
                <v:textbox>
                  <w:txbxContent>
                    <w:p w14:paraId="184F913C" w14:textId="77777777" w:rsidR="00D67B2A" w:rsidRDefault="00D67B2A">
                      <w:r>
                        <w:t>Classe I</w:t>
                      </w:r>
                    </w:p>
                  </w:txbxContent>
                </v:textbox>
              </v:shape>
            </w:pict>
          </mc:Fallback>
        </mc:AlternateContent>
      </w:r>
      <w:r w:rsidR="00D67B2A" w:rsidRPr="006D1BCD">
        <w:rPr>
          <w:rFonts w:eastAsia="Times New Roman" w:cstheme="min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5396DA" wp14:editId="41CEF64C">
                <wp:simplePos x="0" y="0"/>
                <wp:positionH relativeFrom="column">
                  <wp:posOffset>4349115</wp:posOffset>
                </wp:positionH>
                <wp:positionV relativeFrom="paragraph">
                  <wp:posOffset>13335</wp:posOffset>
                </wp:positionV>
                <wp:extent cx="723900" cy="295275"/>
                <wp:effectExtent l="0" t="0" r="19050" b="2857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936BCB" w14:textId="77777777" w:rsidR="00D67B2A" w:rsidRDefault="00D67B2A" w:rsidP="00D67B2A">
                            <w:r>
                              <w:t>Classe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96DA" id="Caixa de Texto 13" o:spid="_x0000_s1027" type="#_x0000_t202" style="position:absolute;left:0;text-align:left;margin-left:342.45pt;margin-top:1.05pt;width:5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" fillcolor="white [3201]" strokecolor="white [3212]" strokeweight=".5pt">
                <v:textbox>
                  <w:txbxContent>
                    <w:p w14:paraId="2E936BCB" w14:textId="77777777" w:rsidR="00D67B2A" w:rsidRDefault="00D67B2A" w:rsidP="00D67B2A">
                      <w:r>
                        <w:t>Classe IV</w:t>
                      </w:r>
                    </w:p>
                  </w:txbxContent>
                </v:textbox>
              </v:shape>
            </w:pict>
          </mc:Fallback>
        </mc:AlternateContent>
      </w:r>
      <w:r w:rsidR="00D67B2A" w:rsidRPr="006D1BCD">
        <w:rPr>
          <w:rFonts w:eastAsia="Times New Roman" w:cstheme="min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CB97ED" wp14:editId="0C904288">
                <wp:simplePos x="0" y="0"/>
                <wp:positionH relativeFrom="column">
                  <wp:posOffset>2987040</wp:posOffset>
                </wp:positionH>
                <wp:positionV relativeFrom="paragraph">
                  <wp:posOffset>13335</wp:posOffset>
                </wp:positionV>
                <wp:extent cx="695325" cy="295275"/>
                <wp:effectExtent l="0" t="0" r="28575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8D5192" w14:textId="77777777" w:rsidR="00D67B2A" w:rsidRDefault="00D67B2A" w:rsidP="00D67B2A">
                            <w:r>
                              <w:t>Classe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B97ED" id="Caixa de Texto 12" o:spid="_x0000_s1028" type="#_x0000_t202" style="position:absolute;left:0;text-align:left;margin-left:235.2pt;margin-top:1.05pt;width:54.7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" fillcolor="white [3201]" strokecolor="white [3212]" strokeweight=".5pt">
                <v:textbox>
                  <w:txbxContent>
                    <w:p w14:paraId="1E8D5192" w14:textId="77777777" w:rsidR="00D67B2A" w:rsidRDefault="00D67B2A" w:rsidP="00D67B2A">
                      <w:r>
                        <w:t>Classe III</w:t>
                      </w:r>
                    </w:p>
                  </w:txbxContent>
                </v:textbox>
              </v:shape>
            </w:pict>
          </mc:Fallback>
        </mc:AlternateContent>
      </w:r>
      <w:r w:rsidR="00D67B2A" w:rsidRPr="006D1BCD">
        <w:rPr>
          <w:rFonts w:eastAsia="Times New Roman" w:cstheme="minorHAnsi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55104F" wp14:editId="7B5F6350">
                <wp:simplePos x="0" y="0"/>
                <wp:positionH relativeFrom="column">
                  <wp:posOffset>1596390</wp:posOffset>
                </wp:positionH>
                <wp:positionV relativeFrom="paragraph">
                  <wp:posOffset>13335</wp:posOffset>
                </wp:positionV>
                <wp:extent cx="695325" cy="295275"/>
                <wp:effectExtent l="0" t="0" r="28575" b="2857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8C7512" w14:textId="77777777" w:rsidR="00D67B2A" w:rsidRDefault="00D67B2A" w:rsidP="00D67B2A">
                            <w:r>
                              <w:t>Classe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104F" id="Caixa de Texto 11" o:spid="_x0000_s1029" type="#_x0000_t202" style="position:absolute;left:0;text-align:left;margin-left:125.7pt;margin-top:1.05pt;width:54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" fillcolor="white [3201]" strokecolor="white [3212]" strokeweight=".5pt">
                <v:textbox>
                  <w:txbxContent>
                    <w:p w14:paraId="598C7512" w14:textId="77777777" w:rsidR="00D67B2A" w:rsidRDefault="00D67B2A" w:rsidP="00D67B2A">
                      <w:r>
                        <w:t>Classe II</w:t>
                      </w:r>
                    </w:p>
                  </w:txbxContent>
                </v:textbox>
              </v:shape>
            </w:pict>
          </mc:Fallback>
        </mc:AlternateContent>
      </w:r>
    </w:p>
    <w:p w14:paraId="2795FF31" w14:textId="77777777" w:rsidR="00D56D86" w:rsidRPr="006D1BCD" w:rsidRDefault="0001645E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cstheme="minorHAnsi"/>
          <w:noProof/>
          <w:sz w:val="24"/>
          <w:lang w:eastAsia="pt-BR"/>
        </w:rPr>
        <w:drawing>
          <wp:inline distT="0" distB="0" distL="0" distR="0" wp14:anchorId="1571F23F" wp14:editId="4F6709DE">
            <wp:extent cx="5291849" cy="1238250"/>
            <wp:effectExtent l="0" t="0" r="4445" b="0"/>
            <wp:docPr id="8" name="Imagem 8" descr="Image result for classificacao de mallamp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assificacao de mallampati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" t="2720" r="671" b="38335"/>
                    <a:stretch/>
                  </pic:blipFill>
                  <pic:spPr bwMode="auto">
                    <a:xfrm>
                      <a:off x="0" y="0"/>
                      <a:ext cx="5297122" cy="123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41ED9" w14:textId="77777777" w:rsidR="00FC44C2" w:rsidRPr="006D1BCD" w:rsidRDefault="00FC44C2" w:rsidP="00CF24D6">
      <w:pPr>
        <w:spacing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Figura 2: Classificação modificada de Mallampati (ou posição palatal de Friedman)</w:t>
      </w:r>
    </w:p>
    <w:p w14:paraId="0F2CBB08" w14:textId="77777777" w:rsidR="00FC44C2" w:rsidRPr="006D1BCD" w:rsidRDefault="00FC44C2" w:rsidP="00CF24D6">
      <w:pPr>
        <w:spacing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</w:p>
    <w:p w14:paraId="406BBFCF" w14:textId="25A03C0E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Classe I: visualização total da orofaringe;</w:t>
      </w:r>
    </w:p>
    <w:p w14:paraId="00AA4D35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Classe II: visualização parcial da orofaringe;</w:t>
      </w:r>
    </w:p>
    <w:p w14:paraId="2060980A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Classe III: não visualização da orofaringe, mas visualização de palato mole e palato duro; </w:t>
      </w:r>
    </w:p>
    <w:p w14:paraId="34B56A70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Classe IV: visualização apenas do palato </w:t>
      </w:r>
    </w:p>
    <w:p w14:paraId="2EC10F83" w14:textId="77777777" w:rsidR="00242926" w:rsidRPr="006D1BCD" w:rsidRDefault="00242926" w:rsidP="00242926">
      <w:pPr>
        <w:pStyle w:val="PargrafodaLista"/>
        <w:numPr>
          <w:ilvl w:val="0"/>
          <w:numId w:val="17"/>
        </w:num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Vídeo: Aula de Semiologia Especializada Otorrinolaringologia (Oroscopia II)</w:t>
      </w:r>
    </w:p>
    <w:p w14:paraId="3F7CD4FE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13A9B1F4" w14:textId="77777777" w:rsidR="006D1BCD" w:rsidRDefault="006D1BCD">
      <w:pPr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</w:pPr>
      <w:r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  <w:br w:type="page"/>
      </w:r>
    </w:p>
    <w:p w14:paraId="3303DF8A" w14:textId="032092BB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32"/>
          <w:szCs w:val="28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  <w:lastRenderedPageBreak/>
        <w:t>Hipofaringe e Laringe (será contemplado pela CCP)</w:t>
      </w:r>
    </w:p>
    <w:p w14:paraId="36A38966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ab/>
      </w: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ab/>
      </w: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ab/>
      </w: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ab/>
      </w:r>
    </w:p>
    <w:p w14:paraId="3ADAE6D8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-Laringoscopia indireta: Laringoscopia com espelho (paciente sentado com o tronco levemente inclinado para frente e o pescoço ereto; aquecer o espelho em chama para que ele não embace; pedir para o paciente estender a língua para fora e pinça-la com os dedos polegar e indicador envoltos em gaze; posicionar o espelho na orofaringe, empurrando o palato mole, sem tocar a base da língua e na parede posterior da orofaringe. Iluminar a cavidade oral e orofaríngea com uma fonte de luz e visualizar a hipofaringe e a laringe, seguindo a sequência de exame descrita abaixo. Se necessário, usar anestésico tópico para a realização do exame.) ou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laringofibroscopia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(fibroscópio rígido – introduzido pela boca, ou flexível- introduzido pela narina), em que as imagens são vistas em um monitor e podem ser gravadas para reavaliações ou comparações posteriores.</w:t>
      </w:r>
    </w:p>
    <w:p w14:paraId="7AD6CFAC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1DE9E635" w14:textId="77777777" w:rsidR="00E46A91" w:rsidRPr="006D1BCD" w:rsidRDefault="00E46A91" w:rsidP="00E46A91">
      <w:pPr>
        <w:widowControl w:val="0"/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8"/>
          <w:szCs w:val="24"/>
        </w:rPr>
      </w:pPr>
      <w:r w:rsidRPr="006D1BCD">
        <w:rPr>
          <w:rFonts w:ascii="Times" w:hAnsi="Times" w:cs="Times"/>
          <w:noProof/>
          <w:color w:val="000000"/>
          <w:sz w:val="28"/>
          <w:szCs w:val="24"/>
          <w:lang w:eastAsia="pt-BR"/>
        </w:rPr>
        <w:drawing>
          <wp:inline distT="0" distB="0" distL="0" distR="0" wp14:anchorId="3EF25F38" wp14:editId="733BAB73">
            <wp:extent cx="2418080" cy="297751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BCD">
        <w:rPr>
          <w:rFonts w:ascii="Times" w:hAnsi="Times" w:cs="Times"/>
          <w:color w:val="000000"/>
          <w:sz w:val="28"/>
          <w:szCs w:val="24"/>
        </w:rPr>
        <w:t xml:space="preserve"> </w:t>
      </w:r>
    </w:p>
    <w:p w14:paraId="3131484F" w14:textId="77777777" w:rsidR="00531858" w:rsidRPr="006D1BCD" w:rsidRDefault="00531858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AAFDC5C" w14:textId="39C967F5" w:rsidR="00531858" w:rsidRPr="006D1BCD" w:rsidRDefault="00531858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Figura </w:t>
      </w:r>
      <w:r w:rsidR="00FC44C2" w:rsidRPr="006D1BCD">
        <w:rPr>
          <w:rFonts w:eastAsia="Times New Roman" w:cstheme="minorHAnsi"/>
          <w:sz w:val="24"/>
          <w:lang w:eastAsia="pt-BR"/>
        </w:rPr>
        <w:t>3</w:t>
      </w:r>
      <w:r w:rsidRPr="006D1BCD">
        <w:rPr>
          <w:rFonts w:eastAsia="Times New Roman" w:cstheme="minorHAnsi"/>
          <w:sz w:val="24"/>
          <w:lang w:eastAsia="pt-BR"/>
        </w:rPr>
        <w:t>: Laringoscopia Indireta.</w:t>
      </w:r>
    </w:p>
    <w:p w14:paraId="57A59135" w14:textId="77777777" w:rsidR="00E46A91" w:rsidRPr="006D1BCD" w:rsidRDefault="00E46A91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05C08BA7" w14:textId="77777777" w:rsidR="00D56D86" w:rsidRPr="006D1BCD" w:rsidRDefault="004C2858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1º passo</w:t>
      </w:r>
      <w:r w:rsidR="00D56D86" w:rsidRPr="006D1BCD">
        <w:rPr>
          <w:rFonts w:eastAsia="Times New Roman" w:cstheme="minorHAnsi"/>
          <w:color w:val="000000"/>
          <w:sz w:val="24"/>
          <w:lang w:eastAsia="pt-BR"/>
        </w:rPr>
        <w:t xml:space="preserve">: base da língua e </w:t>
      </w:r>
      <w:proofErr w:type="spellStart"/>
      <w:r w:rsidR="00D56D86" w:rsidRPr="006D1BCD">
        <w:rPr>
          <w:rFonts w:eastAsia="Times New Roman" w:cstheme="minorHAnsi"/>
          <w:color w:val="000000"/>
          <w:sz w:val="24"/>
          <w:lang w:eastAsia="pt-BR"/>
        </w:rPr>
        <w:t>valéculas</w:t>
      </w:r>
      <w:proofErr w:type="spellEnd"/>
      <w:r w:rsidR="00D56D86" w:rsidRPr="006D1BCD">
        <w:rPr>
          <w:rFonts w:eastAsia="Times New Roman" w:cstheme="minorHAnsi"/>
          <w:color w:val="000000"/>
          <w:sz w:val="24"/>
          <w:lang w:eastAsia="pt-BR"/>
        </w:rPr>
        <w:t xml:space="preserve">, ligamentos </w:t>
      </w:r>
      <w:proofErr w:type="spellStart"/>
      <w:r w:rsidR="00D56D86" w:rsidRPr="006D1BCD">
        <w:rPr>
          <w:rFonts w:eastAsia="Times New Roman" w:cstheme="minorHAnsi"/>
          <w:color w:val="000000"/>
          <w:sz w:val="24"/>
          <w:lang w:eastAsia="pt-BR"/>
        </w:rPr>
        <w:t>glossoepiglóticos</w:t>
      </w:r>
      <w:proofErr w:type="spellEnd"/>
      <w:r w:rsidR="00D56D86" w:rsidRPr="006D1BCD">
        <w:rPr>
          <w:rFonts w:eastAsia="Times New Roman" w:cstheme="minorHAnsi"/>
          <w:color w:val="000000"/>
          <w:sz w:val="24"/>
          <w:lang w:eastAsia="pt-BR"/>
        </w:rPr>
        <w:t xml:space="preserve"> e </w:t>
      </w:r>
      <w:proofErr w:type="spellStart"/>
      <w:r w:rsidR="00D56D86" w:rsidRPr="006D1BCD">
        <w:rPr>
          <w:rFonts w:eastAsia="Times New Roman" w:cstheme="minorHAnsi"/>
          <w:color w:val="000000"/>
          <w:sz w:val="24"/>
          <w:lang w:eastAsia="pt-BR"/>
        </w:rPr>
        <w:t>faringoepiglóticos</w:t>
      </w:r>
      <w:proofErr w:type="spellEnd"/>
      <w:r w:rsidR="00D56D86" w:rsidRPr="006D1BCD">
        <w:rPr>
          <w:rFonts w:eastAsia="Times New Roman" w:cstheme="minorHAnsi"/>
          <w:color w:val="000000"/>
          <w:sz w:val="24"/>
          <w:lang w:eastAsia="pt-BR"/>
        </w:rPr>
        <w:t>, parede lateral da orofaringe.</w:t>
      </w:r>
    </w:p>
    <w:p w14:paraId="46BA40A3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→ lesões ulceradas, vegetantes, abaulamentos ou infiltrações no local</w:t>
      </w:r>
    </w:p>
    <w:p w14:paraId="724E852E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95818FE" w14:textId="77777777" w:rsidR="00D56D86" w:rsidRPr="006D1BCD" w:rsidRDefault="004C2858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2º passo</w:t>
      </w:r>
      <w:r w:rsidR="00D56D86" w:rsidRPr="006D1BCD">
        <w:rPr>
          <w:rFonts w:eastAsia="Times New Roman" w:cstheme="minorHAnsi"/>
          <w:color w:val="000000"/>
          <w:sz w:val="24"/>
          <w:lang w:eastAsia="pt-BR"/>
        </w:rPr>
        <w:t>: parede dos seios piriformes e parede posterior da faringe</w:t>
      </w:r>
    </w:p>
    <w:p w14:paraId="53C395AC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→ sinais de lesões e abaulamentos locais</w:t>
      </w:r>
    </w:p>
    <w:p w14:paraId="1151D9AE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0C1894CC" w14:textId="77777777" w:rsidR="00D56D86" w:rsidRPr="006D1BCD" w:rsidRDefault="004C2858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3º passo</w:t>
      </w:r>
      <w:r w:rsidR="00D56D86" w:rsidRPr="006D1BCD">
        <w:rPr>
          <w:rFonts w:eastAsia="Times New Roman" w:cstheme="minorHAnsi"/>
          <w:color w:val="000000"/>
          <w:sz w:val="24"/>
          <w:lang w:eastAsia="pt-BR"/>
        </w:rPr>
        <w:t xml:space="preserve">: laringe, epiglote, pregas </w:t>
      </w:r>
      <w:proofErr w:type="spellStart"/>
      <w:r w:rsidR="00D56D86" w:rsidRPr="006D1BCD">
        <w:rPr>
          <w:rFonts w:eastAsia="Times New Roman" w:cstheme="minorHAnsi"/>
          <w:color w:val="000000"/>
          <w:sz w:val="24"/>
          <w:lang w:eastAsia="pt-BR"/>
        </w:rPr>
        <w:t>ariepiglóticas</w:t>
      </w:r>
      <w:proofErr w:type="spellEnd"/>
      <w:r w:rsidR="00D56D86" w:rsidRPr="006D1BCD">
        <w:rPr>
          <w:rFonts w:eastAsia="Times New Roman" w:cstheme="minorHAnsi"/>
          <w:color w:val="000000"/>
          <w:sz w:val="24"/>
          <w:lang w:eastAsia="pt-BR"/>
        </w:rPr>
        <w:t xml:space="preserve">, pregas vestibulares, pregas vocais, comissura anterior, comissura posterior e </w:t>
      </w:r>
      <w:proofErr w:type="spellStart"/>
      <w:r w:rsidR="00D56D86" w:rsidRPr="006D1BCD">
        <w:rPr>
          <w:rFonts w:eastAsia="Times New Roman" w:cstheme="minorHAnsi"/>
          <w:color w:val="000000"/>
          <w:sz w:val="24"/>
          <w:lang w:eastAsia="pt-BR"/>
        </w:rPr>
        <w:t>aritenoides</w:t>
      </w:r>
      <w:proofErr w:type="spellEnd"/>
    </w:p>
    <w:p w14:paraId="26110C82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7719AC1E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→ movimentação das pregas vocais e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supraglote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>, aspecto da mucosa, coloração e irregularidades, úlceras, vegetações, abaulamentos, sensibilidade, penetração laríngea de secreção, aspiração</w:t>
      </w:r>
    </w:p>
    <w:p w14:paraId="2EECF362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lastRenderedPageBreak/>
        <w:t>→ movimentação das pregas vocais (pedir para o paciente que emita a fonação da vogal “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iii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>...” e da vogal “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eee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...”, fonação inspiratória para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eversão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das pregas vocais); cistos de prega vocal e edema de Reinke; alteração da motricidade da musculatura e de sua tonicidade; irregularidade do movimento ondulatório das pregas vocais (fechamento glótico incompleto na vocalização, tensão e hipertonicidade muscular, aumento do volume das pregas vocais por lesões de massa, rigidez mucosa, alterações estruturais das camadas histológicas).</w:t>
      </w:r>
    </w:p>
    <w:p w14:paraId="5341D370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1F594B8D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Outras provas funcionais: </w:t>
      </w:r>
    </w:p>
    <w:p w14:paraId="3FB42E39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Inspiração profunda: avaliar função respiratória (abdução de pregas vocais)</w:t>
      </w:r>
    </w:p>
    <w:p w14:paraId="7E5E1DEA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Alternar Inspiração (fungar) e fonação do “i”: mobilidade (adução e abdução das pregas vocais)</w:t>
      </w:r>
    </w:p>
    <w:p w14:paraId="7BAE98B5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Fala contínua, canto: apenas para naso</w:t>
      </w:r>
      <w:r w:rsidR="004C2858" w:rsidRPr="006D1BCD">
        <w:rPr>
          <w:rFonts w:eastAsia="Times New Roman" w:cstheme="minorHAnsi"/>
          <w:color w:val="000000"/>
          <w:sz w:val="24"/>
          <w:lang w:eastAsia="pt-BR"/>
        </w:rPr>
        <w:t>fibro</w:t>
      </w:r>
      <w:r w:rsidRPr="006D1BCD">
        <w:rPr>
          <w:rFonts w:eastAsia="Times New Roman" w:cstheme="minorHAnsi"/>
          <w:color w:val="000000"/>
          <w:sz w:val="24"/>
          <w:lang w:eastAsia="pt-BR"/>
        </w:rPr>
        <w:t>laringoscopia flexível</w:t>
      </w:r>
    </w:p>
    <w:p w14:paraId="74255DF3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 Deglutição: </w:t>
      </w:r>
      <w:r w:rsidR="004C2858" w:rsidRPr="006D1BCD">
        <w:rPr>
          <w:rFonts w:eastAsia="Times New Roman" w:cstheme="minorHAnsi"/>
          <w:color w:val="000000"/>
          <w:sz w:val="24"/>
          <w:lang w:eastAsia="pt-BR"/>
        </w:rPr>
        <w:t>vídeo-</w:t>
      </w:r>
      <w:r w:rsidRPr="006D1BCD">
        <w:rPr>
          <w:rFonts w:eastAsia="Times New Roman" w:cstheme="minorHAnsi"/>
          <w:color w:val="000000"/>
          <w:sz w:val="24"/>
          <w:lang w:eastAsia="pt-BR"/>
        </w:rPr>
        <w:t>endoscopia da deglutição</w:t>
      </w:r>
    </w:p>
    <w:p w14:paraId="58921967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77E5746F" w14:textId="77777777" w:rsidR="00D56D86" w:rsidRPr="006D1BCD" w:rsidRDefault="004C2858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4º passo</w:t>
      </w:r>
      <w:r w:rsidR="00D56D86" w:rsidRPr="006D1BCD">
        <w:rPr>
          <w:rFonts w:eastAsia="Times New Roman" w:cstheme="minorHAnsi"/>
          <w:color w:val="000000"/>
          <w:sz w:val="24"/>
          <w:lang w:eastAsia="pt-BR"/>
        </w:rPr>
        <w:t xml:space="preserve">: </w:t>
      </w:r>
      <w:proofErr w:type="spellStart"/>
      <w:r w:rsidR="00D56D86" w:rsidRPr="006D1BCD">
        <w:rPr>
          <w:rFonts w:eastAsia="Times New Roman" w:cstheme="minorHAnsi"/>
          <w:color w:val="000000"/>
          <w:sz w:val="24"/>
          <w:lang w:eastAsia="pt-BR"/>
        </w:rPr>
        <w:t>subglote</w:t>
      </w:r>
      <w:proofErr w:type="spellEnd"/>
    </w:p>
    <w:p w14:paraId="38B0B55E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→ Estenose, secreção, massas,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etc</w:t>
      </w:r>
      <w:proofErr w:type="spellEnd"/>
    </w:p>
    <w:p w14:paraId="6E2AB87A" w14:textId="77777777" w:rsidR="00192903" w:rsidRPr="006D1BCD" w:rsidRDefault="00192903" w:rsidP="00192903">
      <w:pPr>
        <w:pStyle w:val="PargrafodaLista"/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Vídeo: CCP – Semiologia da Laringe</w:t>
      </w:r>
    </w:p>
    <w:p w14:paraId="77F41EA5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2703B33E" w14:textId="77777777" w:rsidR="006D1BCD" w:rsidRDefault="006D1BCD" w:rsidP="00CF24D6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</w:pPr>
    </w:p>
    <w:p w14:paraId="6B48A9BB" w14:textId="396D091F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color w:val="000000"/>
          <w:sz w:val="32"/>
          <w:szCs w:val="28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  <w:t>Fossas Nasais e Seios Paranasais</w:t>
      </w:r>
      <w:r w:rsidRPr="006D1BCD">
        <w:rPr>
          <w:rFonts w:eastAsia="Times New Roman" w:cstheme="minorHAnsi"/>
          <w:color w:val="000000"/>
          <w:sz w:val="32"/>
          <w:szCs w:val="28"/>
          <w:lang w:eastAsia="pt-BR"/>
        </w:rPr>
        <w:t xml:space="preserve"> </w:t>
      </w:r>
    </w:p>
    <w:p w14:paraId="5DA46CA2" w14:textId="77777777" w:rsidR="004C2858" w:rsidRPr="006D1BCD" w:rsidRDefault="004C2858" w:rsidP="00CF24D6">
      <w:pPr>
        <w:spacing w:after="0" w:line="240" w:lineRule="auto"/>
        <w:jc w:val="both"/>
        <w:rPr>
          <w:rFonts w:eastAsia="Times New Roman" w:cstheme="minorHAnsi"/>
          <w:sz w:val="32"/>
          <w:szCs w:val="28"/>
          <w:lang w:eastAsia="pt-BR"/>
        </w:rPr>
      </w:pPr>
    </w:p>
    <w:p w14:paraId="07E86CE1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O paciente deve estar sentado em uma cadeira; o médico, em pé à sua frente, com o fotóforo na cabeça.</w:t>
      </w:r>
    </w:p>
    <w:p w14:paraId="7AA5A809" w14:textId="31D68015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Materiais necessários: luvas, espelho frontal ou fotóforo, espéculos nasais, espelho de Garcia pequeno, estiletes, pinça jacaré, pinça baioneta, 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>s</w:t>
      </w:r>
      <w:r w:rsidR="0008157D" w:rsidRPr="006D1BCD">
        <w:rPr>
          <w:rFonts w:eastAsia="Times New Roman" w:cstheme="minorHAnsi"/>
          <w:color w:val="000000"/>
          <w:sz w:val="24"/>
          <w:lang w:eastAsia="pt-BR"/>
        </w:rPr>
        <w:t>olução de oximetazolina 0,5% (vasoconstrictor tópico nasal)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>, solução anestésica com lidocaína.</w:t>
      </w:r>
    </w:p>
    <w:p w14:paraId="402C593B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0067FEEF" w14:textId="0CFC8671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Ectoscopia: pirâmide nasal, narinas e vestíbulos</w:t>
      </w:r>
      <w:r w:rsidR="00F969A9" w:rsidRPr="006D1BCD">
        <w:rPr>
          <w:rFonts w:eastAsia="Times New Roman" w:cstheme="minorHAnsi"/>
          <w:color w:val="000000"/>
          <w:sz w:val="24"/>
          <w:lang w:eastAsia="pt-BR"/>
        </w:rPr>
        <w:t xml:space="preserve"> </w:t>
      </w:r>
    </w:p>
    <w:p w14:paraId="30ABC9C7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→ desvios da linha média (laterorrinia), sinais inflamatórios externos, luxações e deformidades do septo nasal, </w:t>
      </w:r>
      <w:r w:rsidR="004C2858" w:rsidRPr="006D1BCD">
        <w:rPr>
          <w:rFonts w:eastAsia="Times New Roman" w:cstheme="minorHAnsi"/>
          <w:color w:val="000000"/>
          <w:sz w:val="24"/>
          <w:lang w:eastAsia="pt-BR"/>
        </w:rPr>
        <w:t xml:space="preserve">linha horizontal sobre dorso nasal (“saudação do alérgico”), </w:t>
      </w:r>
      <w:r w:rsidRPr="006D1BCD">
        <w:rPr>
          <w:rFonts w:eastAsia="Times New Roman" w:cstheme="minorHAnsi"/>
          <w:color w:val="000000"/>
          <w:sz w:val="24"/>
          <w:lang w:eastAsia="pt-BR"/>
        </w:rPr>
        <w:t>linhas de Dennie-Morgan, batimento das asas do nariz</w:t>
      </w:r>
      <w:r w:rsidR="00D67B2A" w:rsidRPr="006D1BCD">
        <w:rPr>
          <w:rFonts w:eastAsia="Times New Roman" w:cstheme="minorHAnsi"/>
          <w:color w:val="000000"/>
          <w:sz w:val="24"/>
          <w:lang w:eastAsia="pt-BR"/>
        </w:rPr>
        <w:t>, retração da válvula nasal à inspiração</w:t>
      </w:r>
      <w:r w:rsidRPr="006D1BCD">
        <w:rPr>
          <w:rFonts w:eastAsia="Times New Roman" w:cstheme="minorHAnsi"/>
          <w:color w:val="000000"/>
          <w:sz w:val="24"/>
          <w:lang w:eastAsia="pt-BR"/>
        </w:rPr>
        <w:t>.</w:t>
      </w:r>
    </w:p>
    <w:p w14:paraId="49689E8D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D97657B" w14:textId="3D529BCD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 Rinoscopia anterior (com espéculo nasal): 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>as</w:t>
      </w:r>
      <w:r w:rsidRPr="006D1BCD">
        <w:rPr>
          <w:rFonts w:eastAsia="Times New Roman" w:cstheme="minorHAnsi"/>
          <w:color w:val="000000"/>
          <w:sz w:val="24"/>
          <w:lang w:eastAsia="pt-BR"/>
        </w:rPr>
        <w:t>soalho</w:t>
      </w:r>
      <w:r w:rsidR="008D7A91" w:rsidRPr="006D1BCD">
        <w:rPr>
          <w:rFonts w:eastAsia="Times New Roman" w:cstheme="minorHAnsi"/>
          <w:color w:val="000000"/>
          <w:sz w:val="24"/>
          <w:lang w:eastAsia="pt-BR"/>
        </w:rPr>
        <w:t xml:space="preserve"> </w:t>
      </w:r>
      <w:r w:rsidRPr="006D1BCD">
        <w:rPr>
          <w:rFonts w:eastAsia="Times New Roman" w:cstheme="minorHAnsi"/>
          <w:color w:val="000000"/>
          <w:sz w:val="24"/>
          <w:lang w:eastAsia="pt-BR"/>
        </w:rPr>
        <w:t>da fossa nasal, septo nasal, concha nasal inferior, concha nasal média, meato nasal inferior, meato nasal médio</w:t>
      </w:r>
    </w:p>
    <w:p w14:paraId="441D0CDB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→ sinais de congestão, hipertrofia, degenerações polipoides na concha nasal inferior, deformidades no septo nasal, coloração da mucosa, exsudatos e corpos estranhos, secreções purulentas ou pólipos no meato médio.</w:t>
      </w:r>
    </w:p>
    <w:p w14:paraId="3FA4B86E" w14:textId="77777777" w:rsidR="00190ADD" w:rsidRDefault="00190ADD" w:rsidP="00CF24D6">
      <w:pPr>
        <w:spacing w:after="0" w:line="240" w:lineRule="auto"/>
        <w:jc w:val="both"/>
        <w:rPr>
          <w:rFonts w:eastAsia="Times New Roman" w:cstheme="minorHAnsi"/>
          <w:sz w:val="24"/>
          <w:highlight w:val="yellow"/>
          <w:lang w:eastAsia="pt-BR"/>
        </w:rPr>
      </w:pPr>
    </w:p>
    <w:p w14:paraId="2982F9FD" w14:textId="583E394F" w:rsidR="00D56D86" w:rsidRPr="00190ADD" w:rsidRDefault="00A95CA7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190ADD">
        <w:rPr>
          <w:rFonts w:eastAsia="Times New Roman" w:cstheme="minorHAnsi"/>
          <w:sz w:val="24"/>
          <w:lang w:eastAsia="pt-BR"/>
        </w:rPr>
        <w:t xml:space="preserve">- </w:t>
      </w:r>
      <w:r w:rsidR="00190ADD" w:rsidRPr="00190ADD">
        <w:rPr>
          <w:rFonts w:eastAsia="Times New Roman" w:cstheme="minorHAnsi"/>
          <w:sz w:val="24"/>
          <w:lang w:eastAsia="pt-BR"/>
        </w:rPr>
        <w:t>A</w:t>
      </w:r>
      <w:r w:rsidRPr="00190ADD">
        <w:rPr>
          <w:rFonts w:eastAsia="Times New Roman" w:cstheme="minorHAnsi"/>
          <w:sz w:val="24"/>
          <w:lang w:eastAsia="pt-BR"/>
        </w:rPr>
        <w:t>valiação</w:t>
      </w:r>
      <w:r w:rsidR="00190ADD" w:rsidRPr="00190ADD">
        <w:rPr>
          <w:rFonts w:eastAsia="Times New Roman" w:cstheme="minorHAnsi"/>
          <w:sz w:val="24"/>
          <w:lang w:eastAsia="pt-BR"/>
        </w:rPr>
        <w:t xml:space="preserve"> de</w:t>
      </w:r>
      <w:r w:rsidRPr="00190ADD">
        <w:rPr>
          <w:rFonts w:eastAsia="Times New Roman" w:cstheme="minorHAnsi"/>
          <w:sz w:val="24"/>
          <w:lang w:eastAsia="pt-BR"/>
        </w:rPr>
        <w:t xml:space="preserve"> fluxo nasal</w:t>
      </w:r>
      <w:r w:rsidR="00190ADD" w:rsidRPr="00190ADD">
        <w:rPr>
          <w:rFonts w:eastAsia="Times New Roman" w:cstheme="minorHAnsi"/>
          <w:sz w:val="24"/>
          <w:lang w:eastAsia="pt-BR"/>
        </w:rPr>
        <w:t xml:space="preserve">: </w:t>
      </w:r>
      <w:r w:rsidRPr="00190ADD">
        <w:rPr>
          <w:rFonts w:eastAsia="Times New Roman" w:cstheme="minorHAnsi"/>
          <w:sz w:val="24"/>
          <w:lang w:eastAsia="pt-BR"/>
        </w:rPr>
        <w:t xml:space="preserve"> </w:t>
      </w:r>
      <w:r w:rsidR="00190ADD" w:rsidRPr="00190ADD">
        <w:rPr>
          <w:rFonts w:eastAsia="Times New Roman" w:cstheme="minorHAnsi"/>
          <w:sz w:val="24"/>
          <w:lang w:eastAsia="pt-BR"/>
        </w:rPr>
        <w:t xml:space="preserve">a permeabilidade nasal pode ser avaliada qualitativamente com duas manobras simples: 1) Colocando um espelho abaixo das narinas e pedir para o paciente respirar normalmente. Se a fossa nasal for patente, haverá condensação de água no espelho (teste do espelho de </w:t>
      </w:r>
      <w:proofErr w:type="spellStart"/>
      <w:r w:rsidR="00190ADD" w:rsidRPr="00190ADD">
        <w:rPr>
          <w:rFonts w:eastAsia="Times New Roman" w:cstheme="minorHAnsi"/>
          <w:sz w:val="24"/>
          <w:lang w:eastAsia="pt-BR"/>
        </w:rPr>
        <w:t>Glatzel</w:t>
      </w:r>
      <w:proofErr w:type="spellEnd"/>
      <w:r w:rsidR="00190ADD" w:rsidRPr="00190ADD">
        <w:rPr>
          <w:rFonts w:eastAsia="Times New Roman" w:cstheme="minorHAnsi"/>
          <w:sz w:val="24"/>
          <w:lang w:eastAsia="pt-BR"/>
        </w:rPr>
        <w:t>); 2) posicione um pequeno fragmento de algodão na frente da fossa nasal do paciente e peça para inspirar e expirar normalmente. Se houve fluxo de ar, o algodão irá se movimentar na mesma direção do fluxo de ar</w:t>
      </w:r>
    </w:p>
    <w:p w14:paraId="20BD1CE1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lastRenderedPageBreak/>
        <w:t xml:space="preserve">Outros exames mais especializados: endoscopia nasal, testes olfatórios, rinomanometria, rinometria acústica e </w:t>
      </w:r>
      <w:proofErr w:type="spellStart"/>
      <w:r w:rsidRPr="006D1BCD">
        <w:rPr>
          <w:rFonts w:eastAsia="Times New Roman" w:cstheme="minorHAnsi"/>
          <w:i/>
          <w:color w:val="000000"/>
          <w:sz w:val="24"/>
          <w:lang w:eastAsia="pt-BR"/>
        </w:rPr>
        <w:t>peak</w:t>
      </w:r>
      <w:proofErr w:type="spellEnd"/>
      <w:r w:rsidRPr="006D1BCD">
        <w:rPr>
          <w:rFonts w:eastAsia="Times New Roman" w:cstheme="minorHAnsi"/>
          <w:i/>
          <w:color w:val="000000"/>
          <w:sz w:val="24"/>
          <w:lang w:eastAsia="pt-BR"/>
        </w:rPr>
        <w:t xml:space="preserve"> </w:t>
      </w:r>
      <w:proofErr w:type="spellStart"/>
      <w:r w:rsidRPr="006D1BCD">
        <w:rPr>
          <w:rFonts w:eastAsia="Times New Roman" w:cstheme="minorHAnsi"/>
          <w:i/>
          <w:color w:val="000000"/>
          <w:sz w:val="24"/>
          <w:lang w:eastAsia="pt-BR"/>
        </w:rPr>
        <w:t>flow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nasal.</w:t>
      </w:r>
    </w:p>
    <w:p w14:paraId="12099F89" w14:textId="77777777" w:rsidR="00192903" w:rsidRPr="006D1BCD" w:rsidRDefault="00192903" w:rsidP="00192903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1639FC4D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990CBEC" w14:textId="5D1AD173" w:rsidR="00D56D86" w:rsidRPr="006D1BCD" w:rsidRDefault="00D56D86" w:rsidP="00190ADD">
      <w:pPr>
        <w:rPr>
          <w:rFonts w:eastAsia="Times New Roman" w:cstheme="minorHAnsi"/>
          <w:sz w:val="32"/>
          <w:szCs w:val="28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  <w:t>Orelha e vias auditivas</w:t>
      </w:r>
    </w:p>
    <w:p w14:paraId="52EBEE2E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01D458F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 Orelha Externa </w:t>
      </w:r>
    </w:p>
    <w:p w14:paraId="3E02598A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Inspeção: implantação, simetria, coloração e superfície cutânea</w:t>
      </w:r>
    </w:p>
    <w:p w14:paraId="7B31CDC2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→ deformidades do pavilhão auricular, tumorações locais ou na região mastoidea, rubor, edema, ulceração, tumores, malformações, fístulas ou cicatrizes retroauriculares, orelhas abducentes</w:t>
      </w:r>
      <w:r w:rsidR="008D7A91" w:rsidRPr="006D1BCD">
        <w:rPr>
          <w:rFonts w:eastAsia="Times New Roman" w:cstheme="minorHAnsi"/>
          <w:color w:val="000000"/>
          <w:sz w:val="24"/>
          <w:lang w:eastAsia="pt-BR"/>
        </w:rPr>
        <w:t>, tamanho e implantação.</w:t>
      </w:r>
    </w:p>
    <w:p w14:paraId="40AF8862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290FE9A6" w14:textId="39734545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Palpação: forma</w:t>
      </w:r>
      <w:r w:rsidR="00A859D8" w:rsidRPr="006D1BCD">
        <w:rPr>
          <w:rFonts w:eastAsia="Times New Roman" w:cstheme="minorHAnsi"/>
          <w:color w:val="000000"/>
          <w:sz w:val="24"/>
          <w:lang w:eastAsia="pt-BR"/>
        </w:rPr>
        <w:t>, consistência e dor provocada no nível de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lesões do pavilhão auricular, quando presentes; palpação do trago e avaliação da mobilidade do pavilhão auricular; palpação da região mastoidea; exame da </w:t>
      </w:r>
      <w:r w:rsidR="0073434E" w:rsidRPr="006D1BCD">
        <w:rPr>
          <w:rFonts w:eastAsia="Times New Roman" w:cstheme="minorHAnsi"/>
          <w:color w:val="000000"/>
          <w:sz w:val="24"/>
          <w:lang w:eastAsia="pt-BR"/>
        </w:rPr>
        <w:t>têmpora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e regiões parietal, occipital e cervical; avaliação dos linfonodos pré e pós-auriculares e da cadeia cervical superior profunda.</w:t>
      </w:r>
    </w:p>
    <w:p w14:paraId="62835B2C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644D86F7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Otoscopia</w:t>
      </w:r>
    </w:p>
    <w:p w14:paraId="0D3FA5B9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Técnica: o otoscópio deve ser segurado pela mão direita no caso de exame da orelha direita, e pela mão esquerda quando do exame da orelha esque</w:t>
      </w:r>
      <w:r w:rsidR="002E3D06" w:rsidRPr="006D1BCD">
        <w:rPr>
          <w:rFonts w:eastAsia="Times New Roman" w:cstheme="minorHAnsi"/>
          <w:color w:val="000000"/>
          <w:sz w:val="24"/>
          <w:lang w:eastAsia="pt-BR"/>
        </w:rPr>
        <w:t>rda; a mão contralateral segura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o pavilhão auricular, retificando-o (tracionar para cima e para trás). O otoscópio deve ser segurado </w:t>
      </w:r>
      <w:proofErr w:type="gramStart"/>
      <w:r w:rsidRPr="006D1BCD">
        <w:rPr>
          <w:rFonts w:eastAsia="Times New Roman" w:cstheme="minorHAnsi"/>
          <w:color w:val="000000"/>
          <w:sz w:val="24"/>
          <w:lang w:eastAsia="pt-BR"/>
        </w:rPr>
        <w:t>pelos terceiro</w:t>
      </w:r>
      <w:proofErr w:type="gramEnd"/>
      <w:r w:rsidRPr="006D1BCD">
        <w:rPr>
          <w:rFonts w:eastAsia="Times New Roman" w:cstheme="minorHAnsi"/>
          <w:color w:val="000000"/>
          <w:sz w:val="24"/>
          <w:lang w:eastAsia="pt-BR"/>
        </w:rPr>
        <w:t>, quarto e quinto dedos, enquanto o primeiro e o segundo são apoiados na região pré-auricular.</w:t>
      </w:r>
    </w:p>
    <w:p w14:paraId="5DC56493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Materiais: otoscópio com boa luminosidade</w:t>
      </w:r>
    </w:p>
    <w:p w14:paraId="78B04858" w14:textId="38CD36CF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Observar: orelha externa - porção cartilaginosa e óssea; membrana timpânica, porção flácida e porção tensa (avaliar na sua totalidade, divisão em 4 quadrantes: coloração, superfície, brilho e triângulo luminoso, mobilidade) e estruturas da orelha média (projeção do cabo do martelo, umbus, bigorna, estribo, ligamento timpanomaleolar posterior, ligamento timpanomaleolar anterior, janela redonda)</w:t>
      </w:r>
      <w:r w:rsidR="002E3D06" w:rsidRPr="006D1BCD">
        <w:rPr>
          <w:rFonts w:eastAsia="Times New Roman" w:cstheme="minorHAnsi"/>
          <w:color w:val="000000"/>
          <w:sz w:val="24"/>
          <w:lang w:eastAsia="pt-BR"/>
        </w:rPr>
        <w:t xml:space="preserve"> – F</w:t>
      </w:r>
      <w:r w:rsidR="00A26A8A">
        <w:rPr>
          <w:rFonts w:eastAsia="Times New Roman" w:cstheme="minorHAnsi"/>
          <w:color w:val="000000"/>
          <w:sz w:val="24"/>
          <w:lang w:eastAsia="pt-BR"/>
        </w:rPr>
        <w:t>igura 4:</w:t>
      </w:r>
    </w:p>
    <w:p w14:paraId="1DD45C38" w14:textId="77777777" w:rsidR="002E3D06" w:rsidRPr="006D1BCD" w:rsidRDefault="002E3D06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</w:p>
    <w:p w14:paraId="76E29ABF" w14:textId="77777777" w:rsidR="002E3D06" w:rsidRPr="006D1BCD" w:rsidRDefault="00545779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noProof/>
          <w:sz w:val="24"/>
          <w:lang w:eastAsia="pt-BR"/>
        </w:rPr>
        <w:lastRenderedPageBreak/>
        <w:drawing>
          <wp:inline distT="0" distB="0" distL="0" distR="0" wp14:anchorId="532D5F40" wp14:editId="3541DA5A">
            <wp:extent cx="4267200" cy="320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resentação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462" cy="32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7962" w14:textId="77777777" w:rsidR="00463F4C" w:rsidRPr="006D1BCD" w:rsidRDefault="00463F4C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2CD8A94D" w14:textId="7C7A65C9" w:rsidR="00463F4C" w:rsidRPr="006D1BCD" w:rsidRDefault="00FC44C2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Figura 4: </w:t>
      </w:r>
      <w:r w:rsidR="00545779" w:rsidRPr="006D1BCD">
        <w:rPr>
          <w:rFonts w:eastAsia="Times New Roman" w:cstheme="minorHAnsi"/>
          <w:sz w:val="24"/>
          <w:lang w:eastAsia="pt-BR"/>
        </w:rPr>
        <w:t xml:space="preserve"> Exame da Membrana Timpânica – Otoscopia.</w:t>
      </w:r>
    </w:p>
    <w:p w14:paraId="0EE3BCD4" w14:textId="77777777" w:rsidR="00545779" w:rsidRPr="006D1BCD" w:rsidRDefault="00545779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51CFB9ED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→ orelha externa: cerume, descamações epiteliais e secreções, cistos, exostoses, pólipos, neoplasias</w:t>
      </w:r>
    </w:p>
    <w:p w14:paraId="291C99AF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→ membrana timpânica: congestão dos vasos do cabo do martelo, anel timpânico ou pele do conduto ósseo; hemorragias e vesículas com sangue; hemotímpano; exsudato seroso; abaulamento timpânico; atrofia da membrana timpânica; retração timpânica; espessamentos; cicatrizes; perfurações; debris epiteliais (colesteatoma)</w:t>
      </w:r>
    </w:p>
    <w:p w14:paraId="49408738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B905578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 Avaliação auditiva </w:t>
      </w:r>
    </w:p>
    <w:p w14:paraId="7B2BCC89" w14:textId="77777777" w:rsidR="00545779" w:rsidRPr="006D1BCD" w:rsidRDefault="00545779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</w:p>
    <w:p w14:paraId="2BCBC2D9" w14:textId="4CB0F744" w:rsidR="00545779" w:rsidRPr="006D1BCD" w:rsidRDefault="00545779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M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>aterial</w:t>
      </w:r>
      <w:r w:rsidRPr="006D1BCD">
        <w:rPr>
          <w:rFonts w:eastAsia="Times New Roman" w:cstheme="minorHAnsi"/>
          <w:color w:val="000000"/>
          <w:sz w:val="24"/>
          <w:lang w:eastAsia="pt-BR"/>
        </w:rPr>
        <w:t>: Diapasões de 128 / 550 / 1000 / 2000 Hz</w:t>
      </w:r>
      <w:r w:rsidR="00FC44C2" w:rsidRPr="006D1BCD">
        <w:rPr>
          <w:rFonts w:eastAsia="Times New Roman" w:cstheme="minorHAnsi"/>
          <w:color w:val="000000"/>
          <w:sz w:val="24"/>
          <w:lang w:eastAsia="pt-BR"/>
        </w:rPr>
        <w:t xml:space="preserve"> (</w:t>
      </w:r>
      <w:r w:rsidRPr="006D1BCD">
        <w:rPr>
          <w:rFonts w:eastAsia="Times New Roman" w:cstheme="minorHAnsi"/>
          <w:color w:val="000000"/>
          <w:sz w:val="24"/>
          <w:lang w:eastAsia="pt-BR"/>
        </w:rPr>
        <w:t>Preferencial – 550 Hz)</w:t>
      </w:r>
    </w:p>
    <w:p w14:paraId="42FECF74" w14:textId="77777777" w:rsidR="00545779" w:rsidRPr="006D1BCD" w:rsidRDefault="00545779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4698010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Teste de Webe</w:t>
      </w:r>
      <w:r w:rsidR="00C52E65" w:rsidRPr="006D1BCD">
        <w:rPr>
          <w:rFonts w:eastAsia="Times New Roman" w:cstheme="minorHAnsi"/>
          <w:color w:val="000000"/>
          <w:sz w:val="24"/>
          <w:lang w:eastAsia="pt-BR"/>
        </w:rPr>
        <w:t>r (imagem)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: aplicar o diapasão vibrando à linha média do crânio e avaliar a percepção do paciente. </w:t>
      </w:r>
      <w:r w:rsidR="00545779" w:rsidRPr="006D1BCD">
        <w:rPr>
          <w:rFonts w:eastAsia="Times New Roman" w:cstheme="minorHAnsi"/>
          <w:color w:val="000000"/>
          <w:sz w:val="24"/>
          <w:lang w:eastAsia="pt-BR"/>
        </w:rPr>
        <w:t xml:space="preserve">O paciente percebe o som sendo conduzido por via óssea diretamente à orelha interna. 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O teste é considerado normal quando o paciente relata percepção da vibração igual para ambas as orelhas. </w:t>
      </w:r>
    </w:p>
    <w:p w14:paraId="1E62C75F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E874E05" w14:textId="77777777" w:rsidR="00D56D86" w:rsidRPr="006D1BCD" w:rsidRDefault="0001645E" w:rsidP="00CF24D6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-- </w:t>
      </w:r>
      <w:r w:rsidR="00D56D86" w:rsidRPr="006D1BCD">
        <w:rPr>
          <w:rFonts w:eastAsia="Times New Roman" w:cstheme="minorHAnsi"/>
          <w:color w:val="000000"/>
          <w:sz w:val="24"/>
          <w:lang w:eastAsia="pt-BR"/>
        </w:rPr>
        <w:t>Surdez unilateral de condução (via aérea comprometida): indivíduo percebe melhor a vibração na orelha com queixa de hipoacusia.</w:t>
      </w:r>
    </w:p>
    <w:p w14:paraId="37C8ECBC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322EB6BF" w14:textId="77777777" w:rsidR="00D56D86" w:rsidRPr="006D1BCD" w:rsidRDefault="0001645E" w:rsidP="00CF24D6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-- </w:t>
      </w:r>
      <w:r w:rsidR="00D56D86" w:rsidRPr="006D1BCD">
        <w:rPr>
          <w:rFonts w:eastAsia="Times New Roman" w:cstheme="minorHAnsi"/>
          <w:color w:val="000000"/>
          <w:sz w:val="24"/>
          <w:lang w:eastAsia="pt-BR"/>
        </w:rPr>
        <w:t>Surdez unilateral neurossensorial (orelha interna comprometida): indivíduo percebe melhor a vibração na orelha sem queixa de hipoacusia.</w:t>
      </w:r>
    </w:p>
    <w:p w14:paraId="45259E0B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F2CF1F9" w14:textId="3C0ACDEF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Teste de Rinne</w:t>
      </w:r>
      <w:r w:rsidR="00C52E65" w:rsidRPr="006D1BCD">
        <w:rPr>
          <w:rFonts w:eastAsia="Times New Roman" w:cstheme="minorHAnsi"/>
          <w:color w:val="000000"/>
          <w:sz w:val="24"/>
          <w:lang w:eastAsia="pt-BR"/>
        </w:rPr>
        <w:t xml:space="preserve"> (imagem)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: </w:t>
      </w:r>
      <w:r w:rsidR="00545779" w:rsidRPr="006D1BCD">
        <w:rPr>
          <w:rFonts w:eastAsia="Times New Roman" w:cstheme="minorHAnsi"/>
          <w:color w:val="000000"/>
          <w:sz w:val="24"/>
          <w:lang w:eastAsia="pt-BR"/>
        </w:rPr>
        <w:t>São comparadas as vias ósseas (orelha interna) e via aérea (orelhas externa/média). A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plicar a haste do diapasão vibrando sobre o osso mastoide (percepção óssea) e mantê-lo no local até que o paciente pare de perceber a vibração. Neste momento, deve-se posicionar o diapasão ao lado do pavilhão auricular, próximo ao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tragus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e perguntar se o paciente voltou a perceber a vibração (percepção aérea). O </w:t>
      </w:r>
      <w:r w:rsidRPr="006D1BCD">
        <w:rPr>
          <w:rFonts w:eastAsia="Times New Roman" w:cstheme="minorHAnsi"/>
          <w:color w:val="000000"/>
          <w:sz w:val="24"/>
          <w:lang w:eastAsia="pt-BR"/>
        </w:rPr>
        <w:lastRenderedPageBreak/>
        <w:t xml:space="preserve">teste compara a audição nas vias aérea e óssea. Em uma situação de audição normal, a percepção aérea é melhor que a percepção óssea (pois há amplificação da pressão sonora pelo sistema tímpano-ossicular) ou seja, quando a vibração não é mais percebida pela via óssea, ainda é possível notá-la pela via aérea, o que caracteriza um teste de </w:t>
      </w:r>
      <w:r w:rsidRPr="006D1BCD">
        <w:rPr>
          <w:rFonts w:eastAsia="Times New Roman" w:cstheme="minorHAnsi"/>
          <w:color w:val="000000"/>
          <w:sz w:val="24"/>
          <w:u w:val="single"/>
          <w:lang w:eastAsia="pt-BR"/>
        </w:rPr>
        <w:t>Rinne positivo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. No caso de um distúrbio de condução (especialmente os mais intensos), o indivíduo ouvirá melhor pela via óssea do que pela via aérea, caracterizando-se um teste de </w:t>
      </w:r>
      <w:r w:rsidRPr="006D1BCD">
        <w:rPr>
          <w:rFonts w:eastAsia="Times New Roman" w:cstheme="minorHAnsi"/>
          <w:color w:val="000000"/>
          <w:sz w:val="24"/>
          <w:u w:val="single"/>
          <w:lang w:eastAsia="pt-BR"/>
        </w:rPr>
        <w:t>Rinne negativo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. Se o indivíduo apresenta surdez neurossensorial (comprometimento da orelha interna), a relação via aérea e via óssea permanecerá normal, mas haverá encurtamento dos tempos de percepção sonora tanto para a via óssea como para a via aérea, o que caracteriza um </w:t>
      </w:r>
      <w:r w:rsidRPr="006D1BCD">
        <w:rPr>
          <w:rFonts w:eastAsia="Times New Roman" w:cstheme="minorHAnsi"/>
          <w:color w:val="000000"/>
          <w:sz w:val="24"/>
          <w:u w:val="single"/>
          <w:lang w:eastAsia="pt-BR"/>
        </w:rPr>
        <w:t>Rinne positivo patológico</w:t>
      </w:r>
      <w:r w:rsidRPr="006D1BCD">
        <w:rPr>
          <w:rFonts w:eastAsia="Times New Roman" w:cstheme="minorHAnsi"/>
          <w:color w:val="000000"/>
          <w:sz w:val="24"/>
          <w:lang w:eastAsia="pt-BR"/>
        </w:rPr>
        <w:t>.</w:t>
      </w:r>
    </w:p>
    <w:p w14:paraId="058B28B0" w14:textId="77777777" w:rsidR="00FC44C2" w:rsidRPr="006D1BCD" w:rsidRDefault="00FC44C2" w:rsidP="00CF24D6">
      <w:pPr>
        <w:spacing w:after="0"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</w:p>
    <w:p w14:paraId="0A4BBF78" w14:textId="77777777" w:rsidR="004C2858" w:rsidRPr="006D1BCD" w:rsidRDefault="004C2858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16FD0230" w14:textId="77777777" w:rsidR="00D56D86" w:rsidRPr="006D1BCD" w:rsidRDefault="0001645E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cstheme="minorHAnsi"/>
          <w:noProof/>
          <w:sz w:val="24"/>
          <w:lang w:eastAsia="pt-BR"/>
        </w:rPr>
        <w:drawing>
          <wp:inline distT="0" distB="0" distL="0" distR="0" wp14:anchorId="768EDEB6" wp14:editId="6202F60F">
            <wp:extent cx="3216814" cy="2105025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8" b="23917"/>
                    <a:stretch/>
                  </pic:blipFill>
                  <pic:spPr bwMode="auto">
                    <a:xfrm>
                      <a:off x="0" y="0"/>
                      <a:ext cx="3234270" cy="21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D86" w:rsidRPr="006D1BCD">
        <w:rPr>
          <w:rFonts w:eastAsia="Times New Roman" w:cstheme="minorHAnsi"/>
          <w:color w:val="000000"/>
          <w:sz w:val="24"/>
          <w:lang w:eastAsia="pt-BR"/>
        </w:rPr>
        <w:t xml:space="preserve"> </w:t>
      </w:r>
    </w:p>
    <w:p w14:paraId="0349A9A2" w14:textId="07AC541F" w:rsidR="00D56D86" w:rsidRPr="006D1BCD" w:rsidRDefault="00D56D86" w:rsidP="00CF24D6">
      <w:pPr>
        <w:spacing w:after="24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7923EE31" w14:textId="2E19C755" w:rsidR="00FC44C2" w:rsidRPr="006D1BCD" w:rsidRDefault="00FC44C2" w:rsidP="00CF24D6">
      <w:pPr>
        <w:spacing w:after="24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Figura 5: Teste de Weber e Rinne</w:t>
      </w:r>
    </w:p>
    <w:p w14:paraId="3BFD5630" w14:textId="77777777" w:rsidR="00192903" w:rsidRPr="006D1BCD" w:rsidRDefault="00192903" w:rsidP="00192903">
      <w:pPr>
        <w:pStyle w:val="PargrafodaLista"/>
        <w:numPr>
          <w:ilvl w:val="0"/>
          <w:numId w:val="17"/>
        </w:numPr>
        <w:spacing w:after="24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Vídeo: Aula de Semiologia Especializada Otorrinolaringologia (Otoscopia)</w:t>
      </w:r>
    </w:p>
    <w:p w14:paraId="00E03AF9" w14:textId="77777777" w:rsidR="00192903" w:rsidRPr="006D1BCD" w:rsidRDefault="00192903" w:rsidP="00192903">
      <w:pPr>
        <w:spacing w:line="240" w:lineRule="auto"/>
        <w:jc w:val="both"/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</w:pPr>
    </w:p>
    <w:p w14:paraId="35430A2C" w14:textId="77777777" w:rsidR="00D56D86" w:rsidRPr="006D1BCD" w:rsidRDefault="00D56D86" w:rsidP="00192903">
      <w:pPr>
        <w:spacing w:line="240" w:lineRule="auto"/>
        <w:jc w:val="both"/>
        <w:rPr>
          <w:rFonts w:eastAsia="Times New Roman" w:cstheme="minorHAnsi"/>
          <w:sz w:val="32"/>
          <w:szCs w:val="28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32"/>
          <w:szCs w:val="28"/>
          <w:lang w:eastAsia="pt-BR"/>
        </w:rPr>
        <w:t>Otoneurologia</w:t>
      </w:r>
    </w:p>
    <w:p w14:paraId="67E9F7CD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u w:val="single"/>
          <w:lang w:eastAsia="pt-BR"/>
        </w:rPr>
        <w:t>Avaliação do nistagmo</w:t>
      </w:r>
    </w:p>
    <w:p w14:paraId="15D45332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- </w:t>
      </w:r>
      <w:r w:rsidR="006D359A" w:rsidRPr="006D1BCD">
        <w:rPr>
          <w:rFonts w:eastAsia="Times New Roman" w:cstheme="minorHAnsi"/>
          <w:sz w:val="24"/>
          <w:lang w:eastAsia="pt-BR"/>
        </w:rPr>
        <w:t>E</w:t>
      </w:r>
      <w:r w:rsidRPr="006D1BCD">
        <w:rPr>
          <w:rFonts w:eastAsia="Times New Roman" w:cstheme="minorHAnsi"/>
          <w:sz w:val="24"/>
          <w:lang w:eastAsia="pt-BR"/>
        </w:rPr>
        <w:t>spontâneo: é o nistagmo gerado sem nenhum estímulo externo</w:t>
      </w:r>
      <w:r w:rsidR="00545779" w:rsidRPr="006D1BCD">
        <w:rPr>
          <w:rFonts w:eastAsia="Times New Roman" w:cstheme="minorHAnsi"/>
          <w:sz w:val="24"/>
          <w:lang w:eastAsia="pt-BR"/>
        </w:rPr>
        <w:t>.</w:t>
      </w:r>
    </w:p>
    <w:p w14:paraId="0D886D8C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Teste de nistagmo espontâneo: paciente olhando para frente, com o olho aberto</w:t>
      </w:r>
      <w:r w:rsidR="004C2858" w:rsidRPr="006D1BCD">
        <w:rPr>
          <w:rFonts w:eastAsia="Times New Roman" w:cstheme="minorHAnsi"/>
          <w:sz w:val="24"/>
          <w:lang w:eastAsia="pt-BR"/>
        </w:rPr>
        <w:t>, sem fixação visual</w:t>
      </w:r>
      <w:r w:rsidRPr="006D1BCD">
        <w:rPr>
          <w:rFonts w:eastAsia="Times New Roman" w:cstheme="minorHAnsi"/>
          <w:sz w:val="24"/>
          <w:lang w:eastAsia="pt-BR"/>
        </w:rPr>
        <w:t xml:space="preserve">. Depois, pedir para o paciente fechar o olho. </w:t>
      </w:r>
    </w:p>
    <w:p w14:paraId="45DF592B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- </w:t>
      </w:r>
      <w:r w:rsidR="006D359A" w:rsidRPr="006D1BCD">
        <w:rPr>
          <w:rFonts w:eastAsia="Times New Roman" w:cstheme="minorHAnsi"/>
          <w:sz w:val="24"/>
          <w:lang w:eastAsia="pt-BR"/>
        </w:rPr>
        <w:t>S</w:t>
      </w:r>
      <w:r w:rsidRPr="006D1BCD">
        <w:rPr>
          <w:rFonts w:eastAsia="Times New Roman" w:cstheme="minorHAnsi"/>
          <w:sz w:val="24"/>
          <w:lang w:eastAsia="pt-BR"/>
        </w:rPr>
        <w:t>emi-espontâneo</w:t>
      </w:r>
      <w:r w:rsidR="006D359A" w:rsidRPr="006D1BCD">
        <w:rPr>
          <w:rFonts w:eastAsia="Times New Roman" w:cstheme="minorHAnsi"/>
          <w:sz w:val="24"/>
          <w:lang w:eastAsia="pt-BR"/>
        </w:rPr>
        <w:t xml:space="preserve">: </w:t>
      </w:r>
      <w:r w:rsidRPr="006D1BCD">
        <w:rPr>
          <w:rFonts w:eastAsia="Times New Roman" w:cstheme="minorHAnsi"/>
          <w:sz w:val="24"/>
          <w:lang w:eastAsia="pt-BR"/>
        </w:rPr>
        <w:t>é aquele que está ausente na posição central, mas aparece nas posições cardinais do olhar</w:t>
      </w:r>
      <w:r w:rsidR="004C2858" w:rsidRPr="006D1BCD">
        <w:rPr>
          <w:rFonts w:eastAsia="Times New Roman" w:cstheme="minorHAnsi"/>
          <w:sz w:val="24"/>
          <w:lang w:eastAsia="pt-BR"/>
        </w:rPr>
        <w:t xml:space="preserve">. </w:t>
      </w:r>
    </w:p>
    <w:p w14:paraId="246CA123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Teste de nistagmo semi-espontâneo:  pedir para o paciente acompanhar deslocamento do dedo/objeto, deslocando este 20° para direita, para a esquerda, para cima e para baixo, sempre observando se o paciente apresentou nistagmo. Se o nistagmo sempre é para o mesmo lado</w:t>
      </w:r>
      <w:r w:rsidR="00BD4037" w:rsidRPr="006D1BCD">
        <w:rPr>
          <w:rFonts w:eastAsia="Times New Roman" w:cstheme="minorHAnsi"/>
          <w:sz w:val="24"/>
          <w:lang w:eastAsia="pt-BR"/>
        </w:rPr>
        <w:t xml:space="preserve"> e horizontal</w:t>
      </w:r>
      <w:r w:rsidRPr="006D1BCD">
        <w:rPr>
          <w:rFonts w:eastAsia="Times New Roman" w:cstheme="minorHAnsi"/>
          <w:sz w:val="24"/>
          <w:lang w:eastAsia="pt-BR"/>
        </w:rPr>
        <w:t>, trata-se de um sinal periférico. Se o nistagmo é irregular</w:t>
      </w:r>
      <w:r w:rsidR="00BD4037" w:rsidRPr="006D1BCD">
        <w:rPr>
          <w:rFonts w:eastAsia="Times New Roman" w:cstheme="minorHAnsi"/>
          <w:sz w:val="24"/>
          <w:lang w:eastAsia="pt-BR"/>
        </w:rPr>
        <w:t xml:space="preserve"> ou vertical</w:t>
      </w:r>
      <w:r w:rsidRPr="006D1BCD">
        <w:rPr>
          <w:rFonts w:eastAsia="Times New Roman" w:cstheme="minorHAnsi"/>
          <w:sz w:val="24"/>
          <w:lang w:eastAsia="pt-BR"/>
        </w:rPr>
        <w:t>, provavelmente a origem é central.</w:t>
      </w:r>
    </w:p>
    <w:p w14:paraId="766E7F5F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lastRenderedPageBreak/>
        <w:t xml:space="preserve">- </w:t>
      </w:r>
      <w:r w:rsidR="006D359A" w:rsidRPr="006D1BCD">
        <w:rPr>
          <w:rFonts w:eastAsia="Times New Roman" w:cstheme="minorHAnsi"/>
          <w:sz w:val="24"/>
          <w:lang w:eastAsia="pt-BR"/>
        </w:rPr>
        <w:t>I</w:t>
      </w:r>
      <w:r w:rsidRPr="006D1BCD">
        <w:rPr>
          <w:rFonts w:eastAsia="Times New Roman" w:cstheme="minorHAnsi"/>
          <w:sz w:val="24"/>
          <w:lang w:eastAsia="pt-BR"/>
        </w:rPr>
        <w:t>dentificar a componente rápida e a componente lenta: a componente rápida aponta para o lado com maior atividade labiríntica. Se o lado acometido estiver hipoativo, a componente rápida do nistagmo apontará para o lado normal. Se o lado acometido estiver hiperativo, a componente rápida apontará para o lado afetado.</w:t>
      </w:r>
    </w:p>
    <w:p w14:paraId="0819608B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→ Origem periférica: nistagmo horizontal ou horizonto-rotatório, fatigável, diminui com fixação visual, sem outros achados de pares cranianos</w:t>
      </w:r>
    </w:p>
    <w:p w14:paraId="215494C7" w14:textId="77777777" w:rsidR="00190ADD" w:rsidRDefault="00D56D86" w:rsidP="00190ADD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→ Origem central: nistagmo vertical,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desconjugado</w:t>
      </w:r>
      <w:proofErr w:type="spellEnd"/>
      <w:r w:rsidRPr="006D1BCD">
        <w:rPr>
          <w:rFonts w:eastAsia="Times New Roman" w:cstheme="minorHAnsi"/>
          <w:sz w:val="24"/>
          <w:lang w:eastAsia="pt-BR"/>
        </w:rPr>
        <w:t>, alternante, dissociado</w:t>
      </w:r>
      <w:r w:rsidR="00BD4037" w:rsidRPr="006D1BCD">
        <w:rPr>
          <w:rFonts w:eastAsia="Times New Roman" w:cstheme="minorHAnsi"/>
          <w:sz w:val="24"/>
          <w:lang w:eastAsia="pt-BR"/>
        </w:rPr>
        <w:t xml:space="preserve"> ou</w:t>
      </w:r>
      <w:r w:rsidRPr="006D1BCD">
        <w:rPr>
          <w:rFonts w:eastAsia="Times New Roman" w:cstheme="minorHAnsi"/>
          <w:sz w:val="24"/>
          <w:lang w:eastAsia="pt-BR"/>
        </w:rPr>
        <w:t xml:space="preserve"> não fatigável; pouca ou nenhum</w:t>
      </w:r>
      <w:r w:rsidR="00F461A8" w:rsidRPr="006D1BCD">
        <w:rPr>
          <w:rFonts w:eastAsia="Times New Roman" w:cstheme="minorHAnsi"/>
          <w:sz w:val="24"/>
          <w:lang w:eastAsia="pt-BR"/>
        </w:rPr>
        <w:t>a</w:t>
      </w:r>
      <w:r w:rsidRPr="006D1BCD">
        <w:rPr>
          <w:rFonts w:eastAsia="Times New Roman" w:cstheme="minorHAnsi"/>
          <w:sz w:val="24"/>
          <w:lang w:eastAsia="pt-BR"/>
        </w:rPr>
        <w:t xml:space="preserve"> redução com fixação visual; presença de outras alterações de SNC ou periférico</w:t>
      </w:r>
    </w:p>
    <w:p w14:paraId="544E61FC" w14:textId="77777777" w:rsidR="00190ADD" w:rsidRDefault="00190ADD" w:rsidP="00190ADD">
      <w:pPr>
        <w:spacing w:after="0" w:line="240" w:lineRule="auto"/>
        <w:jc w:val="both"/>
        <w:rPr>
          <w:rFonts w:eastAsia="Times New Roman" w:cstheme="minorHAnsi"/>
          <w:sz w:val="24"/>
          <w:u w:val="single"/>
          <w:lang w:eastAsia="pt-BR"/>
        </w:rPr>
      </w:pPr>
    </w:p>
    <w:p w14:paraId="4A1C5830" w14:textId="5E11E15A" w:rsidR="00D56D86" w:rsidRDefault="00190ADD" w:rsidP="00190ADD">
      <w:pPr>
        <w:spacing w:after="0" w:line="240" w:lineRule="auto"/>
        <w:jc w:val="both"/>
        <w:rPr>
          <w:rFonts w:eastAsia="Times New Roman" w:cstheme="minorHAnsi"/>
          <w:sz w:val="24"/>
          <w:u w:val="single"/>
          <w:lang w:eastAsia="pt-BR"/>
        </w:rPr>
      </w:pPr>
      <w:r>
        <w:rPr>
          <w:rFonts w:eastAsia="Times New Roman" w:cstheme="minorHAnsi"/>
          <w:sz w:val="24"/>
          <w:u w:val="single"/>
          <w:lang w:eastAsia="pt-BR"/>
        </w:rPr>
        <w:t>A</w:t>
      </w:r>
      <w:r w:rsidR="006D1BCD">
        <w:rPr>
          <w:rFonts w:eastAsia="Times New Roman" w:cstheme="minorHAnsi"/>
          <w:sz w:val="24"/>
          <w:u w:val="single"/>
          <w:lang w:eastAsia="pt-BR"/>
        </w:rPr>
        <w:t>valiação</w:t>
      </w:r>
      <w:r w:rsidR="00D56D86" w:rsidRPr="006D1BCD">
        <w:rPr>
          <w:rFonts w:eastAsia="Times New Roman" w:cstheme="minorHAnsi"/>
          <w:sz w:val="24"/>
          <w:u w:val="single"/>
          <w:lang w:eastAsia="pt-BR"/>
        </w:rPr>
        <w:t xml:space="preserve"> do equilíbrio</w:t>
      </w:r>
    </w:p>
    <w:p w14:paraId="6EFF2D9B" w14:textId="77777777" w:rsidR="00190ADD" w:rsidRPr="006D1BCD" w:rsidRDefault="00190ADD" w:rsidP="00190ADD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3C6FF591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- Estático: Teste de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Romberg</w:t>
      </w:r>
      <w:proofErr w:type="spellEnd"/>
      <w:r w:rsidRPr="006D1BCD">
        <w:rPr>
          <w:rFonts w:eastAsia="Times New Roman" w:cstheme="minorHAnsi"/>
          <w:sz w:val="24"/>
          <w:lang w:eastAsia="pt-BR"/>
        </w:rPr>
        <w:t xml:space="preserve"> e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Romberg-Barré</w:t>
      </w:r>
      <w:proofErr w:type="spellEnd"/>
      <w:r w:rsidR="00545779" w:rsidRPr="006D1BCD">
        <w:rPr>
          <w:rFonts w:eastAsia="Times New Roman" w:cstheme="minorHAnsi"/>
          <w:sz w:val="24"/>
          <w:lang w:eastAsia="pt-BR"/>
        </w:rPr>
        <w:t xml:space="preserve"> (</w:t>
      </w:r>
      <w:proofErr w:type="spellStart"/>
      <w:r w:rsidR="00545779" w:rsidRPr="006D1BCD">
        <w:rPr>
          <w:rFonts w:eastAsia="Times New Roman" w:cstheme="minorHAnsi"/>
          <w:sz w:val="24"/>
          <w:lang w:eastAsia="pt-BR"/>
        </w:rPr>
        <w:t>Romberg</w:t>
      </w:r>
      <w:proofErr w:type="spellEnd"/>
      <w:r w:rsidR="00545779" w:rsidRPr="006D1BCD">
        <w:rPr>
          <w:rFonts w:eastAsia="Times New Roman" w:cstheme="minorHAnsi"/>
          <w:sz w:val="24"/>
          <w:lang w:eastAsia="pt-BR"/>
        </w:rPr>
        <w:t xml:space="preserve"> sensibilizado)</w:t>
      </w:r>
      <w:r w:rsidRPr="006D1BCD">
        <w:rPr>
          <w:rFonts w:eastAsia="Times New Roman" w:cstheme="minorHAnsi"/>
          <w:sz w:val="24"/>
          <w:lang w:eastAsia="pt-BR"/>
        </w:rPr>
        <w:t xml:space="preserve">: Coloca-se o paciente em posição ortostática, com os pés unidos, os braços soltos e os olhos fechados e espera-se um intervalo de 1 minuto. O normal é que o paciente se mantenha estático. O teste é positivo quando o paciente </w:t>
      </w:r>
      <w:r w:rsidR="00545779" w:rsidRPr="006D1BCD">
        <w:rPr>
          <w:rFonts w:eastAsia="Times New Roman" w:cstheme="minorHAnsi"/>
          <w:sz w:val="24"/>
          <w:lang w:eastAsia="pt-BR"/>
        </w:rPr>
        <w:t>desloca ou cai</w:t>
      </w:r>
      <w:r w:rsidRPr="006D1BCD">
        <w:rPr>
          <w:rFonts w:eastAsia="Times New Roman" w:cstheme="minorHAnsi"/>
          <w:sz w:val="24"/>
          <w:lang w:eastAsia="pt-BR"/>
        </w:rPr>
        <w:t xml:space="preserve"> para algum dos lados para compensar a sensação de movimento que sente (inclinação na direção da componente lenta do nistagmo). Em casos mais </w:t>
      </w:r>
      <w:r w:rsidR="00BD4037" w:rsidRPr="006D1BCD">
        <w:rPr>
          <w:rFonts w:eastAsia="Times New Roman" w:cstheme="minorHAnsi"/>
          <w:sz w:val="24"/>
          <w:lang w:eastAsia="pt-BR"/>
        </w:rPr>
        <w:t xml:space="preserve">graves </w:t>
      </w:r>
      <w:r w:rsidRPr="006D1BCD">
        <w:rPr>
          <w:rFonts w:eastAsia="Times New Roman" w:cstheme="minorHAnsi"/>
          <w:sz w:val="24"/>
          <w:lang w:eastAsia="pt-BR"/>
        </w:rPr>
        <w:t>(normalmente por desordens centrais), assim que o paciente fecha os olhos</w:t>
      </w:r>
      <w:r w:rsidR="00BD4037" w:rsidRPr="006D1BCD">
        <w:rPr>
          <w:rFonts w:eastAsia="Times New Roman" w:cstheme="minorHAnsi"/>
          <w:sz w:val="24"/>
          <w:lang w:eastAsia="pt-BR"/>
        </w:rPr>
        <w:t>,</w:t>
      </w:r>
      <w:r w:rsidRPr="006D1BCD">
        <w:rPr>
          <w:rFonts w:eastAsia="Times New Roman" w:cstheme="minorHAnsi"/>
          <w:sz w:val="24"/>
          <w:lang w:eastAsia="pt-BR"/>
        </w:rPr>
        <w:t xml:space="preserve"> ele desestabiliza e tende a cair</w:t>
      </w:r>
      <w:r w:rsidR="00545779" w:rsidRPr="006D1BCD">
        <w:rPr>
          <w:rFonts w:eastAsia="Times New Roman" w:cstheme="minorHAnsi"/>
          <w:sz w:val="24"/>
          <w:lang w:eastAsia="pt-BR"/>
        </w:rPr>
        <w:t>, mais comumente para anterior ou posterior</w:t>
      </w:r>
      <w:r w:rsidRPr="006D1BCD">
        <w:rPr>
          <w:rFonts w:eastAsia="Times New Roman" w:cstheme="minorHAnsi"/>
          <w:sz w:val="24"/>
          <w:lang w:eastAsia="pt-BR"/>
        </w:rPr>
        <w:t>. Este teste também pode ser positivo nos casos de distúrbio na propriocepção. O teste pode ser sensibilizado (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Romberg-Barré</w:t>
      </w:r>
      <w:proofErr w:type="spellEnd"/>
      <w:r w:rsidRPr="006D1BCD">
        <w:rPr>
          <w:rFonts w:eastAsia="Times New Roman" w:cstheme="minorHAnsi"/>
          <w:sz w:val="24"/>
          <w:lang w:eastAsia="pt-BR"/>
        </w:rPr>
        <w:t>) pela diminuição da base de sustentação do paciente, pedindo-se que ele coloque um pé na frente do outro.</w:t>
      </w:r>
    </w:p>
    <w:p w14:paraId="2E2C8422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- Dinâmico: Teste de Fukuda/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Unterberger</w:t>
      </w:r>
      <w:proofErr w:type="spellEnd"/>
      <w:r w:rsidR="006D359A" w:rsidRPr="006D1BCD">
        <w:rPr>
          <w:rFonts w:eastAsia="Times New Roman" w:cstheme="minorHAnsi"/>
          <w:sz w:val="24"/>
          <w:lang w:eastAsia="pt-BR"/>
        </w:rPr>
        <w:t xml:space="preserve">: </w:t>
      </w:r>
      <w:r w:rsidRPr="006D1BCD">
        <w:rPr>
          <w:rFonts w:eastAsia="Times New Roman" w:cstheme="minorHAnsi"/>
          <w:sz w:val="24"/>
          <w:lang w:eastAsia="pt-BR"/>
        </w:rPr>
        <w:t xml:space="preserve">com o paciente na posição de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Romberg</w:t>
      </w:r>
      <w:proofErr w:type="spellEnd"/>
      <w:r w:rsidRPr="006D1BCD">
        <w:rPr>
          <w:rFonts w:eastAsia="Times New Roman" w:cstheme="minorHAnsi"/>
          <w:sz w:val="24"/>
          <w:lang w:eastAsia="pt-BR"/>
        </w:rPr>
        <w:t xml:space="preserve"> e </w:t>
      </w:r>
      <w:r w:rsidR="001F5C6E" w:rsidRPr="006D1BCD">
        <w:rPr>
          <w:rFonts w:eastAsia="Times New Roman" w:cstheme="minorHAnsi"/>
          <w:sz w:val="24"/>
          <w:lang w:eastAsia="pt-BR"/>
        </w:rPr>
        <w:t xml:space="preserve">os </w:t>
      </w:r>
      <w:r w:rsidRPr="006D1BCD">
        <w:rPr>
          <w:rFonts w:eastAsia="Times New Roman" w:cstheme="minorHAnsi"/>
          <w:sz w:val="24"/>
          <w:lang w:eastAsia="pt-BR"/>
        </w:rPr>
        <w:t xml:space="preserve">olhos fechados, pedimos para que ele “marche” sem sair do lugar, tirando os pés do chão e levantando os joelhos o mais rápido possível (observar 60 passos). O teste é positivo se o paciente apresenta um deslocamento linear maior que 1 m ou um deslocamento angular maior que </w:t>
      </w:r>
      <w:r w:rsidR="00545779" w:rsidRPr="006D1BCD">
        <w:rPr>
          <w:rFonts w:eastAsia="Times New Roman" w:cstheme="minorHAnsi"/>
          <w:sz w:val="24"/>
          <w:lang w:eastAsia="pt-BR"/>
        </w:rPr>
        <w:t>45</w:t>
      </w:r>
      <w:r w:rsidRPr="006D1BCD">
        <w:rPr>
          <w:rFonts w:eastAsia="Times New Roman" w:cstheme="minorHAnsi"/>
          <w:sz w:val="24"/>
          <w:lang w:eastAsia="pt-BR"/>
        </w:rPr>
        <w:t xml:space="preserve">°. Deslocamento linear fala a favor de problemas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otolíticos</w:t>
      </w:r>
      <w:proofErr w:type="spellEnd"/>
      <w:r w:rsidRPr="006D1BCD">
        <w:rPr>
          <w:rFonts w:eastAsia="Times New Roman" w:cstheme="minorHAnsi"/>
          <w:sz w:val="24"/>
          <w:lang w:eastAsia="pt-BR"/>
        </w:rPr>
        <w:t>, enquanto que o angular fala a favor de lesões em canais semicirculares (desvio em direção à componente lenta do nistagmo</w:t>
      </w:r>
      <w:r w:rsidR="00BD4037" w:rsidRPr="006D1BCD">
        <w:rPr>
          <w:rFonts w:eastAsia="Times New Roman" w:cstheme="minorHAnsi"/>
          <w:sz w:val="24"/>
          <w:lang w:eastAsia="pt-BR"/>
        </w:rPr>
        <w:t xml:space="preserve"> ou labirinto menos ativo</w:t>
      </w:r>
      <w:r w:rsidRPr="006D1BCD">
        <w:rPr>
          <w:rFonts w:eastAsia="Times New Roman" w:cstheme="minorHAnsi"/>
          <w:sz w:val="24"/>
          <w:lang w:eastAsia="pt-BR"/>
        </w:rPr>
        <w:t>).</w:t>
      </w:r>
    </w:p>
    <w:p w14:paraId="7CD5D8A0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- Análise da marcha: observar se o paciente busca um ponto fixo para tentar se equilibrar ou se ele </w:t>
      </w:r>
      <w:r w:rsidR="00BD4037" w:rsidRPr="006D1BCD">
        <w:rPr>
          <w:rFonts w:eastAsia="Times New Roman" w:cstheme="minorHAnsi"/>
          <w:sz w:val="24"/>
          <w:lang w:eastAsia="pt-BR"/>
        </w:rPr>
        <w:t>não necessita de fixação visual (“olhar distante”);</w:t>
      </w:r>
      <w:r w:rsidRPr="006D1BCD">
        <w:rPr>
          <w:rFonts w:eastAsia="Times New Roman" w:cstheme="minorHAnsi"/>
          <w:sz w:val="24"/>
          <w:lang w:eastAsia="pt-BR"/>
        </w:rPr>
        <w:t xml:space="preserve"> observar se há base alargada; marcha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ebriosa</w:t>
      </w:r>
      <w:proofErr w:type="spellEnd"/>
      <w:r w:rsidRPr="006D1BCD">
        <w:rPr>
          <w:rFonts w:eastAsia="Times New Roman" w:cstheme="minorHAnsi"/>
          <w:sz w:val="24"/>
          <w:lang w:eastAsia="pt-BR"/>
        </w:rPr>
        <w:t xml:space="preserve"> (distúrbio cerebelar); marcha em estrela (mantendo os olhos fechados, o paciente dá repetidamente cinco passos para a frente e cinco passos para trás por 30 segundos. Na situação normal, o indivíduo volta praticamente na mesma linha. No distúrbio vestibular unilateral, porém, os passos formarão a figura de uma estrela</w:t>
      </w:r>
      <w:r w:rsidR="00C52E65" w:rsidRPr="006D1BCD">
        <w:rPr>
          <w:rFonts w:eastAsia="Times New Roman" w:cstheme="minorHAnsi"/>
          <w:sz w:val="24"/>
          <w:lang w:eastAsia="pt-BR"/>
        </w:rPr>
        <w:t xml:space="preserve"> - imagem</w:t>
      </w:r>
      <w:r w:rsidRPr="006D1BCD">
        <w:rPr>
          <w:rFonts w:eastAsia="Times New Roman" w:cstheme="minorHAnsi"/>
          <w:sz w:val="24"/>
          <w:lang w:eastAsia="pt-BR"/>
        </w:rPr>
        <w:t>).  </w:t>
      </w:r>
    </w:p>
    <w:p w14:paraId="32E46EE2" w14:textId="77777777" w:rsidR="00BD4037" w:rsidRPr="006D1BCD" w:rsidRDefault="00BD4037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cstheme="minorHAnsi"/>
          <w:noProof/>
          <w:sz w:val="24"/>
          <w:lang w:eastAsia="pt-BR"/>
        </w:rPr>
        <w:drawing>
          <wp:anchor distT="0" distB="0" distL="114300" distR="114300" simplePos="0" relativeHeight="251662336" behindDoc="1" locked="0" layoutInCell="1" allowOverlap="1" wp14:anchorId="26A686BA" wp14:editId="5D8B48E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51722" cy="971550"/>
            <wp:effectExtent l="0" t="0" r="127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72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E9837" w14:textId="46A499C4" w:rsidR="00BD4037" w:rsidRPr="006D1BCD" w:rsidRDefault="00BD4037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33ABC607" w14:textId="5FD8BB81" w:rsidR="00FC44C2" w:rsidRPr="006D1BCD" w:rsidRDefault="00FC44C2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189E3036" w14:textId="77777777" w:rsidR="00FC44C2" w:rsidRPr="006D1BCD" w:rsidRDefault="00FC44C2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13A22DBB" w14:textId="3FF9604D" w:rsidR="00BD4037" w:rsidRPr="006D1BCD" w:rsidRDefault="00545779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Figura </w:t>
      </w:r>
      <w:r w:rsidR="00FC44C2" w:rsidRPr="006D1BCD">
        <w:rPr>
          <w:rFonts w:eastAsia="Times New Roman" w:cstheme="minorHAnsi"/>
          <w:sz w:val="24"/>
          <w:lang w:eastAsia="pt-BR"/>
        </w:rPr>
        <w:t>6</w:t>
      </w:r>
      <w:r w:rsidRPr="006D1BCD">
        <w:rPr>
          <w:rFonts w:eastAsia="Times New Roman" w:cstheme="minorHAnsi"/>
          <w:sz w:val="24"/>
          <w:lang w:eastAsia="pt-BR"/>
        </w:rPr>
        <w:t xml:space="preserve">. Marcha em estrela – Prova de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Babinsk</w:t>
      </w:r>
      <w:r w:rsidR="002B4506" w:rsidRPr="006D1BCD">
        <w:rPr>
          <w:rFonts w:eastAsia="Times New Roman" w:cstheme="minorHAnsi"/>
          <w:sz w:val="24"/>
          <w:lang w:eastAsia="pt-BR"/>
        </w:rPr>
        <w:t>i</w:t>
      </w:r>
      <w:proofErr w:type="spellEnd"/>
      <w:r w:rsidR="002B4506" w:rsidRPr="006D1BCD">
        <w:rPr>
          <w:rFonts w:eastAsia="Times New Roman" w:cstheme="minorHAnsi"/>
          <w:sz w:val="24"/>
          <w:lang w:eastAsia="pt-BR"/>
        </w:rPr>
        <w:t>-</w:t>
      </w:r>
      <w:r w:rsidRPr="006D1BCD">
        <w:rPr>
          <w:rFonts w:eastAsia="Times New Roman" w:cstheme="minorHAnsi"/>
          <w:sz w:val="24"/>
          <w:lang w:eastAsia="pt-BR"/>
        </w:rPr>
        <w:t>Weill.</w:t>
      </w:r>
    </w:p>
    <w:p w14:paraId="3DBB1A02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DE18A8E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u w:val="single"/>
          <w:lang w:eastAsia="pt-BR"/>
        </w:rPr>
        <w:t>Testes de coordenação (avaliação cerebelar)</w:t>
      </w:r>
    </w:p>
    <w:p w14:paraId="608D3C88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- Prova index-nariz: com os olhos fechados, o paciente toca o nariz e estende os braços alternadamente. É utilizado para avaliação cerebelar.</w:t>
      </w:r>
    </w:p>
    <w:p w14:paraId="25580A2B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- Prova index-index: com os olhos fechados, o paciente toca o nariz e o dedo do examinador alternadamente. Também é utilizado para avaliação cerebelar.</w:t>
      </w:r>
    </w:p>
    <w:p w14:paraId="3D8AE884" w14:textId="760C3E2F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- Diadoc</w:t>
      </w:r>
      <w:r w:rsidR="00190ADD">
        <w:rPr>
          <w:rFonts w:eastAsia="Times New Roman" w:cstheme="minorHAnsi"/>
          <w:sz w:val="24"/>
          <w:lang w:eastAsia="pt-BR"/>
        </w:rPr>
        <w:t>occ</w:t>
      </w:r>
      <w:r w:rsidRPr="006D1BCD">
        <w:rPr>
          <w:rFonts w:eastAsia="Times New Roman" w:cstheme="minorHAnsi"/>
          <w:sz w:val="24"/>
          <w:lang w:eastAsia="pt-BR"/>
        </w:rPr>
        <w:t>inesia:</w:t>
      </w:r>
      <w:r w:rsidR="006C5C85" w:rsidRPr="006D1BCD">
        <w:rPr>
          <w:rFonts w:eastAsia="Times New Roman" w:cstheme="minorHAnsi"/>
          <w:sz w:val="24"/>
          <w:lang w:eastAsia="pt-BR"/>
        </w:rPr>
        <w:t xml:space="preserve"> </w:t>
      </w:r>
      <w:r w:rsidRPr="006D1BCD">
        <w:rPr>
          <w:rFonts w:eastAsia="Times New Roman" w:cstheme="minorHAnsi"/>
          <w:sz w:val="24"/>
          <w:lang w:eastAsia="pt-BR"/>
        </w:rPr>
        <w:t>realização de movimentos alternados de pronação e supinação do antebraço sobre as coxas, com ambas as mãos. Quando o paciente tem algum grau de comprometimento da coordenação, ele não consegue realizar esse tipo de movimento com fluidez (disdiadoco</w:t>
      </w:r>
      <w:r w:rsidR="00190ADD">
        <w:rPr>
          <w:rFonts w:eastAsia="Times New Roman" w:cstheme="minorHAnsi"/>
          <w:sz w:val="24"/>
          <w:lang w:eastAsia="pt-BR"/>
        </w:rPr>
        <w:t>c</w:t>
      </w:r>
      <w:r w:rsidRPr="006D1BCD">
        <w:rPr>
          <w:rFonts w:eastAsia="Times New Roman" w:cstheme="minorHAnsi"/>
          <w:sz w:val="24"/>
          <w:lang w:eastAsia="pt-BR"/>
        </w:rPr>
        <w:t>cinesia).</w:t>
      </w:r>
    </w:p>
    <w:p w14:paraId="1506E214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441BCFBD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u w:val="single"/>
          <w:lang w:eastAsia="pt-BR"/>
        </w:rPr>
        <w:t>Provas específicas</w:t>
      </w:r>
    </w:p>
    <w:p w14:paraId="5C3042D8" w14:textId="48F1FD80" w:rsidR="00923C67" w:rsidRDefault="00923C67" w:rsidP="00923C67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- Manobra de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Dix</w:t>
      </w:r>
      <w:proofErr w:type="spellEnd"/>
      <w:r w:rsidRPr="006D1BCD">
        <w:rPr>
          <w:rFonts w:eastAsia="Times New Roman" w:cstheme="minorHAnsi"/>
          <w:sz w:val="24"/>
          <w:lang w:eastAsia="pt-BR"/>
        </w:rPr>
        <w:t>-Hallpike (imagem): é uma manobra provocativa de posicionamento, pois desencadeia tontura rotatória nos pacientes que apresentam vertigem posicional paroxística benigna (deslocamento de otólitos do sáculo/utrículo para os canais semicirculares</w:t>
      </w:r>
      <w:r w:rsidR="00BC2151">
        <w:rPr>
          <w:rFonts w:eastAsia="Times New Roman" w:cstheme="minorHAnsi"/>
          <w:sz w:val="24"/>
          <w:lang w:eastAsia="pt-BR"/>
        </w:rPr>
        <w:t>, especialmente os posteriores</w:t>
      </w:r>
      <w:r w:rsidRPr="006D1BCD">
        <w:rPr>
          <w:rFonts w:eastAsia="Times New Roman" w:cstheme="minorHAnsi"/>
          <w:sz w:val="24"/>
          <w:lang w:eastAsia="pt-BR"/>
        </w:rPr>
        <w:t>)</w:t>
      </w:r>
      <w:r w:rsidR="00BC2151">
        <w:rPr>
          <w:rFonts w:eastAsia="Times New Roman" w:cstheme="minorHAnsi"/>
          <w:sz w:val="24"/>
          <w:lang w:eastAsia="pt-BR"/>
        </w:rPr>
        <w:t>.</w:t>
      </w:r>
    </w:p>
    <w:p w14:paraId="5B7AE40C" w14:textId="4EBA85F6" w:rsidR="00BC2151" w:rsidRDefault="00BC2151" w:rsidP="00BC2151">
      <w:pPr>
        <w:spacing w:line="240" w:lineRule="auto"/>
        <w:ind w:firstLine="708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O paciente é colocado sentado inicialmente sobre uma maca, na direção habitual de se deitar (pernas não ficam para fora).  Em seguida, posiciona-se a cabeça do paciente a 45° para o mesmo lado do examinador (deve ser feito à direita e à esquerda) e o paciente é posto rapidamente em decúbito dorsal, com a cabeça pendente para fora da maca (posição de Rose). É mantido nesta posição por 10 a 15 segundos, observando-se o aparecimento de nistagmo. Então o paciente volta para aposição sentada (mantendo a cabeça rodada a 45° durante a ‘subida’) e repete-se a manobra para o lado oposto. Durante toda a manobra, o paciente deve permanecer de olhos abertos, sem fixação visual. Nos indivíduos normais, não são observados tontura ou nistagmos, enquanto que em paciente com VPPB há a presença de nistagmo característico, horizonto-rotatório que bate em direção ao chão (geotrópico) durante a ‘descida’ da manobra, em crescendo-decrescendo, com latência, fatigável, de curta duração, geralmente acompanhado de sintomas neurovegetativos. Durante o movimento de ‘subida’ da manobra, o nistagmo tem a sua direção de batimento invertida em relação à de ‘descida’. Esta manobra é mais específica para canais semicirculares posteriores, local mais comumente afetado pela VPPB. </w:t>
      </w:r>
    </w:p>
    <w:p w14:paraId="64B215FE" w14:textId="77777777" w:rsidR="00190ADD" w:rsidRPr="006D1BCD" w:rsidRDefault="00190ADD" w:rsidP="00BC2151">
      <w:pPr>
        <w:spacing w:line="240" w:lineRule="auto"/>
        <w:ind w:firstLine="708"/>
        <w:jc w:val="both"/>
        <w:rPr>
          <w:rFonts w:eastAsia="Times New Roman" w:cstheme="minorHAnsi"/>
          <w:sz w:val="24"/>
          <w:lang w:eastAsia="pt-BR"/>
        </w:rPr>
      </w:pPr>
    </w:p>
    <w:p w14:paraId="148B8A9C" w14:textId="77777777" w:rsidR="00BC2151" w:rsidRPr="006D1BCD" w:rsidRDefault="00BC2151" w:rsidP="00BC2151">
      <w:pPr>
        <w:pStyle w:val="PargrafodaLista"/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noProof/>
          <w:color w:val="000000"/>
          <w:sz w:val="24"/>
          <w:lang w:eastAsia="pt-BR"/>
        </w:rPr>
        <w:lastRenderedPageBreak/>
        <w:drawing>
          <wp:inline distT="0" distB="0" distL="0" distR="0" wp14:anchorId="22B01301" wp14:editId="57D5D538">
            <wp:extent cx="4647584" cy="2007235"/>
            <wp:effectExtent l="0" t="0" r="635" b="0"/>
            <wp:docPr id="5" name="Imagem 5" descr="https://lh4.googleusercontent.com/LyupE-CksY3Eczl-N7xVJosL8nuKE-iVvsAMdV3xdvIjjgjiV06U7BBNcxll3Cws7Fv6OZfO8Y--nMQdSYk1g8gObigmkrGnHHOzeTa6XQTbWgLxoZaeE72NN3qg5IjFe95vO6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LyupE-CksY3Eczl-N7xVJosL8nuKE-iVvsAMdV3xdvIjjgjiV06U7BBNcxll3Cws7Fv6OZfO8Y--nMQdSYk1g8gObigmkrGnHHOzeTa6XQTbWgLxoZaeE72NN3qg5IjFe95vO6T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3" b="8794"/>
                    <a:stretch/>
                  </pic:blipFill>
                  <pic:spPr bwMode="auto">
                    <a:xfrm>
                      <a:off x="0" y="0"/>
                      <a:ext cx="4670807" cy="20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14BE0" w14:textId="77777777" w:rsidR="00BC2151" w:rsidRPr="006D1BCD" w:rsidRDefault="00BC2151" w:rsidP="00BC2151">
      <w:pPr>
        <w:pStyle w:val="PargrafodaLista"/>
        <w:spacing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71D8BBF8" w14:textId="77777777" w:rsidR="00BC2151" w:rsidRPr="006D1BCD" w:rsidRDefault="00BC2151" w:rsidP="00BC2151">
      <w:pPr>
        <w:pStyle w:val="PargrafodaLista"/>
        <w:spacing w:line="240" w:lineRule="auto"/>
        <w:ind w:left="0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Figura 7: Prova de </w:t>
      </w:r>
      <w:proofErr w:type="spellStart"/>
      <w:r w:rsidRPr="006D1BCD">
        <w:rPr>
          <w:rFonts w:eastAsia="Times New Roman" w:cstheme="minorHAnsi"/>
          <w:sz w:val="24"/>
          <w:lang w:eastAsia="pt-BR"/>
        </w:rPr>
        <w:t>Dix</w:t>
      </w:r>
      <w:proofErr w:type="spellEnd"/>
      <w:r w:rsidRPr="006D1BCD">
        <w:rPr>
          <w:rFonts w:eastAsia="Times New Roman" w:cstheme="minorHAnsi"/>
          <w:sz w:val="24"/>
          <w:lang w:eastAsia="pt-BR"/>
        </w:rPr>
        <w:t>-Hallpike</w:t>
      </w:r>
    </w:p>
    <w:p w14:paraId="5D7137EA" w14:textId="77777777" w:rsidR="00BC2151" w:rsidRPr="006D1BCD" w:rsidRDefault="00BC2151" w:rsidP="00923C67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58B3A65F" w14:textId="00614AF9" w:rsidR="002B4506" w:rsidRPr="006D1BCD" w:rsidRDefault="00D56D86" w:rsidP="00190ADD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 xml:space="preserve">- </w:t>
      </w:r>
      <w:r w:rsidRPr="00190ADD">
        <w:rPr>
          <w:rFonts w:eastAsia="Times New Roman" w:cstheme="minorHAnsi"/>
          <w:i/>
          <w:sz w:val="24"/>
          <w:lang w:eastAsia="pt-BR"/>
        </w:rPr>
        <w:t>Head-</w:t>
      </w:r>
      <w:r w:rsidR="003B2A88" w:rsidRPr="00190ADD">
        <w:rPr>
          <w:rFonts w:eastAsia="Times New Roman" w:cstheme="minorHAnsi"/>
          <w:i/>
          <w:sz w:val="24"/>
          <w:lang w:eastAsia="pt-BR"/>
        </w:rPr>
        <w:t>Impulse</w:t>
      </w:r>
      <w:r w:rsidR="003B2A88">
        <w:rPr>
          <w:rFonts w:eastAsia="Times New Roman" w:cstheme="minorHAnsi"/>
          <w:sz w:val="24"/>
          <w:lang w:eastAsia="pt-BR"/>
        </w:rPr>
        <w:t xml:space="preserve"> ou </w:t>
      </w:r>
      <w:r w:rsidR="003B2A88" w:rsidRPr="00190ADD">
        <w:rPr>
          <w:rFonts w:eastAsia="Times New Roman" w:cstheme="minorHAnsi"/>
          <w:i/>
          <w:sz w:val="24"/>
          <w:lang w:eastAsia="pt-BR"/>
        </w:rPr>
        <w:t>Head-</w:t>
      </w:r>
      <w:proofErr w:type="spellStart"/>
      <w:r w:rsidRPr="00190ADD">
        <w:rPr>
          <w:rFonts w:eastAsia="Times New Roman" w:cstheme="minorHAnsi"/>
          <w:i/>
          <w:sz w:val="24"/>
          <w:lang w:eastAsia="pt-BR"/>
        </w:rPr>
        <w:t>T</w:t>
      </w:r>
      <w:r w:rsidR="003B2A88" w:rsidRPr="00190ADD">
        <w:rPr>
          <w:rFonts w:eastAsia="Times New Roman" w:cstheme="minorHAnsi"/>
          <w:i/>
          <w:sz w:val="24"/>
          <w:lang w:eastAsia="pt-BR"/>
        </w:rPr>
        <w:t>h</w:t>
      </w:r>
      <w:r w:rsidRPr="00190ADD">
        <w:rPr>
          <w:rFonts w:eastAsia="Times New Roman" w:cstheme="minorHAnsi"/>
          <w:i/>
          <w:sz w:val="24"/>
          <w:lang w:eastAsia="pt-BR"/>
        </w:rPr>
        <w:t>rust</w:t>
      </w:r>
      <w:proofErr w:type="spellEnd"/>
      <w:r w:rsidRPr="006D1BCD">
        <w:rPr>
          <w:rFonts w:eastAsia="Times New Roman" w:cstheme="minorHAnsi"/>
          <w:sz w:val="24"/>
          <w:lang w:eastAsia="pt-BR"/>
        </w:rPr>
        <w:t>: com o paciente sentado, e cabeça reta, pedimos para que ele fixe o olhar em um ponto localizado a frente de seus olhos. Posteriormente, giramos a cabeça rapidamente para um lado, orientando que ele continue a olhar para o alvo. Em indivíduos normais, ao girar a cabeça</w:t>
      </w:r>
      <w:r w:rsidR="00BD4037" w:rsidRPr="006D1BCD">
        <w:rPr>
          <w:rFonts w:eastAsia="Times New Roman" w:cstheme="minorHAnsi"/>
          <w:sz w:val="24"/>
          <w:lang w:eastAsia="pt-BR"/>
        </w:rPr>
        <w:t>,</w:t>
      </w:r>
      <w:r w:rsidRPr="006D1BCD">
        <w:rPr>
          <w:rFonts w:eastAsia="Times New Roman" w:cstheme="minorHAnsi"/>
          <w:sz w:val="24"/>
          <w:lang w:eastAsia="pt-BR"/>
        </w:rPr>
        <w:t xml:space="preserve"> o olhar </w:t>
      </w:r>
      <w:r w:rsidR="00BD4037" w:rsidRPr="006D1BCD">
        <w:rPr>
          <w:rFonts w:eastAsia="Times New Roman" w:cstheme="minorHAnsi"/>
          <w:sz w:val="24"/>
          <w:lang w:eastAsia="pt-BR"/>
        </w:rPr>
        <w:t xml:space="preserve">se </w:t>
      </w:r>
      <w:r w:rsidR="006C5C85" w:rsidRPr="006D1BCD">
        <w:rPr>
          <w:rFonts w:eastAsia="Times New Roman" w:cstheme="minorHAnsi"/>
          <w:sz w:val="24"/>
          <w:lang w:eastAsia="pt-BR"/>
        </w:rPr>
        <w:t>mantém</w:t>
      </w:r>
      <w:r w:rsidRPr="006D1BCD">
        <w:rPr>
          <w:rFonts w:eastAsia="Times New Roman" w:cstheme="minorHAnsi"/>
          <w:sz w:val="24"/>
          <w:lang w:eastAsia="pt-BR"/>
        </w:rPr>
        <w:t xml:space="preserve"> fixo. Se há uma lesão labiríntica periférica, no entanto, ao girarmos a cabeça para o lado lesionado, o indivíduo não mantém a fixação e precisa realizar um movimento sacádico para voltar a visualizar o alvo. Quando isso acontece, dizemos que a prova é positiva e indica que o reflexo vestíbulo-</w:t>
      </w:r>
      <w:r w:rsidR="00BD4037" w:rsidRPr="006D1BCD">
        <w:rPr>
          <w:rFonts w:eastAsia="Times New Roman" w:cstheme="minorHAnsi"/>
          <w:sz w:val="24"/>
          <w:lang w:eastAsia="pt-BR"/>
        </w:rPr>
        <w:t>o</w:t>
      </w:r>
      <w:r w:rsidRPr="006D1BCD">
        <w:rPr>
          <w:rFonts w:eastAsia="Times New Roman" w:cstheme="minorHAnsi"/>
          <w:sz w:val="24"/>
          <w:lang w:eastAsia="pt-BR"/>
        </w:rPr>
        <w:t>culomotor</w:t>
      </w:r>
      <w:r w:rsidR="0024244F" w:rsidRPr="006D1BCD">
        <w:rPr>
          <w:rFonts w:eastAsia="Times New Roman" w:cstheme="minorHAnsi"/>
          <w:sz w:val="24"/>
          <w:lang w:eastAsia="pt-BR"/>
        </w:rPr>
        <w:t xml:space="preserve"> está deficitário</w:t>
      </w:r>
      <w:r w:rsidRPr="006D1BCD">
        <w:rPr>
          <w:rFonts w:eastAsia="Times New Roman" w:cstheme="minorHAnsi"/>
          <w:sz w:val="24"/>
          <w:lang w:eastAsia="pt-BR"/>
        </w:rPr>
        <w:t xml:space="preserve">, ou seja, a informação do </w:t>
      </w:r>
      <w:r w:rsidR="0024244F" w:rsidRPr="006D1BCD">
        <w:rPr>
          <w:rFonts w:eastAsia="Times New Roman" w:cstheme="minorHAnsi"/>
          <w:sz w:val="24"/>
          <w:lang w:eastAsia="pt-BR"/>
        </w:rPr>
        <w:t xml:space="preserve">sistema vestibular </w:t>
      </w:r>
      <w:r w:rsidRPr="006D1BCD">
        <w:rPr>
          <w:rFonts w:eastAsia="Times New Roman" w:cstheme="minorHAnsi"/>
          <w:sz w:val="24"/>
          <w:lang w:eastAsia="pt-BR"/>
        </w:rPr>
        <w:t xml:space="preserve">não está se integrando com o </w:t>
      </w:r>
      <w:r w:rsidR="0024244F" w:rsidRPr="006D1BCD">
        <w:rPr>
          <w:rFonts w:eastAsia="Times New Roman" w:cstheme="minorHAnsi"/>
          <w:sz w:val="24"/>
          <w:lang w:eastAsia="pt-BR"/>
        </w:rPr>
        <w:t>sistema visual</w:t>
      </w:r>
      <w:r w:rsidRPr="006D1BCD">
        <w:rPr>
          <w:rFonts w:eastAsia="Times New Roman" w:cstheme="minorHAnsi"/>
          <w:sz w:val="24"/>
          <w:lang w:eastAsia="pt-BR"/>
        </w:rPr>
        <w:t>.</w:t>
      </w:r>
    </w:p>
    <w:p w14:paraId="0BE88447" w14:textId="77777777" w:rsidR="001B3A65" w:rsidRPr="006D1BCD" w:rsidRDefault="001B3A65" w:rsidP="00D67B2A">
      <w:pPr>
        <w:pStyle w:val="PargrafodaLista"/>
        <w:spacing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72273E61" w14:textId="77777777" w:rsidR="00192903" w:rsidRPr="006D1BCD" w:rsidRDefault="00192903" w:rsidP="00192903">
      <w:pPr>
        <w:pStyle w:val="PargrafodaLista"/>
        <w:numPr>
          <w:ilvl w:val="0"/>
          <w:numId w:val="17"/>
        </w:num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sz w:val="24"/>
          <w:lang w:eastAsia="pt-BR"/>
        </w:rPr>
        <w:t>Vídeos: Aula Semiologia Otoneurológica – Tontura e Vertigem Parte I e Aula de Semiologia Otoneurológica – Tontura e Vertigem Parte II</w:t>
      </w:r>
    </w:p>
    <w:p w14:paraId="6690FDFB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636C7201" w14:textId="77777777" w:rsidR="00D67B2A" w:rsidRPr="006D1BCD" w:rsidRDefault="00D67B2A" w:rsidP="00CF24D6">
      <w:pPr>
        <w:spacing w:line="240" w:lineRule="auto"/>
        <w:jc w:val="both"/>
        <w:rPr>
          <w:rFonts w:eastAsia="Times New Roman" w:cstheme="minorHAnsi"/>
          <w:color w:val="000000"/>
          <w:sz w:val="24"/>
          <w:u w:val="single"/>
          <w:lang w:eastAsia="pt-BR"/>
        </w:rPr>
      </w:pPr>
    </w:p>
    <w:p w14:paraId="1C60D0BC" w14:textId="77777777" w:rsidR="002B4506" w:rsidRPr="006D1BCD" w:rsidRDefault="002B4506">
      <w:pPr>
        <w:rPr>
          <w:rFonts w:eastAsia="Times New Roman" w:cstheme="minorHAnsi"/>
          <w:b/>
          <w:color w:val="000000"/>
          <w:sz w:val="24"/>
          <w:u w:val="single"/>
          <w:lang w:eastAsia="pt-BR"/>
        </w:rPr>
      </w:pPr>
      <w:r w:rsidRPr="006D1BCD">
        <w:rPr>
          <w:rFonts w:eastAsia="Times New Roman" w:cstheme="minorHAnsi"/>
          <w:b/>
          <w:color w:val="000000"/>
          <w:sz w:val="24"/>
          <w:u w:val="single"/>
          <w:lang w:eastAsia="pt-BR"/>
        </w:rPr>
        <w:br w:type="page"/>
      </w:r>
    </w:p>
    <w:p w14:paraId="525E78D0" w14:textId="2BB3661A" w:rsidR="00D56D86" w:rsidRPr="006D1BCD" w:rsidRDefault="00D67B2A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color w:val="000000"/>
          <w:sz w:val="24"/>
          <w:u w:val="single"/>
          <w:lang w:eastAsia="pt-BR"/>
        </w:rPr>
        <w:lastRenderedPageBreak/>
        <w:t>P</w:t>
      </w:r>
      <w:r w:rsidR="00D56D86" w:rsidRPr="006D1BCD">
        <w:rPr>
          <w:rFonts w:eastAsia="Times New Roman" w:cstheme="minorHAnsi"/>
          <w:b/>
          <w:color w:val="000000"/>
          <w:sz w:val="24"/>
          <w:u w:val="single"/>
          <w:lang w:eastAsia="pt-BR"/>
        </w:rPr>
        <w:t>ares cranianos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(não será abordado na aula prática de semiologia otorrinolaringológica)</w:t>
      </w:r>
    </w:p>
    <w:p w14:paraId="0D4DA559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76CCFC61" w14:textId="77777777" w:rsidR="00DA2D4A" w:rsidRPr="006D1BCD" w:rsidRDefault="00DA2D4A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30FB0628" w14:textId="7E0EE5EA" w:rsidR="00DA2D4A" w:rsidRPr="006D1BCD" w:rsidRDefault="00DA2D4A" w:rsidP="00CF24D6">
      <w:pPr>
        <w:spacing w:line="240" w:lineRule="auto"/>
        <w:jc w:val="both"/>
        <w:rPr>
          <w:rFonts w:eastAsia="Times New Roman" w:cstheme="minorHAnsi"/>
          <w:b/>
          <w:bCs/>
          <w:color w:val="000000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Olfatório (I):</w:t>
      </w:r>
      <w:r w:rsidR="00632E0E"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 xml:space="preserve"> </w:t>
      </w: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 xml:space="preserve"> </w:t>
      </w:r>
    </w:p>
    <w:p w14:paraId="1C972E22" w14:textId="4BD70718" w:rsidR="002B4506" w:rsidRPr="006D1BCD" w:rsidRDefault="002B4506" w:rsidP="00CF24D6">
      <w:pPr>
        <w:spacing w:line="240" w:lineRule="auto"/>
        <w:jc w:val="both"/>
        <w:rPr>
          <w:rFonts w:eastAsia="Times New Roman" w:cstheme="minorHAnsi"/>
          <w:bCs/>
          <w:color w:val="000000"/>
          <w:sz w:val="24"/>
          <w:lang w:eastAsia="pt-BR"/>
        </w:rPr>
      </w:pPr>
      <w:r w:rsidRPr="006D1BCD">
        <w:rPr>
          <w:rFonts w:eastAsia="Times New Roman" w:cstheme="minorHAnsi"/>
          <w:bCs/>
          <w:color w:val="000000"/>
          <w:sz w:val="24"/>
          <w:lang w:eastAsia="pt-BR"/>
        </w:rPr>
        <w:t>- Avaliação da percepção de odores</w:t>
      </w:r>
    </w:p>
    <w:p w14:paraId="2927FC2F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óptico (II)</w:t>
      </w:r>
      <w:r w:rsidRPr="006D1BCD">
        <w:rPr>
          <w:rFonts w:eastAsia="Times New Roman" w:cstheme="minorHAnsi"/>
          <w:color w:val="000000"/>
          <w:sz w:val="24"/>
          <w:lang w:eastAsia="pt-BR"/>
        </w:rPr>
        <w:t>: sensibilidade especial somática – visão</w:t>
      </w:r>
    </w:p>
    <w:p w14:paraId="7E024DC5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Avaliação da acuidade visual, do campo visual e exame direto do nervo óptico, respostas pupilares à luz e à acomodação (nervos II e III).</w:t>
      </w:r>
    </w:p>
    <w:p w14:paraId="396E6F56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Oculomotor (III)</w:t>
      </w:r>
      <w:r w:rsidRPr="006D1BCD">
        <w:rPr>
          <w:rFonts w:eastAsia="Times New Roman" w:cstheme="minorHAnsi"/>
          <w:color w:val="000000"/>
          <w:sz w:val="24"/>
          <w:lang w:eastAsia="pt-BR"/>
        </w:rPr>
        <w:t>: motricidade somática - músculos da motricidade ocular (com exceção do oblíquo superior e do reto lateral) e abertura ocular; motricidade autônoma (parassimpático): constrição pupilar e tensão dos músculos ciliares</w:t>
      </w:r>
    </w:p>
    <w:p w14:paraId="5CB1F7F4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O exame do nervo oculomotor deve ser feito junto com o exame dos nervos troclear e abducente, uma vez que esses três nervos estão envolvidos na motricidade ocular;</w:t>
      </w:r>
    </w:p>
    <w:p w14:paraId="328230F2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Posição do globo ocular em situação estática; exame da motricidade ocular; elevação das pálpebras; convergência do olhar; respostas pupilares à luz e à acomodação (envolvem os nervos II e III).</w:t>
      </w:r>
    </w:p>
    <w:p w14:paraId="479C7D92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Troclear (IV):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motricidade somática - músculo oblíquo superior (movimento ocular de olhar para baixo em direção ao nariz).</w:t>
      </w:r>
    </w:p>
    <w:p w14:paraId="598A12B8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trigêmeo (V):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sensibilidade geral somática – sensibilidade geral da face, mucosa e dois terços anteriores da língua; motricidade branquial - músculos da mastigação e tensão do tímpano</w:t>
      </w:r>
    </w:p>
    <w:p w14:paraId="20FCFE07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Sensibilidade da face (examinar os territórios das 3 divisões do trigêmeo: oftálmica, maxilar e mandibular); motricidade da mandíbula; reflexos profundos axiais da face (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glabelar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, </w:t>
      </w:r>
      <w:proofErr w:type="spellStart"/>
      <w:r w:rsidRPr="006D1BCD">
        <w:rPr>
          <w:rFonts w:eastAsia="Times New Roman" w:cstheme="minorHAnsi"/>
          <w:color w:val="000000"/>
          <w:sz w:val="24"/>
          <w:lang w:eastAsia="pt-BR"/>
        </w:rPr>
        <w:t>perioral</w:t>
      </w:r>
      <w:proofErr w:type="spellEnd"/>
      <w:r w:rsidRPr="006D1BCD">
        <w:rPr>
          <w:rFonts w:eastAsia="Times New Roman" w:cstheme="minorHAnsi"/>
          <w:color w:val="000000"/>
          <w:sz w:val="24"/>
          <w:lang w:eastAsia="pt-BR"/>
        </w:rPr>
        <w:t>, mandibular); reflexos superficiais da face (corneopalpebral e esternutatório).</w:t>
      </w:r>
    </w:p>
    <w:p w14:paraId="24AA1C93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2D16F890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Abducente (VI):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motricidade somática - músculo reto lateral (movimento ocular de abdução).</w:t>
      </w:r>
    </w:p>
    <w:p w14:paraId="654A78E3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Facial (VII):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motricidade branquial - músculos da mímica da face e músculo estapédio; motricidade autônoma (parassimpático) - lacrimejamento e salivação (exceto a parótida); sensibilidade especial visceral - gustação nos dois terços anteriores da língua; sensibilidade geral somática -  sensibilidade geral em pequena região próxima ao meato acústico externo</w:t>
      </w:r>
      <w:r w:rsidR="001D1015" w:rsidRPr="006D1BCD">
        <w:rPr>
          <w:rFonts w:eastAsia="Times New Roman" w:cstheme="minorHAnsi"/>
          <w:color w:val="000000"/>
          <w:sz w:val="24"/>
          <w:lang w:eastAsia="pt-BR"/>
        </w:rPr>
        <w:t>. Importante relação com estruturas das orelhas internas e médias e da mastoide.</w:t>
      </w:r>
    </w:p>
    <w:p w14:paraId="750C8EBA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 Observação do trofismo muscular e assimetrias de sulcos e rugas que possam indicar ausência ou redução da movimentação de um dos lados da face; movimentos da mímica facial; avaliação da gustação nos dois terços anteriores da língua, de cada lado, e da </w:t>
      </w:r>
      <w:r w:rsidRPr="006D1BCD">
        <w:rPr>
          <w:rFonts w:eastAsia="Times New Roman" w:cstheme="minorHAnsi"/>
          <w:color w:val="000000"/>
          <w:sz w:val="24"/>
          <w:lang w:eastAsia="pt-BR"/>
        </w:rPr>
        <w:lastRenderedPageBreak/>
        <w:t>produção de lágrimas; reflexos superficiais e profundos da face (porção motora do nervo facial).</w:t>
      </w:r>
      <w:r w:rsidR="001D1015" w:rsidRPr="006D1BCD">
        <w:rPr>
          <w:rFonts w:eastAsia="Times New Roman" w:cstheme="minorHAnsi"/>
          <w:color w:val="000000"/>
          <w:sz w:val="24"/>
          <w:lang w:eastAsia="pt-BR"/>
        </w:rPr>
        <w:t xml:space="preserve"> Pode ser avaliado clinicamente pela escala de </w:t>
      </w:r>
      <w:proofErr w:type="spellStart"/>
      <w:r w:rsidR="001D1015" w:rsidRPr="006D1BCD">
        <w:rPr>
          <w:rFonts w:eastAsia="Times New Roman" w:cstheme="minorHAnsi"/>
          <w:color w:val="000000"/>
          <w:sz w:val="24"/>
          <w:lang w:eastAsia="pt-BR"/>
        </w:rPr>
        <w:t>House-Brackman</w:t>
      </w:r>
      <w:proofErr w:type="spellEnd"/>
      <w:r w:rsidR="001D1015" w:rsidRPr="006D1BCD">
        <w:rPr>
          <w:rFonts w:eastAsia="Times New Roman" w:cstheme="minorHAnsi"/>
          <w:color w:val="000000"/>
          <w:sz w:val="24"/>
          <w:lang w:eastAsia="pt-BR"/>
        </w:rPr>
        <w:t>.</w:t>
      </w:r>
    </w:p>
    <w:p w14:paraId="7DCC75D8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Vestibulococlear (VIII):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sensibilidade especial somática – audição e sensação vestibular</w:t>
      </w:r>
    </w:p>
    <w:p w14:paraId="27D1DE79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Avaliação das funções auditiva e vestibular (Teste de Rinne, Teste de Weber, nistagmos - exame otorrinolaringológico).</w:t>
      </w:r>
    </w:p>
    <w:p w14:paraId="39509D4D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Glossofaríngeo (IX):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motricidade branquial – movimentos da faringe; motricidade autônoma (parassimpático) – salivação (parótida); sensibilidade geral somática – sensibilidade geral na mucosa da faringe, no terço posterior da língua, na orelha média e em região próxima ao meato auditivo externo; sensibilidade especial visceral – gustação no terço posterior da língua</w:t>
      </w:r>
    </w:p>
    <w:p w14:paraId="64AF688A" w14:textId="4A196B94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- As </w:t>
      </w:r>
      <w:r w:rsidR="00190ADD" w:rsidRPr="006D1BCD">
        <w:rPr>
          <w:rFonts w:eastAsia="Times New Roman" w:cstheme="minorHAnsi"/>
          <w:color w:val="000000"/>
          <w:sz w:val="24"/>
          <w:lang w:eastAsia="pt-BR"/>
        </w:rPr>
        <w:t>funções motoras e sensoriais gerais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dos nervos glossofaríngeo e vago são avaliadas em conjunto: motricidade da faringe e da laringe (observar o palato em repouso e em movimento, pedindo para o paciente dizer “a” ou “e” por alguns segundos); sensibilidade geral do terço posterior da língua (IX nervo) e da faringe (X nervo); reflexo nauseoso.</w:t>
      </w:r>
    </w:p>
    <w:p w14:paraId="384A609B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Vago (X):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motricidade branquial – movimento dos músculos da faringe e laringe; motricidade autônoma (parassimpático) – vísceras do tórax e abdome; sensibilidade geral somática – sensibilidade geral em pequena região próxima ao meato auditivo externo, na mucosa da faringe e nas meninges; sensibilidade especial visceral – gustação na epiglote e faringe; sensibilidade geral visceral – reflexos do arco aórtico.</w:t>
      </w:r>
    </w:p>
    <w:p w14:paraId="1868F86C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acessório (XI):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motricidade branquial – faringe e laringe; motricidade branquial – </w:t>
      </w:r>
      <w:r w:rsidR="00D67B2A" w:rsidRPr="006D1BCD">
        <w:rPr>
          <w:rFonts w:eastAsia="Times New Roman" w:cstheme="minorHAnsi"/>
          <w:color w:val="000000"/>
          <w:sz w:val="24"/>
          <w:lang w:eastAsia="pt-BR"/>
        </w:rPr>
        <w:t>esternocleidomastoideo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e parte superior do trapézio</w:t>
      </w:r>
    </w:p>
    <w:p w14:paraId="0E0F001C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A raiz craniana do IX par é acessória ao nervo vago e, assim, sua função é avaliada conjuntamente com a função dos nervos IX e X;</w:t>
      </w:r>
    </w:p>
    <w:p w14:paraId="7083E07A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A raiz espinal pode ser avaliada pela avaliação do trofismo e da força muscular para rotação lateral da cabeça em ambas as direções (músculo esternocleidomastoideo) e para a elevação dos ombros (músculo trapézio).</w:t>
      </w:r>
    </w:p>
    <w:p w14:paraId="0E478BE7" w14:textId="77777777" w:rsidR="00D56D86" w:rsidRPr="006D1BCD" w:rsidRDefault="00D56D86" w:rsidP="00CF24D6">
      <w:pPr>
        <w:spacing w:after="0" w:line="240" w:lineRule="auto"/>
        <w:jc w:val="both"/>
        <w:rPr>
          <w:rFonts w:eastAsia="Times New Roman" w:cstheme="minorHAnsi"/>
          <w:sz w:val="24"/>
          <w:lang w:eastAsia="pt-BR"/>
        </w:rPr>
      </w:pPr>
    </w:p>
    <w:p w14:paraId="69CEDFD4" w14:textId="77777777" w:rsidR="00D56D86" w:rsidRPr="006D1BCD" w:rsidRDefault="00D56D86" w:rsidP="00CF24D6">
      <w:pPr>
        <w:spacing w:line="240" w:lineRule="auto"/>
        <w:jc w:val="both"/>
        <w:rPr>
          <w:rFonts w:eastAsia="Times New Roman" w:cstheme="minorHAnsi"/>
          <w:sz w:val="24"/>
          <w:lang w:eastAsia="pt-BR"/>
        </w:rPr>
      </w:pPr>
      <w:r w:rsidRPr="006D1BCD">
        <w:rPr>
          <w:rFonts w:eastAsia="Times New Roman" w:cstheme="minorHAnsi"/>
          <w:b/>
          <w:bCs/>
          <w:color w:val="000000"/>
          <w:sz w:val="24"/>
          <w:lang w:eastAsia="pt-BR"/>
        </w:rPr>
        <w:t>Nervo hipoglosso (XII):</w:t>
      </w:r>
      <w:r w:rsidRPr="006D1BCD">
        <w:rPr>
          <w:rFonts w:eastAsia="Times New Roman" w:cstheme="minorHAnsi"/>
          <w:color w:val="000000"/>
          <w:sz w:val="24"/>
          <w:lang w:eastAsia="pt-BR"/>
        </w:rPr>
        <w:t xml:space="preserve"> motricidade somática – músculos da língua</w:t>
      </w:r>
    </w:p>
    <w:p w14:paraId="406DA9B9" w14:textId="77777777" w:rsidR="00192903" w:rsidRPr="006D1BCD" w:rsidRDefault="00D56D86" w:rsidP="00CF24D6">
      <w:pPr>
        <w:spacing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- Inspeção do volume da língua (trofismo), movimentos anormais, coordenação e força muscular.</w:t>
      </w:r>
    </w:p>
    <w:p w14:paraId="4A14F2A7" w14:textId="77777777" w:rsidR="00192903" w:rsidRPr="006D1BCD" w:rsidRDefault="00192903" w:rsidP="00192903">
      <w:pPr>
        <w:pStyle w:val="PargrafodaLista"/>
        <w:numPr>
          <w:ilvl w:val="0"/>
          <w:numId w:val="17"/>
        </w:numPr>
        <w:spacing w:line="240" w:lineRule="auto"/>
        <w:jc w:val="both"/>
        <w:rPr>
          <w:rFonts w:eastAsia="Times New Roman" w:cstheme="minorHAnsi"/>
          <w:color w:val="000000"/>
          <w:sz w:val="24"/>
          <w:lang w:eastAsia="pt-BR"/>
        </w:rPr>
      </w:pPr>
      <w:r w:rsidRPr="006D1BCD">
        <w:rPr>
          <w:rFonts w:eastAsia="Times New Roman" w:cstheme="minorHAnsi"/>
          <w:color w:val="000000"/>
          <w:sz w:val="24"/>
          <w:lang w:eastAsia="pt-BR"/>
        </w:rPr>
        <w:t>Vídeos: Aula de Semiologia Especializada Otorrinolaringologia (Pares Cranianos) e CCP – Semiologia estática da Face e nervos III, V, X, XI, XII.</w:t>
      </w:r>
    </w:p>
    <w:sectPr w:rsidR="00192903" w:rsidRPr="006D1BCD" w:rsidSect="00A030E9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0837F" w14:textId="77777777" w:rsidR="00DF245F" w:rsidRDefault="00DF245F" w:rsidP="006D1BCD">
      <w:pPr>
        <w:spacing w:after="0" w:line="240" w:lineRule="auto"/>
      </w:pPr>
      <w:r>
        <w:separator/>
      </w:r>
    </w:p>
  </w:endnote>
  <w:endnote w:type="continuationSeparator" w:id="0">
    <w:p w14:paraId="73E7EBD0" w14:textId="77777777" w:rsidR="00DF245F" w:rsidRDefault="00DF245F" w:rsidP="006D1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2AE43" w14:textId="77777777" w:rsidR="00DF245F" w:rsidRDefault="00DF245F" w:rsidP="006D1BCD">
      <w:pPr>
        <w:spacing w:after="0" w:line="240" w:lineRule="auto"/>
      </w:pPr>
      <w:r>
        <w:separator/>
      </w:r>
    </w:p>
  </w:footnote>
  <w:footnote w:type="continuationSeparator" w:id="0">
    <w:p w14:paraId="0FA8AE05" w14:textId="77777777" w:rsidR="00DF245F" w:rsidRDefault="00DF245F" w:rsidP="006D1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8696350"/>
      <w:docPartObj>
        <w:docPartGallery w:val="Page Numbers (Top of Page)"/>
        <w:docPartUnique/>
      </w:docPartObj>
    </w:sdtPr>
    <w:sdtContent>
      <w:p w14:paraId="6059F576" w14:textId="59AF6DE4" w:rsidR="00007421" w:rsidRDefault="00007421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46E564" w14:textId="77777777" w:rsidR="006D1BCD" w:rsidRDefault="006D1BC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21EB"/>
    <w:multiLevelType w:val="multilevel"/>
    <w:tmpl w:val="C2888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930CD1"/>
    <w:multiLevelType w:val="hybridMultilevel"/>
    <w:tmpl w:val="B3DC80FE"/>
    <w:lvl w:ilvl="0" w:tplc="065EC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AA4C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D603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680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F01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DAC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92B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14B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689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397B95"/>
    <w:multiLevelType w:val="hybridMultilevel"/>
    <w:tmpl w:val="9DD8D62C"/>
    <w:lvl w:ilvl="0" w:tplc="0D306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0C8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725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46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022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F2D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284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482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1AB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F8D4DCD"/>
    <w:multiLevelType w:val="multilevel"/>
    <w:tmpl w:val="F3164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270287"/>
    <w:multiLevelType w:val="hybridMultilevel"/>
    <w:tmpl w:val="647A23A4"/>
    <w:lvl w:ilvl="0" w:tplc="D5E2D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CA3D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BE5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EE4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AAD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8A4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B66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ACA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428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1EF42636"/>
    <w:multiLevelType w:val="hybridMultilevel"/>
    <w:tmpl w:val="1B54B390"/>
    <w:lvl w:ilvl="0" w:tplc="44806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2A0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D243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44AC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FA5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0E4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FC3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325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E6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1B35435"/>
    <w:multiLevelType w:val="hybridMultilevel"/>
    <w:tmpl w:val="937C717E"/>
    <w:lvl w:ilvl="0" w:tplc="907C50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720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BA2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925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7879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AE31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9E3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4E8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5A9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2935BAE"/>
    <w:multiLevelType w:val="hybridMultilevel"/>
    <w:tmpl w:val="D826BC1C"/>
    <w:lvl w:ilvl="0" w:tplc="FDFAE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4E9EC0">
      <w:start w:val="13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FEB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08EF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DC5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929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C42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EE1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0EF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3FC614D"/>
    <w:multiLevelType w:val="hybridMultilevel"/>
    <w:tmpl w:val="D7381702"/>
    <w:lvl w:ilvl="0" w:tplc="0416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C319A0"/>
    <w:multiLevelType w:val="hybridMultilevel"/>
    <w:tmpl w:val="9FC6E94A"/>
    <w:lvl w:ilvl="0" w:tplc="4D8C5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4A5D0E">
      <w:start w:val="134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A8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781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50E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22E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18A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2EE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D09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D6A1A61"/>
    <w:multiLevelType w:val="hybridMultilevel"/>
    <w:tmpl w:val="4A2E454C"/>
    <w:lvl w:ilvl="0" w:tplc="DF545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A898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0C3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CAA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4C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2EC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882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229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FC6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8905F86"/>
    <w:multiLevelType w:val="hybridMultilevel"/>
    <w:tmpl w:val="A5041A94"/>
    <w:lvl w:ilvl="0" w:tplc="F1ECA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746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2A3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F08B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2EA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0E6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E29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3C0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FC1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0637579"/>
    <w:multiLevelType w:val="hybridMultilevel"/>
    <w:tmpl w:val="CD9EBC68"/>
    <w:lvl w:ilvl="0" w:tplc="6930D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503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A60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1AD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9AE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7A7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2A6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D2AC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0A8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17F11CC"/>
    <w:multiLevelType w:val="hybridMultilevel"/>
    <w:tmpl w:val="F726006C"/>
    <w:lvl w:ilvl="0" w:tplc="763A1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588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F41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E4B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2E6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A45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A83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C0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305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D3D0C61"/>
    <w:multiLevelType w:val="hybridMultilevel"/>
    <w:tmpl w:val="2C180B60"/>
    <w:lvl w:ilvl="0" w:tplc="B41C02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02C7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62BB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702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822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4A1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EAE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1E9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662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31C3AFA"/>
    <w:multiLevelType w:val="hybridMultilevel"/>
    <w:tmpl w:val="B72229F2"/>
    <w:lvl w:ilvl="0" w:tplc="819CB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A4E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3C8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D69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DC9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8C8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EC1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ACB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641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A1A15F9"/>
    <w:multiLevelType w:val="hybridMultilevel"/>
    <w:tmpl w:val="2D2EC59E"/>
    <w:lvl w:ilvl="0" w:tplc="D2C0B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C87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66D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6CA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BCD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AEF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8C4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E8F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349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2"/>
  </w:num>
  <w:num w:numId="3">
    <w:abstractNumId w:val="16"/>
  </w:num>
  <w:num w:numId="4">
    <w:abstractNumId w:val="13"/>
  </w:num>
  <w:num w:numId="5">
    <w:abstractNumId w:val="10"/>
  </w:num>
  <w:num w:numId="6">
    <w:abstractNumId w:val="9"/>
  </w:num>
  <w:num w:numId="7">
    <w:abstractNumId w:val="2"/>
  </w:num>
  <w:num w:numId="8">
    <w:abstractNumId w:val="7"/>
  </w:num>
  <w:num w:numId="9">
    <w:abstractNumId w:val="4"/>
  </w:num>
  <w:num w:numId="10">
    <w:abstractNumId w:val="6"/>
  </w:num>
  <w:num w:numId="11">
    <w:abstractNumId w:val="11"/>
  </w:num>
  <w:num w:numId="12">
    <w:abstractNumId w:val="15"/>
  </w:num>
  <w:num w:numId="13">
    <w:abstractNumId w:val="1"/>
  </w:num>
  <w:num w:numId="14">
    <w:abstractNumId w:val="14"/>
  </w:num>
  <w:num w:numId="15">
    <w:abstractNumId w:val="3"/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1E5"/>
    <w:rsid w:val="00005F99"/>
    <w:rsid w:val="00007421"/>
    <w:rsid w:val="0001065E"/>
    <w:rsid w:val="0001645E"/>
    <w:rsid w:val="00061CA2"/>
    <w:rsid w:val="000679C5"/>
    <w:rsid w:val="0008157D"/>
    <w:rsid w:val="00091DB1"/>
    <w:rsid w:val="00112599"/>
    <w:rsid w:val="00190ADD"/>
    <w:rsid w:val="00192903"/>
    <w:rsid w:val="001B3A65"/>
    <w:rsid w:val="001C2D0E"/>
    <w:rsid w:val="001D1015"/>
    <w:rsid w:val="001F5C6E"/>
    <w:rsid w:val="00224001"/>
    <w:rsid w:val="0024244F"/>
    <w:rsid w:val="00242926"/>
    <w:rsid w:val="00285626"/>
    <w:rsid w:val="002B4506"/>
    <w:rsid w:val="002B7A90"/>
    <w:rsid w:val="002E3D06"/>
    <w:rsid w:val="003370E2"/>
    <w:rsid w:val="003426FB"/>
    <w:rsid w:val="00353C72"/>
    <w:rsid w:val="00387825"/>
    <w:rsid w:val="0039752E"/>
    <w:rsid w:val="003B2A88"/>
    <w:rsid w:val="003C4F52"/>
    <w:rsid w:val="003F1EB1"/>
    <w:rsid w:val="004264A3"/>
    <w:rsid w:val="00463F4C"/>
    <w:rsid w:val="004A357A"/>
    <w:rsid w:val="004C2858"/>
    <w:rsid w:val="005216F2"/>
    <w:rsid w:val="00531858"/>
    <w:rsid w:val="005345A8"/>
    <w:rsid w:val="00545779"/>
    <w:rsid w:val="005670FB"/>
    <w:rsid w:val="00586F77"/>
    <w:rsid w:val="005A57C3"/>
    <w:rsid w:val="005F489E"/>
    <w:rsid w:val="006037C4"/>
    <w:rsid w:val="00606351"/>
    <w:rsid w:val="00623FF3"/>
    <w:rsid w:val="00632E0E"/>
    <w:rsid w:val="00653095"/>
    <w:rsid w:val="006C5C85"/>
    <w:rsid w:val="006D01E5"/>
    <w:rsid w:val="006D1BCD"/>
    <w:rsid w:val="006D359A"/>
    <w:rsid w:val="006F6611"/>
    <w:rsid w:val="0073434E"/>
    <w:rsid w:val="007678DF"/>
    <w:rsid w:val="007C0452"/>
    <w:rsid w:val="007F36B9"/>
    <w:rsid w:val="008235FA"/>
    <w:rsid w:val="00825CF0"/>
    <w:rsid w:val="00846AE0"/>
    <w:rsid w:val="008978D7"/>
    <w:rsid w:val="008D7A91"/>
    <w:rsid w:val="008E529F"/>
    <w:rsid w:val="00923C67"/>
    <w:rsid w:val="00934A96"/>
    <w:rsid w:val="00970940"/>
    <w:rsid w:val="009E654B"/>
    <w:rsid w:val="00A030E9"/>
    <w:rsid w:val="00A0345B"/>
    <w:rsid w:val="00A241CA"/>
    <w:rsid w:val="00A26A8A"/>
    <w:rsid w:val="00A859D8"/>
    <w:rsid w:val="00A95CA7"/>
    <w:rsid w:val="00B45843"/>
    <w:rsid w:val="00B462F4"/>
    <w:rsid w:val="00B70525"/>
    <w:rsid w:val="00B91E53"/>
    <w:rsid w:val="00BC2151"/>
    <w:rsid w:val="00BD4037"/>
    <w:rsid w:val="00C52E65"/>
    <w:rsid w:val="00C75D3C"/>
    <w:rsid w:val="00C76B28"/>
    <w:rsid w:val="00C76C90"/>
    <w:rsid w:val="00CA06CF"/>
    <w:rsid w:val="00CF24D6"/>
    <w:rsid w:val="00CF6992"/>
    <w:rsid w:val="00D5283F"/>
    <w:rsid w:val="00D56D86"/>
    <w:rsid w:val="00D67B2A"/>
    <w:rsid w:val="00D851A1"/>
    <w:rsid w:val="00DA2D4A"/>
    <w:rsid w:val="00DF245F"/>
    <w:rsid w:val="00E46A91"/>
    <w:rsid w:val="00E63BF2"/>
    <w:rsid w:val="00EB0D30"/>
    <w:rsid w:val="00EF2B6E"/>
    <w:rsid w:val="00F07B23"/>
    <w:rsid w:val="00F461A8"/>
    <w:rsid w:val="00F569F2"/>
    <w:rsid w:val="00F84CAF"/>
    <w:rsid w:val="00F87D14"/>
    <w:rsid w:val="00F969A9"/>
    <w:rsid w:val="00FC44C2"/>
    <w:rsid w:val="00FE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06F16"/>
  <w15:docId w15:val="{4C0EB81C-9638-4F68-99EF-8BC30A007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46A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25CF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03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30E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56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56D86"/>
  </w:style>
  <w:style w:type="paragraph" w:styleId="Cabealho">
    <w:name w:val="header"/>
    <w:basedOn w:val="Normal"/>
    <w:link w:val="CabealhoChar"/>
    <w:uiPriority w:val="99"/>
    <w:unhideWhenUsed/>
    <w:rsid w:val="006D1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1BCD"/>
  </w:style>
  <w:style w:type="paragraph" w:styleId="Rodap">
    <w:name w:val="footer"/>
    <w:basedOn w:val="Normal"/>
    <w:link w:val="RodapChar"/>
    <w:uiPriority w:val="99"/>
    <w:unhideWhenUsed/>
    <w:rsid w:val="006D1B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1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1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1655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90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1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0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3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5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9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5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77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95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0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62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77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06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72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6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1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3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863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04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3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1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1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4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996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7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307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4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273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1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35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779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75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49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7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92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90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2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5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6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5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25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525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4BACF-96AC-431D-A93B-2B6CB2D48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3419</Words>
  <Characters>18465</Characters>
  <Application>Microsoft Office Word</Application>
  <DocSecurity>0</DocSecurity>
  <Lines>153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</dc:creator>
  <cp:keywords/>
  <dc:description/>
  <cp:lastModifiedBy>Edwin Tamashiro</cp:lastModifiedBy>
  <cp:revision>5</cp:revision>
  <cp:lastPrinted>2018-03-01T13:54:00Z</cp:lastPrinted>
  <dcterms:created xsi:type="dcterms:W3CDTF">2018-06-25T02:38:00Z</dcterms:created>
  <dcterms:modified xsi:type="dcterms:W3CDTF">2018-06-25T03:30:00Z</dcterms:modified>
</cp:coreProperties>
</file>