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89" w:rsidRDefault="002A2D89" w:rsidP="00655B45">
      <w:pPr>
        <w:spacing w:after="0" w:line="240" w:lineRule="auto"/>
        <w:ind w:right="-568"/>
        <w:jc w:val="center"/>
        <w:rPr>
          <w:b/>
        </w:rPr>
      </w:pPr>
    </w:p>
    <w:p w:rsidR="002A2D89" w:rsidRDefault="002A2D89" w:rsidP="00655B45">
      <w:pPr>
        <w:spacing w:after="0" w:line="240" w:lineRule="auto"/>
        <w:ind w:right="-568"/>
        <w:jc w:val="center"/>
        <w:rPr>
          <w:b/>
        </w:rPr>
      </w:pPr>
      <w:r>
        <w:rPr>
          <w:b/>
        </w:rPr>
        <w:t>Exercício 3</w:t>
      </w:r>
    </w:p>
    <w:p w:rsidR="00655B45" w:rsidRDefault="00655B45" w:rsidP="00655B45">
      <w:pPr>
        <w:spacing w:after="0" w:line="240" w:lineRule="auto"/>
        <w:ind w:right="-568"/>
        <w:jc w:val="center"/>
        <w:rPr>
          <w:b/>
          <w:i/>
        </w:rPr>
      </w:pPr>
      <w:r w:rsidRPr="00360683">
        <w:rPr>
          <w:b/>
        </w:rPr>
        <w:t>Operações T-Norma e</w:t>
      </w:r>
      <w:r w:rsidR="002A2D89">
        <w:rPr>
          <w:b/>
        </w:rPr>
        <w:t xml:space="preserve"> </w:t>
      </w:r>
      <w:r w:rsidRPr="00360683">
        <w:rPr>
          <w:b/>
        </w:rPr>
        <w:t xml:space="preserve"> T-conorma entre conjuntos </w:t>
      </w:r>
      <w:r w:rsidRPr="00360683">
        <w:rPr>
          <w:b/>
          <w:i/>
        </w:rPr>
        <w:t>fuzzy</w:t>
      </w:r>
    </w:p>
    <w:p w:rsidR="002A2D89" w:rsidRPr="00360683" w:rsidRDefault="002A2D89" w:rsidP="00655B45">
      <w:pPr>
        <w:spacing w:after="0" w:line="240" w:lineRule="auto"/>
        <w:ind w:right="-568"/>
        <w:jc w:val="center"/>
        <w:rPr>
          <w:b/>
        </w:rPr>
      </w:pPr>
    </w:p>
    <w:p w:rsidR="00655B45" w:rsidRPr="00360683" w:rsidRDefault="00655B45" w:rsidP="002A2D89">
      <w:pPr>
        <w:spacing w:after="0" w:line="360" w:lineRule="auto"/>
        <w:jc w:val="both"/>
      </w:pPr>
      <w:r w:rsidRPr="00360683">
        <w:t xml:space="preserve">Dados os conjuntos </w:t>
      </w:r>
      <w:r w:rsidRPr="00360683">
        <w:rPr>
          <w:i/>
        </w:rPr>
        <w:t>fuzzy</w:t>
      </w:r>
      <w:r w:rsidRPr="00360683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</m:oMath>
      <w:r w:rsidRPr="00360683">
        <w:rPr>
          <w:rFonts w:eastAsiaTheme="minorEastAsia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360683">
        <w:rPr>
          <w:rFonts w:eastAsiaTheme="minorEastAsia"/>
        </w:rPr>
        <w:t xml:space="preserve"> e</w:t>
      </w:r>
      <w:r w:rsidRPr="00360683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Pr="00360683">
        <w:t xml:space="preserve">, para cada um dos operadores indicados, calcule e represente graficamente o </w:t>
      </w:r>
      <w:r w:rsidRPr="00360683">
        <w:rPr>
          <w:b/>
        </w:rPr>
        <w:t xml:space="preserve">conjunto </w:t>
      </w:r>
      <w:r w:rsidRPr="00360683">
        <w:rPr>
          <w:b/>
          <w:i/>
        </w:rPr>
        <w:t>fuzzy</w:t>
      </w:r>
      <w:r w:rsidRPr="00360683">
        <w:rPr>
          <w:b/>
        </w:rPr>
        <w:t xml:space="preserve"> resultante</w:t>
      </w:r>
      <w:r w:rsidRPr="00360683">
        <w:t xml:space="preserve"> das seguintes operações:</w:t>
      </w:r>
    </w:p>
    <w:p w:rsidR="00655B45" w:rsidRPr="00360683" w:rsidRDefault="00655B45" w:rsidP="00655B45">
      <w:pPr>
        <w:spacing w:after="0" w:line="240" w:lineRule="auto"/>
        <w:jc w:val="both"/>
      </w:pPr>
    </w:p>
    <w:p w:rsidR="00F252E9" w:rsidRPr="00360683" w:rsidRDefault="00DE05F9" w:rsidP="001904F8">
      <w:pPr>
        <w:jc w:val="both"/>
      </w:pPr>
      <w:r w:rsidRPr="00360683">
        <w:rPr>
          <w:noProof/>
          <w:lang w:eastAsia="pt-BR"/>
        </w:rPr>
        <w:drawing>
          <wp:inline distT="0" distB="0" distL="0" distR="0" wp14:anchorId="6047FB7B" wp14:editId="44878A2E">
            <wp:extent cx="2428504" cy="1579419"/>
            <wp:effectExtent l="0" t="0" r="0" b="19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360683">
        <w:t xml:space="preserve">                </w:t>
      </w:r>
      <w:r w:rsidRPr="00360683">
        <w:rPr>
          <w:noProof/>
          <w:lang w:eastAsia="pt-BR"/>
        </w:rPr>
        <w:drawing>
          <wp:inline distT="0" distB="0" distL="0" distR="0" wp14:anchorId="1ECCE127" wp14:editId="34E651DC">
            <wp:extent cx="2603224" cy="1578634"/>
            <wp:effectExtent l="19050" t="0" r="25676" b="2516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52E9" w:rsidRPr="00360683" w:rsidRDefault="00DE05F9" w:rsidP="001904F8">
      <w:pPr>
        <w:jc w:val="both"/>
      </w:pPr>
      <w:r w:rsidRPr="00360683">
        <w:rPr>
          <w:noProof/>
          <w:lang w:eastAsia="pt-BR"/>
        </w:rPr>
        <w:drawing>
          <wp:inline distT="0" distB="0" distL="0" distR="0" wp14:anchorId="02DF43B6" wp14:editId="4A3547FA">
            <wp:extent cx="2603859" cy="1742535"/>
            <wp:effectExtent l="19050" t="0" r="5991" b="0"/>
            <wp:docPr id="8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00325" cy="1828800"/>
                      <a:chOff x="0" y="0"/>
                      <a:chExt cx="2600325" cy="1828800"/>
                    </a:xfrm>
                  </a:grpSpPr>
                  <a:graphicFrame>
                    <a:nvGraphicFramePr>
                      <a:cNvPr id="16" name="Gráfico 15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6"/>
                      </a:graphicData>
                    </a:graphic>
                    <a:xfrm>
                      <a:off x="0" y="0"/>
                      <a:ext cx="2600325" cy="1828800"/>
                    </a:xfrm>
                  </a:graphicFrame>
                  <a:sp>
                    <a:nvSpPr>
                      <a:cNvPr id="19" name="CaixaDeTexto 18"/>
                      <a:cNvSpPr txBox="1"/>
                    </a:nvSpPr>
                    <a:spPr>
                      <a:xfrm>
                        <a:off x="923926" y="114300"/>
                        <a:ext cx="361950" cy="36195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sz="1800" b="1">
                              <a:ln>
                                <a:solidFill>
                                  <a:schemeClr val="bg1"/>
                                </a:solidFill>
                              </a:ln>
                            </a:rPr>
                            <a:t>C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E23AB" w:rsidRDefault="00655B45" w:rsidP="009E23AB">
      <w:pPr>
        <w:rPr>
          <w:rStyle w:val="hps"/>
          <w:rFonts w:cs="Times New Roman"/>
        </w:rPr>
      </w:pPr>
      <w:r w:rsidRPr="00360683">
        <w:t xml:space="preserve">a)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 AND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: </m:t>
        </m:r>
      </m:oMath>
      <w:r w:rsidRPr="00360683">
        <w:rPr>
          <w:rFonts w:eastAsiaTheme="minorEastAsia"/>
        </w:rPr>
        <w:t xml:space="preserve">Operadores mínimo, produto algébrico, </w:t>
      </w:r>
      <w:r w:rsidRPr="00360683">
        <w:rPr>
          <w:rStyle w:val="hps"/>
          <w:rFonts w:cs="Times New Roman"/>
        </w:rPr>
        <w:t>diferença limitada, produto drástico</w:t>
      </w:r>
      <w:r w:rsidR="00360683" w:rsidRPr="00360683">
        <w:rPr>
          <w:rStyle w:val="hps"/>
          <w:rFonts w:cs="Times New Roman"/>
        </w:rPr>
        <w:t>.</w:t>
      </w:r>
    </w:p>
    <w:p w:rsidR="002A2D89" w:rsidRPr="00360683" w:rsidRDefault="002A2D89" w:rsidP="009E23AB">
      <w:pPr>
        <w:rPr>
          <w:rStyle w:val="hps"/>
          <w:rFonts w:cs="Times New Roman"/>
        </w:rPr>
      </w:pPr>
    </w:p>
    <w:p w:rsidR="00655B45" w:rsidRDefault="00655B45" w:rsidP="00655B45">
      <w:pPr>
        <w:rPr>
          <w:rStyle w:val="hps"/>
          <w:rFonts w:cs="Times New Roman"/>
        </w:rPr>
      </w:pPr>
      <w:r w:rsidRPr="00360683">
        <w:t xml:space="preserve">b)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 AND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: </m:t>
        </m:r>
      </m:oMath>
      <w:r w:rsidRPr="00360683">
        <w:rPr>
          <w:rFonts w:eastAsiaTheme="minorEastAsia"/>
        </w:rPr>
        <w:t xml:space="preserve">Operadores mínimo, produto algébrico, </w:t>
      </w:r>
      <w:r w:rsidRPr="00360683">
        <w:rPr>
          <w:rStyle w:val="hps"/>
          <w:rFonts w:cs="Times New Roman"/>
        </w:rPr>
        <w:t>diferença limitada, produto drástico</w:t>
      </w:r>
      <w:r w:rsidR="00360683" w:rsidRPr="00360683">
        <w:rPr>
          <w:rStyle w:val="hps"/>
          <w:rFonts w:cs="Times New Roman"/>
        </w:rPr>
        <w:t>.</w:t>
      </w:r>
    </w:p>
    <w:p w:rsidR="002A2D89" w:rsidRPr="00360683" w:rsidRDefault="002A2D89" w:rsidP="00655B45">
      <w:pPr>
        <w:rPr>
          <w:rStyle w:val="hps"/>
          <w:rFonts w:cs="Times New Roman"/>
        </w:rPr>
      </w:pPr>
    </w:p>
    <w:p w:rsidR="00655B45" w:rsidRDefault="00655B45" w:rsidP="00655B45">
      <w:pPr>
        <w:rPr>
          <w:rStyle w:val="hps"/>
          <w:rFonts w:cs="Times New Roman"/>
        </w:rPr>
      </w:pPr>
      <w:r w:rsidRPr="00360683">
        <w:t xml:space="preserve">c)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 OR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: </m:t>
        </m:r>
      </m:oMath>
      <w:r w:rsidR="00360683" w:rsidRPr="00360683">
        <w:rPr>
          <w:rFonts w:eastAsiaTheme="minorEastAsia"/>
        </w:rPr>
        <w:t xml:space="preserve">Operadores </w:t>
      </w:r>
      <w:r w:rsidR="00360683" w:rsidRPr="00360683">
        <w:rPr>
          <w:rStyle w:val="hps"/>
          <w:rFonts w:cs="Times New Roman"/>
        </w:rPr>
        <w:t>máximo, soma limitada, soma drástica, soma probabilística.</w:t>
      </w:r>
    </w:p>
    <w:p w:rsidR="002A2D89" w:rsidRPr="00360683" w:rsidRDefault="002A2D89" w:rsidP="00655B45">
      <w:pPr>
        <w:rPr>
          <w:rStyle w:val="hps"/>
          <w:rFonts w:cs="Times New Roman"/>
        </w:rPr>
      </w:pPr>
    </w:p>
    <w:p w:rsidR="00360683" w:rsidRPr="00360683" w:rsidRDefault="00360683" w:rsidP="00360683">
      <w:r w:rsidRPr="00360683">
        <w:t xml:space="preserve">d)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 OR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: </m:t>
        </m:r>
      </m:oMath>
      <w:r w:rsidRPr="00360683">
        <w:rPr>
          <w:rFonts w:eastAsiaTheme="minorEastAsia"/>
        </w:rPr>
        <w:t xml:space="preserve">Operadores </w:t>
      </w:r>
      <w:r w:rsidRPr="00360683">
        <w:rPr>
          <w:rStyle w:val="hps"/>
          <w:rFonts w:cs="Times New Roman"/>
        </w:rPr>
        <w:t>máximo, soma limitada, soma drástica, soma probabilística.</w:t>
      </w:r>
    </w:p>
    <w:p w:rsidR="00360683" w:rsidRPr="00360683" w:rsidRDefault="00360683" w:rsidP="00655B45"/>
    <w:p w:rsidR="00655B45" w:rsidRPr="00360683" w:rsidRDefault="00655B45" w:rsidP="00655B45"/>
    <w:p w:rsidR="00F252E9" w:rsidRPr="00360683" w:rsidRDefault="00F252E9"/>
    <w:p w:rsidR="00927A5D" w:rsidRPr="00360683" w:rsidRDefault="00927A5D"/>
    <w:p w:rsidR="00360683" w:rsidRPr="00360683" w:rsidRDefault="00360683"/>
    <w:sectPr w:rsidR="00360683" w:rsidRPr="00360683" w:rsidSect="00360683">
      <w:pgSz w:w="11906" w:h="16838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20"/>
    <w:rsid w:val="001904F8"/>
    <w:rsid w:val="00286A20"/>
    <w:rsid w:val="002A2D89"/>
    <w:rsid w:val="00305E97"/>
    <w:rsid w:val="00357387"/>
    <w:rsid w:val="00360683"/>
    <w:rsid w:val="003E5302"/>
    <w:rsid w:val="00465AA4"/>
    <w:rsid w:val="00655B45"/>
    <w:rsid w:val="00927A5D"/>
    <w:rsid w:val="009E23AB"/>
    <w:rsid w:val="00A93608"/>
    <w:rsid w:val="00B830CB"/>
    <w:rsid w:val="00D61DE3"/>
    <w:rsid w:val="00DE05F9"/>
    <w:rsid w:val="00ED6F9B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7382"/>
  <w15:docId w15:val="{0DD23037-E188-4082-AA6E-A96E4D7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6A2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A20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65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SCO\Documents\back%20up\USP\Disserta&#231;&#227;o\numeros%20fuzz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SCO\Documents\back%20up\USP\Disserta&#231;&#227;o\numeros%20fuzz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SCO\Documents\back%20up\USP\Disserta&#231;&#227;o\numeros%20fuzz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Ã</a:t>
            </a:r>
          </a:p>
        </c:rich>
      </c:tx>
      <c:layout>
        <c:manualLayout>
          <c:xMode val="edge"/>
          <c:yMode val="edge"/>
          <c:x val="0.48163090300735356"/>
          <c:y val="7.407433186873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030183727034119E-2"/>
          <c:y val="6.0544254884806123E-2"/>
          <c:w val="0.89737270341207354"/>
          <c:h val="0.78963485212884121"/>
        </c:manualLayout>
      </c:layout>
      <c:areaChart>
        <c:grouping val="standard"/>
        <c:varyColors val="0"/>
        <c:ser>
          <c:idx val="1"/>
          <c:order val="1"/>
          <c:tx>
            <c:strRef>
              <c:f>Plan1!$C$2</c:f>
              <c:strCache>
                <c:ptCount val="1"/>
                <c:pt idx="0">
                  <c:v>Grau de pertinência</c:v>
                </c:pt>
              </c:strCache>
            </c:strRef>
          </c:tx>
          <c:spPr>
            <a:noFill/>
            <a:ln w="25400">
              <a:solidFill>
                <a:sysClr val="windowText" lastClr="000000"/>
              </a:solidFill>
            </a:ln>
          </c:spPr>
          <c:cat>
            <c:numRef>
              <c:f>Plan1!$B$3:$B$13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cat>
          <c:val>
            <c:numRef>
              <c:f>Plan1!$C$3:$C$13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0.5</c:v>
                </c:pt>
                <c:pt idx="5">
                  <c:v>0.75000000000000011</c:v>
                </c:pt>
                <c:pt idx="6">
                  <c:v>1</c:v>
                </c:pt>
                <c:pt idx="7">
                  <c:v>0.75000000000000011</c:v>
                </c:pt>
                <c:pt idx="8">
                  <c:v>0.5</c:v>
                </c:pt>
                <c:pt idx="9">
                  <c:v>0.25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4-4EEA-BC9A-223DC16B0EE1}"/>
            </c:ext>
          </c:extLst>
        </c:ser>
        <c:ser>
          <c:idx val="0"/>
          <c:order val="0"/>
          <c:tx>
            <c:strRef>
              <c:f>Plan1!$C$2</c:f>
              <c:strCache>
                <c:ptCount val="1"/>
                <c:pt idx="0">
                  <c:v>Grau de pertinência</c:v>
                </c:pt>
              </c:strCache>
            </c:strRef>
          </c:tx>
          <c:spPr>
            <a:noFill/>
            <a:ln w="25400">
              <a:solidFill>
                <a:sysClr val="windowText" lastClr="000000"/>
              </a:solidFill>
            </a:ln>
          </c:spPr>
          <c:cat>
            <c:numRef>
              <c:f>Plan1!$B$3:$B$13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cat>
          <c:val>
            <c:numRef>
              <c:f>Plan1!$C$3:$C$13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0.5</c:v>
                </c:pt>
                <c:pt idx="5">
                  <c:v>0.75000000000000011</c:v>
                </c:pt>
                <c:pt idx="6">
                  <c:v>1</c:v>
                </c:pt>
                <c:pt idx="7">
                  <c:v>0.75000000000000011</c:v>
                </c:pt>
                <c:pt idx="8">
                  <c:v>0.5</c:v>
                </c:pt>
                <c:pt idx="9">
                  <c:v>0.25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4-4EEA-BC9A-223DC16B0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4147968"/>
        <c:axId val="336537280"/>
      </c:areaChart>
      <c:catAx>
        <c:axId val="30414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6537280"/>
        <c:crosses val="autoZero"/>
        <c:auto val="1"/>
        <c:lblAlgn val="ctr"/>
        <c:lblOffset val="100"/>
        <c:noMultiLvlLbl val="0"/>
      </c:catAx>
      <c:valAx>
        <c:axId val="336537280"/>
        <c:scaling>
          <c:orientation val="minMax"/>
          <c:max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147968"/>
        <c:crosses val="autoZero"/>
        <c:crossBetween val="midCat"/>
        <c:majorUnit val="0.2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</a:t>
            </a:r>
          </a:p>
        </c:rich>
      </c:tx>
      <c:layout>
        <c:manualLayout>
          <c:xMode val="edge"/>
          <c:yMode val="edge"/>
          <c:x val="0.29091349803167155"/>
          <c:y val="9.80847998966195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417159250770199E-2"/>
          <c:y val="7.9395353358607992E-2"/>
          <c:w val="0.77211027556599054"/>
          <c:h val="0.73337961807486751"/>
        </c:manualLayout>
      </c:layout>
      <c:areaChart>
        <c:grouping val="standard"/>
        <c:varyColors val="0"/>
        <c:ser>
          <c:idx val="1"/>
          <c:order val="1"/>
          <c:tx>
            <c:strRef>
              <c:f>Plan1!$C$18</c:f>
              <c:strCache>
                <c:ptCount val="1"/>
                <c:pt idx="0">
                  <c:v>Grau de pertinência</c:v>
                </c:pt>
              </c:strCache>
            </c:strRef>
          </c:tx>
          <c:spPr>
            <a:noFill/>
            <a:ln w="25400">
              <a:solidFill>
                <a:sysClr val="windowText" lastClr="000000"/>
              </a:solidFill>
            </a:ln>
          </c:spPr>
          <c:cat>
            <c:numRef>
              <c:f>Plan1!$B$3:$B$13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cat>
          <c:val>
            <c:numRef>
              <c:f>Plan1!$C$19:$C$29</c:f>
              <c:numCache>
                <c:formatCode>General</c:formatCode>
                <c:ptCount val="1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0.75000000000000011</c:v>
                </c:pt>
                <c:pt idx="4">
                  <c:v>1</c:v>
                </c:pt>
                <c:pt idx="5">
                  <c:v>0.75000000000000011</c:v>
                </c:pt>
                <c:pt idx="6">
                  <c:v>0.5</c:v>
                </c:pt>
                <c:pt idx="7">
                  <c:v>0.25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1-4C9E-9E3A-11A7DEF5E592}"/>
            </c:ext>
          </c:extLst>
        </c:ser>
        <c:ser>
          <c:idx val="0"/>
          <c:order val="0"/>
          <c:tx>
            <c:strRef>
              <c:f>Plan1!$C$18</c:f>
              <c:strCache>
                <c:ptCount val="1"/>
                <c:pt idx="0">
                  <c:v>Grau de pertinência</c:v>
                </c:pt>
              </c:strCache>
            </c:strRef>
          </c:tx>
          <c:spPr>
            <a:noFill/>
            <a:ln w="25400">
              <a:solidFill>
                <a:sysClr val="windowText" lastClr="000000"/>
              </a:solidFill>
            </a:ln>
          </c:spPr>
          <c:cat>
            <c:numRef>
              <c:f>Plan1!$B$3:$B$13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cat>
          <c:val>
            <c:numRef>
              <c:f>Plan1!$C$19:$C$29</c:f>
              <c:numCache>
                <c:formatCode>General</c:formatCode>
                <c:ptCount val="1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0.75000000000000011</c:v>
                </c:pt>
                <c:pt idx="4">
                  <c:v>1</c:v>
                </c:pt>
                <c:pt idx="5">
                  <c:v>0.75000000000000011</c:v>
                </c:pt>
                <c:pt idx="6">
                  <c:v>0.5</c:v>
                </c:pt>
                <c:pt idx="7">
                  <c:v>0.25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1-4C9E-9E3A-11A7DEF5E5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7383808"/>
        <c:axId val="336540160"/>
      </c:areaChart>
      <c:catAx>
        <c:axId val="34738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6540160"/>
        <c:crosses val="autoZero"/>
        <c:auto val="1"/>
        <c:lblAlgn val="ctr"/>
        <c:lblOffset val="100"/>
        <c:noMultiLvlLbl val="0"/>
      </c:catAx>
      <c:valAx>
        <c:axId val="336540160"/>
        <c:scaling>
          <c:orientation val="minMax"/>
          <c:max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83808"/>
        <c:crosses val="autoZero"/>
        <c:crossBetween val="midCat"/>
        <c:majorUnit val="0.2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002187226596672E-2"/>
          <c:y val="5.1400554097404488E-2"/>
          <c:w val="0.7969678637731259"/>
          <c:h val="0.7719935008123987"/>
        </c:manualLayout>
      </c:layout>
      <c:areaChart>
        <c:grouping val="standard"/>
        <c:varyColors val="0"/>
        <c:ser>
          <c:idx val="0"/>
          <c:order val="0"/>
          <c:tx>
            <c:strRef>
              <c:f>Plan1!$O$2</c:f>
              <c:strCache>
                <c:ptCount val="1"/>
                <c:pt idx="0">
                  <c:v>Grau de pertinência</c:v>
                </c:pt>
              </c:strCache>
            </c:strRef>
          </c:tx>
          <c:spPr>
            <a:noFill/>
            <a:ln w="25400">
              <a:solidFill>
                <a:sysClr val="windowText" lastClr="000000"/>
              </a:solidFill>
            </a:ln>
          </c:spPr>
          <c:cat>
            <c:numRef>
              <c:f>Plan1!$N$3:$N$13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cat>
          <c:val>
            <c:numRef>
              <c:f>Plan1!$O$3:$O$13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</c:v>
                </c:pt>
                <c:pt idx="7">
                  <c:v>0.75</c:v>
                </c:pt>
                <c:pt idx="8">
                  <c:v>0.5</c:v>
                </c:pt>
                <c:pt idx="9">
                  <c:v>0.25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22-440E-925C-BB6D456B6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920576"/>
        <c:axId val="336541888"/>
      </c:areaChart>
      <c:catAx>
        <c:axId val="33692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6541888"/>
        <c:crosses val="autoZero"/>
        <c:auto val="1"/>
        <c:lblAlgn val="ctr"/>
        <c:lblOffset val="100"/>
        <c:noMultiLvlLbl val="0"/>
      </c:catAx>
      <c:valAx>
        <c:axId val="336541888"/>
        <c:scaling>
          <c:orientation val="minMax"/>
          <c:max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6920576"/>
        <c:crosses val="autoZero"/>
        <c:crossBetween val="midCat"/>
        <c:majorUnit val="0.2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Luiz Cesar Carpinetti</cp:lastModifiedBy>
  <cp:revision>3</cp:revision>
  <dcterms:created xsi:type="dcterms:W3CDTF">2016-05-06T19:59:00Z</dcterms:created>
  <dcterms:modified xsi:type="dcterms:W3CDTF">2020-04-30T18:01:00Z</dcterms:modified>
</cp:coreProperties>
</file>