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14" w:rsidRDefault="00542E8B">
      <w:pPr>
        <w:spacing w:after="0" w:line="240" w:lineRule="auto"/>
        <w:ind w:left="1134"/>
        <w:rPr>
          <w:sz w:val="16"/>
          <w:szCs w:val="16"/>
        </w:rPr>
      </w:pPr>
      <w:bookmarkStart w:id="0" w:name="_GoBack"/>
      <w:bookmarkEnd w:id="0"/>
      <w:r>
        <w:rPr>
          <w:rFonts w:ascii="Trebuchet MS" w:eastAsia="Trebuchet MS" w:hAnsi="Trebuchet MS" w:cs="Trebuchet MS"/>
          <w:b/>
          <w:color w:val="7E5439"/>
          <w:sz w:val="40"/>
          <w:szCs w:val="40"/>
        </w:rPr>
        <w:t xml:space="preserve">Um quarto de século de regimes cambiais na América Latina </w:t>
      </w:r>
    </w:p>
    <w:p w:rsidR="00CA5614" w:rsidRDefault="00CA5614">
      <w:pPr>
        <w:spacing w:after="0"/>
        <w:rPr>
          <w:sz w:val="20"/>
          <w:szCs w:val="20"/>
        </w:rPr>
      </w:pPr>
    </w:p>
    <w:p w:rsidR="00CA5614" w:rsidRDefault="00CA5614">
      <w:pPr>
        <w:spacing w:after="0"/>
        <w:rPr>
          <w:sz w:val="20"/>
          <w:szCs w:val="20"/>
        </w:rPr>
      </w:pPr>
    </w:p>
    <w:p w:rsidR="00CA5614" w:rsidRDefault="00542E8B">
      <w:pPr>
        <w:spacing w:before="31" w:after="0" w:line="240" w:lineRule="auto"/>
        <w:ind w:left="1134" w:right="184"/>
        <w:rPr>
          <w:rFonts w:ascii="Trebuchet MS" w:eastAsia="Trebuchet MS" w:hAnsi="Trebuchet MS" w:cs="Trebuchet MS"/>
        </w:rPr>
      </w:pPr>
      <w:r>
        <w:rPr>
          <w:rFonts w:ascii="Trebuchet MS" w:eastAsia="Trebuchet MS" w:hAnsi="Trebuchet MS" w:cs="Trebuchet MS"/>
          <w:b/>
          <w:color w:val="7E5439"/>
        </w:rPr>
        <w:t>Amaury Patrick Gremaud</w:t>
      </w:r>
    </w:p>
    <w:p w:rsidR="00CA5614" w:rsidRDefault="00542E8B">
      <w:pPr>
        <w:spacing w:after="0"/>
        <w:ind w:left="1134" w:right="184"/>
        <w:rPr>
          <w:rFonts w:ascii="Trebuchet MS" w:eastAsia="Trebuchet MS" w:hAnsi="Trebuchet MS" w:cs="Trebuchet MS"/>
        </w:rPr>
      </w:pPr>
      <w:r>
        <w:rPr>
          <w:rFonts w:ascii="Trebuchet MS" w:eastAsia="Trebuchet MS" w:hAnsi="Trebuchet MS" w:cs="Trebuchet MS"/>
          <w:b/>
          <w:color w:val="7E5439"/>
        </w:rPr>
        <w:t>Márcio Bobik Braga</w:t>
      </w:r>
    </w:p>
    <w:p w:rsidR="00CA5614" w:rsidRDefault="00CA5614">
      <w:pPr>
        <w:spacing w:before="1" w:after="0"/>
        <w:rPr>
          <w:sz w:val="10"/>
          <w:szCs w:val="10"/>
        </w:rPr>
      </w:pPr>
    </w:p>
    <w:p w:rsidR="00CA5614" w:rsidRDefault="00CA5614">
      <w:pPr>
        <w:spacing w:after="0"/>
        <w:rPr>
          <w:sz w:val="20"/>
          <w:szCs w:val="20"/>
        </w:rPr>
      </w:pPr>
    </w:p>
    <w:p w:rsidR="00CA5614" w:rsidRDefault="00542E8B">
      <w:pPr>
        <w:tabs>
          <w:tab w:val="left" w:pos="960"/>
        </w:tabs>
        <w:spacing w:after="0" w:line="240" w:lineRule="auto"/>
        <w:ind w:left="1134" w:right="-20"/>
        <w:rPr>
          <w:rFonts w:ascii="Trebuchet MS" w:eastAsia="Trebuchet MS" w:hAnsi="Trebuchet MS" w:cs="Trebuchet MS"/>
          <w:sz w:val="24"/>
          <w:szCs w:val="24"/>
        </w:rPr>
      </w:pPr>
      <w:r>
        <w:rPr>
          <w:rFonts w:ascii="Trebuchet MS" w:eastAsia="Trebuchet MS" w:hAnsi="Trebuchet MS" w:cs="Trebuchet MS"/>
          <w:b/>
          <w:color w:val="7E5439"/>
          <w:sz w:val="24"/>
          <w:szCs w:val="24"/>
        </w:rPr>
        <w:t>5.1 Introdução</w:t>
      </w:r>
    </w:p>
    <w:p w:rsidR="00CA5614" w:rsidRDefault="00CA5614">
      <w:pPr>
        <w:spacing w:after="0" w:line="250" w:lineRule="auto"/>
        <w:ind w:left="1134" w:right="1196" w:firstLine="510"/>
        <w:jc w:val="both"/>
        <w:rPr>
          <w:sz w:val="10"/>
          <w:szCs w:val="10"/>
        </w:rPr>
      </w:pPr>
    </w:p>
    <w:p w:rsidR="00CA5614" w:rsidRDefault="00542E8B">
      <w:pPr>
        <w:spacing w:after="0" w:line="250" w:lineRule="auto"/>
        <w:ind w:left="113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Ao longo dos últimos 25 anos da última década do século XX aos dias de hoje, várias experiências com políticas cambiais foram observadas em diversos países da América Latina. Tais experiências, além de servirem como referência para estudos sobre o comporta</w:t>
      </w:r>
      <w:r>
        <w:rPr>
          <w:rFonts w:ascii="Times New Roman" w:eastAsia="Times New Roman" w:hAnsi="Times New Roman" w:cs="Times New Roman"/>
          <w:color w:val="231F20"/>
          <w:sz w:val="23"/>
          <w:szCs w:val="23"/>
        </w:rPr>
        <w:t>mento da taxa de câmbio, colocaram em destaque pelo menos duas questões: i) as opções de políticas de estabilização, as chamadas “âncoras cambiais” e ii) a capacidade dos países em adotarem os possíveis regimes cambiais. Por outro lado, o debate sobre a ex</w:t>
      </w:r>
      <w:r>
        <w:rPr>
          <w:rFonts w:ascii="Times New Roman" w:eastAsia="Times New Roman" w:hAnsi="Times New Roman" w:cs="Times New Roman"/>
          <w:color w:val="231F20"/>
          <w:sz w:val="23"/>
          <w:szCs w:val="23"/>
        </w:rPr>
        <w:t xml:space="preserve">periência cambial na América Latina reacende a discussão sobre as dificuldades de se escolher entre diferentes regimes cambiais em ambientes de grande instabilidade financeira. </w:t>
      </w:r>
    </w:p>
    <w:p w:rsidR="00CA5614" w:rsidRDefault="00542E8B">
      <w:pPr>
        <w:spacing w:before="22"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Se tomarmos a classificação dos regimes cambiais dos países latino-americanos </w:t>
      </w:r>
      <w:r>
        <w:rPr>
          <w:rFonts w:ascii="Times New Roman" w:eastAsia="Times New Roman" w:hAnsi="Times New Roman" w:cs="Times New Roman"/>
          <w:color w:val="231F20"/>
          <w:sz w:val="23"/>
          <w:szCs w:val="23"/>
        </w:rPr>
        <w:t>feita pelo FMI em 2014, mesmo que se possa divergir sobre a classificação adotada pelo FMI, vemos grande diversidade de experiências.</w:t>
      </w:r>
    </w:p>
    <w:p w:rsidR="00CA5614" w:rsidRDefault="00CA5614">
      <w:pPr>
        <w:spacing w:before="22" w:after="0" w:line="245" w:lineRule="auto"/>
        <w:ind w:left="1094" w:right="1196" w:firstLine="510"/>
        <w:jc w:val="both"/>
        <w:rPr>
          <w:rFonts w:ascii="Times New Roman" w:eastAsia="Times New Roman" w:hAnsi="Times New Roman" w:cs="Times New Roman"/>
          <w:color w:val="231F20"/>
          <w:sz w:val="18"/>
          <w:szCs w:val="18"/>
        </w:rPr>
      </w:pPr>
    </w:p>
    <w:p w:rsidR="00CA5614" w:rsidRDefault="00542E8B">
      <w:pPr>
        <w:spacing w:before="22" w:after="0" w:line="245" w:lineRule="auto"/>
        <w:ind w:left="1094" w:right="1196" w:firstLine="510"/>
        <w:jc w:val="both"/>
        <w:rPr>
          <w:rFonts w:ascii="Times New Roman" w:eastAsia="Times New Roman" w:hAnsi="Times New Roman" w:cs="Times New Roman"/>
          <w:color w:val="231F20"/>
          <w:sz w:val="24"/>
          <w:szCs w:val="24"/>
        </w:rPr>
      </w:pPr>
      <w:r>
        <w:rPr>
          <w:rFonts w:ascii="Times New Roman" w:eastAsia="Times New Roman" w:hAnsi="Times New Roman" w:cs="Times New Roman"/>
          <w:b/>
          <w:color w:val="231F20"/>
          <w:sz w:val="24"/>
          <w:szCs w:val="24"/>
        </w:rPr>
        <w:t>Regimes cambiais dos países latino americanos em 2014.</w:t>
      </w:r>
    </w:p>
    <w:p w:rsidR="00CA5614" w:rsidRDefault="00542E8B">
      <w:pPr>
        <w:spacing w:before="22" w:after="0" w:line="245" w:lineRule="auto"/>
        <w:ind w:right="1196" w:firstLine="720"/>
        <w:jc w:val="center"/>
        <w:rPr>
          <w:rFonts w:ascii="Times New Roman" w:eastAsia="Times New Roman" w:hAnsi="Times New Roman" w:cs="Times New Roman"/>
          <w:sz w:val="23"/>
          <w:szCs w:val="23"/>
        </w:rPr>
      </w:pPr>
      <w:r>
        <w:rPr>
          <w:noProof/>
        </w:rPr>
        <w:drawing>
          <wp:inline distT="0" distB="0" distL="114300" distR="114300">
            <wp:extent cx="4173220" cy="260858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173220" cy="2608580"/>
                    </a:xfrm>
                    <a:prstGeom prst="rect">
                      <a:avLst/>
                    </a:prstGeom>
                    <a:ln/>
                  </pic:spPr>
                </pic:pic>
              </a:graphicData>
            </a:graphic>
          </wp:inline>
        </w:drawing>
      </w:r>
    </w:p>
    <w:p w:rsidR="00CA5614" w:rsidRDefault="00542E8B">
      <w:pPr>
        <w:spacing w:before="22" w:after="0" w:line="245" w:lineRule="auto"/>
        <w:ind w:left="720" w:right="1196"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Fonte: FMI (2014)</w:t>
      </w:r>
    </w:p>
    <w:p w:rsidR="00CA5614" w:rsidRDefault="00542E8B">
      <w:pPr>
        <w:spacing w:before="22" w:after="0" w:line="245" w:lineRule="auto"/>
        <w:ind w:right="1196"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ab/>
      </w:r>
      <w:r>
        <w:rPr>
          <w:rFonts w:ascii="Times New Roman" w:eastAsia="Times New Roman" w:hAnsi="Times New Roman" w:cs="Times New Roman"/>
          <w:sz w:val="23"/>
          <w:szCs w:val="23"/>
        </w:rPr>
        <w:tab/>
      </w:r>
    </w:p>
    <w:p w:rsidR="00CA5614" w:rsidRDefault="00542E8B">
      <w:pPr>
        <w:spacing w:before="22"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Ao longo dos últimos anos existiram mudanças importantes, alguns regimes desapareceram - como o de bandas cambiais -, outros diminuíram de importância - os de câmbio fixo - e alguns aumentaram de importância, como foi o caso dos regimes de flutuação. </w:t>
      </w:r>
    </w:p>
    <w:p w:rsidR="00CA5614" w:rsidRDefault="00542E8B">
      <w:pPr>
        <w:spacing w:before="22" w:after="0" w:line="245" w:lineRule="auto"/>
        <w:ind w:left="1094" w:right="1196"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O pr</w:t>
      </w:r>
      <w:r>
        <w:rPr>
          <w:rFonts w:ascii="Times New Roman" w:eastAsia="Times New Roman" w:hAnsi="Times New Roman" w:cs="Times New Roman"/>
          <w:color w:val="231F20"/>
          <w:sz w:val="23"/>
          <w:szCs w:val="23"/>
        </w:rPr>
        <w:t>esente capítulo tem por objetivo sintetizar esta alternância de regimes cambiais utilizados nos países latino-americanos bem como as suas consequências  e implicações</w:t>
      </w:r>
      <w:r>
        <w:rPr>
          <w:rFonts w:ascii="Times New Roman" w:eastAsia="Times New Roman" w:hAnsi="Times New Roman" w:cs="Times New Roman"/>
          <w:sz w:val="23"/>
          <w:szCs w:val="23"/>
        </w:rPr>
        <w:t>.</w:t>
      </w:r>
    </w:p>
    <w:p w:rsidR="00CA5614" w:rsidRDefault="00CA5614">
      <w:pPr>
        <w:spacing w:before="3" w:after="0"/>
        <w:rPr>
          <w:sz w:val="11"/>
          <w:szCs w:val="11"/>
        </w:rPr>
      </w:pPr>
    </w:p>
    <w:p w:rsidR="00CA5614" w:rsidRDefault="00CA5614">
      <w:pPr>
        <w:spacing w:after="0"/>
        <w:rPr>
          <w:sz w:val="20"/>
          <w:szCs w:val="20"/>
        </w:rPr>
      </w:pPr>
    </w:p>
    <w:p w:rsidR="00CA5614" w:rsidRDefault="00CA5614">
      <w:pPr>
        <w:spacing w:after="0"/>
        <w:rPr>
          <w:sz w:val="20"/>
          <w:szCs w:val="20"/>
        </w:rPr>
      </w:pPr>
    </w:p>
    <w:p w:rsidR="00CA5614" w:rsidRDefault="00542E8B">
      <w:pPr>
        <w:tabs>
          <w:tab w:val="left" w:pos="1940"/>
        </w:tabs>
        <w:spacing w:after="0" w:line="240" w:lineRule="auto"/>
        <w:ind w:left="1094" w:right="-20"/>
        <w:rPr>
          <w:rFonts w:ascii="Trebuchet MS" w:eastAsia="Trebuchet MS" w:hAnsi="Trebuchet MS" w:cs="Trebuchet MS"/>
          <w:sz w:val="24"/>
          <w:szCs w:val="24"/>
        </w:rPr>
      </w:pPr>
      <w:r>
        <w:rPr>
          <w:rFonts w:ascii="Trebuchet MS" w:eastAsia="Trebuchet MS" w:hAnsi="Trebuchet MS" w:cs="Trebuchet MS"/>
          <w:b/>
          <w:color w:val="7E5439"/>
          <w:sz w:val="24"/>
          <w:szCs w:val="24"/>
        </w:rPr>
        <w:t>5.2 Os regimes cambiais e a abertura financeira</w:t>
      </w:r>
    </w:p>
    <w:p w:rsidR="00CA5614" w:rsidRDefault="00CA5614">
      <w:pPr>
        <w:spacing w:before="2" w:after="0"/>
        <w:rPr>
          <w:sz w:val="10"/>
          <w:szCs w:val="10"/>
        </w:rPr>
      </w:pP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Como visto no capítulo anterior, ent</w:t>
      </w:r>
      <w:r>
        <w:rPr>
          <w:rFonts w:ascii="Times New Roman" w:eastAsia="Times New Roman" w:hAnsi="Times New Roman" w:cs="Times New Roman"/>
          <w:color w:val="231F20"/>
          <w:sz w:val="23"/>
          <w:szCs w:val="23"/>
        </w:rPr>
        <w:t>ende-se por regime cambial o conjunto de regras e instituições que regulam o funcionamento do mercado cambial. Dentre essas regras, um conjunto delas define a forma como os preços (as taxas de câmbio) se formam, outro conjunto estabelece qual a possibilida</w:t>
      </w:r>
      <w:r>
        <w:rPr>
          <w:rFonts w:ascii="Times New Roman" w:eastAsia="Times New Roman" w:hAnsi="Times New Roman" w:cs="Times New Roman"/>
          <w:color w:val="231F20"/>
          <w:sz w:val="23"/>
          <w:szCs w:val="23"/>
        </w:rPr>
        <w:t>de de acesso de residentes de um país às moedas, títulos e ações de outros países.</w:t>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Nesse último sentido, a total abertura do mercado cambial e a livre transação entre moedas se contrapõem a um sistema que impõe limites às transações de residentes de um paí</w:t>
      </w:r>
      <w:r>
        <w:rPr>
          <w:rFonts w:ascii="Times New Roman" w:eastAsia="Times New Roman" w:hAnsi="Times New Roman" w:cs="Times New Roman"/>
          <w:color w:val="231F20"/>
          <w:sz w:val="23"/>
          <w:szCs w:val="23"/>
        </w:rPr>
        <w:t xml:space="preserve">s com a moeda de outros países. O quadro abaixo apresenta as opções entre um sistema com conversibilidade restrita ou plena conversibilidade.  </w:t>
      </w:r>
    </w:p>
    <w:p w:rsidR="00CA5614" w:rsidRDefault="00CA5614">
      <w:pPr>
        <w:spacing w:after="0"/>
        <w:ind w:left="1094" w:right="1196" w:firstLine="510"/>
        <w:jc w:val="both"/>
        <w:rPr>
          <w:rFonts w:ascii="Times New Roman" w:eastAsia="Times New Roman" w:hAnsi="Times New Roman" w:cs="Times New Roman"/>
          <w:sz w:val="23"/>
          <w:szCs w:val="23"/>
        </w:rPr>
      </w:pPr>
    </w:p>
    <w:p w:rsidR="00CA5614" w:rsidRDefault="00542E8B">
      <w:pPr>
        <w:spacing w:after="0"/>
        <w:ind w:left="1094" w:right="1196" w:firstLine="510"/>
        <w:jc w:val="center"/>
        <w:rPr>
          <w:rFonts w:ascii="Times New Roman" w:eastAsia="Times New Roman" w:hAnsi="Times New Roman" w:cs="Times New Roman"/>
          <w:sz w:val="23"/>
          <w:szCs w:val="23"/>
        </w:rPr>
      </w:pPr>
      <w:r>
        <w:rPr>
          <w:rFonts w:ascii="Times New Roman" w:eastAsia="Times New Roman" w:hAnsi="Times New Roman" w:cs="Times New Roman"/>
          <w:b/>
          <w:sz w:val="24"/>
          <w:szCs w:val="24"/>
        </w:rPr>
        <w:t>Regimes cambias: diferentes possibilidades</w:t>
      </w:r>
    </w:p>
    <w:tbl>
      <w:tblPr>
        <w:tblStyle w:val="a"/>
        <w:tblW w:w="5200" w:type="dxa"/>
        <w:jc w:val="center"/>
        <w:tblInd w:w="0" w:type="dxa"/>
        <w:tblLayout w:type="fixed"/>
        <w:tblLook w:val="0000" w:firstRow="0" w:lastRow="0" w:firstColumn="0" w:lastColumn="0" w:noHBand="0" w:noVBand="0"/>
      </w:tblPr>
      <w:tblGrid>
        <w:gridCol w:w="1080"/>
        <w:gridCol w:w="1320"/>
        <w:gridCol w:w="1626"/>
        <w:gridCol w:w="1174"/>
      </w:tblGrid>
      <w:tr w:rsidR="00CA5614">
        <w:trPr>
          <w:trHeight w:val="315"/>
          <w:jc w:val="center"/>
        </w:trPr>
        <w:tc>
          <w:tcPr>
            <w:tcW w:w="2400" w:type="dxa"/>
            <w:gridSpan w:val="2"/>
            <w:vMerge w:val="restart"/>
            <w:tcBorders>
              <w:top w:val="single" w:sz="8" w:space="0" w:color="000000"/>
              <w:left w:val="single" w:sz="8" w:space="0" w:color="000000"/>
              <w:bottom w:val="single" w:sz="8" w:space="0" w:color="000000"/>
              <w:right w:val="single" w:sz="8" w:space="0" w:color="000000"/>
            </w:tcBorders>
          </w:tcPr>
          <w:p w:rsidR="00CA5614" w:rsidRDefault="00542E8B">
            <w:pPr>
              <w:spacing w:after="0" w:line="240" w:lineRule="auto"/>
              <w:jc w:val="center"/>
              <w:rPr>
                <w:sz w:val="24"/>
                <w:szCs w:val="24"/>
              </w:rPr>
            </w:pPr>
            <w:r>
              <w:rPr>
                <w:sz w:val="24"/>
                <w:szCs w:val="24"/>
              </w:rPr>
              <w:t> </w:t>
            </w:r>
          </w:p>
        </w:tc>
        <w:tc>
          <w:tcPr>
            <w:tcW w:w="2800" w:type="dxa"/>
            <w:gridSpan w:val="2"/>
            <w:tcBorders>
              <w:top w:val="single" w:sz="8" w:space="0" w:color="000000"/>
              <w:left w:val="nil"/>
              <w:bottom w:val="single" w:sz="4" w:space="0" w:color="000000"/>
              <w:right w:val="single" w:sz="8" w:space="0" w:color="000000"/>
            </w:tcBorders>
            <w:vAlign w:val="center"/>
          </w:tcPr>
          <w:p w:rsidR="00CA5614" w:rsidRDefault="00542E8B">
            <w:pPr>
              <w:spacing w:after="0" w:line="240" w:lineRule="auto"/>
              <w:jc w:val="center"/>
              <w:rPr>
                <w:sz w:val="24"/>
                <w:szCs w:val="24"/>
              </w:rPr>
            </w:pPr>
            <w:r>
              <w:rPr>
                <w:sz w:val="24"/>
                <w:szCs w:val="24"/>
              </w:rPr>
              <w:t>Quanto à conversibilidade</w:t>
            </w:r>
          </w:p>
        </w:tc>
      </w:tr>
      <w:tr w:rsidR="00CA5614">
        <w:trPr>
          <w:trHeight w:val="330"/>
          <w:jc w:val="center"/>
        </w:trPr>
        <w:tc>
          <w:tcPr>
            <w:tcW w:w="2400" w:type="dxa"/>
            <w:gridSpan w:val="2"/>
            <w:vMerge/>
            <w:tcBorders>
              <w:top w:val="single" w:sz="8" w:space="0" w:color="000000"/>
              <w:left w:val="single" w:sz="8" w:space="0" w:color="000000"/>
              <w:bottom w:val="single" w:sz="8" w:space="0" w:color="000000"/>
              <w:right w:val="single" w:sz="8" w:space="0" w:color="000000"/>
            </w:tcBorders>
          </w:tcPr>
          <w:p w:rsidR="00CA5614" w:rsidRDefault="00CA5614">
            <w:pPr>
              <w:pBdr>
                <w:top w:val="nil"/>
                <w:left w:val="nil"/>
                <w:bottom w:val="nil"/>
                <w:right w:val="nil"/>
                <w:between w:val="nil"/>
              </w:pBdr>
              <w:spacing w:after="0"/>
              <w:rPr>
                <w:sz w:val="24"/>
                <w:szCs w:val="24"/>
              </w:rPr>
            </w:pPr>
          </w:p>
        </w:tc>
        <w:tc>
          <w:tcPr>
            <w:tcW w:w="1626" w:type="dxa"/>
            <w:tcBorders>
              <w:top w:val="nil"/>
              <w:left w:val="nil"/>
              <w:bottom w:val="single" w:sz="6" w:space="0" w:color="000000"/>
              <w:right w:val="single" w:sz="4" w:space="0" w:color="000000"/>
            </w:tcBorders>
          </w:tcPr>
          <w:p w:rsidR="00CA5614" w:rsidRDefault="00542E8B">
            <w:pPr>
              <w:spacing w:after="0" w:line="240" w:lineRule="auto"/>
              <w:jc w:val="center"/>
              <w:rPr>
                <w:sz w:val="24"/>
                <w:szCs w:val="24"/>
              </w:rPr>
            </w:pPr>
            <w:r>
              <w:rPr>
                <w:sz w:val="24"/>
                <w:szCs w:val="24"/>
              </w:rPr>
              <w:t>c) Restrita</w:t>
            </w:r>
          </w:p>
        </w:tc>
        <w:tc>
          <w:tcPr>
            <w:tcW w:w="1174" w:type="dxa"/>
            <w:tcBorders>
              <w:top w:val="nil"/>
              <w:left w:val="nil"/>
              <w:bottom w:val="single" w:sz="6" w:space="0" w:color="000000"/>
              <w:right w:val="single" w:sz="8" w:space="0" w:color="000000"/>
            </w:tcBorders>
          </w:tcPr>
          <w:p w:rsidR="00CA5614" w:rsidRDefault="00542E8B">
            <w:pPr>
              <w:spacing w:after="0" w:line="240" w:lineRule="auto"/>
              <w:jc w:val="center"/>
              <w:rPr>
                <w:sz w:val="24"/>
                <w:szCs w:val="24"/>
              </w:rPr>
            </w:pPr>
            <w:r>
              <w:rPr>
                <w:sz w:val="24"/>
                <w:szCs w:val="24"/>
              </w:rPr>
              <w:t>d) Plena</w:t>
            </w:r>
          </w:p>
        </w:tc>
      </w:tr>
      <w:tr w:rsidR="00CA5614">
        <w:trPr>
          <w:trHeight w:val="735"/>
          <w:jc w:val="center"/>
        </w:trPr>
        <w:tc>
          <w:tcPr>
            <w:tcW w:w="1080" w:type="dxa"/>
            <w:vMerge w:val="restart"/>
            <w:tcBorders>
              <w:top w:val="nil"/>
              <w:left w:val="single" w:sz="8" w:space="0" w:color="000000"/>
              <w:bottom w:val="single" w:sz="8" w:space="0" w:color="000000"/>
              <w:right w:val="nil"/>
            </w:tcBorders>
            <w:vAlign w:val="center"/>
          </w:tcPr>
          <w:p w:rsidR="00CA5614" w:rsidRDefault="00542E8B">
            <w:pPr>
              <w:spacing w:after="0" w:line="240" w:lineRule="auto"/>
              <w:jc w:val="center"/>
              <w:rPr>
                <w:sz w:val="24"/>
                <w:szCs w:val="24"/>
              </w:rPr>
            </w:pPr>
            <w:r>
              <w:rPr>
                <w:sz w:val="24"/>
                <w:szCs w:val="24"/>
              </w:rPr>
              <w:t>Quanto à formação de preços</w:t>
            </w:r>
          </w:p>
        </w:tc>
        <w:tc>
          <w:tcPr>
            <w:tcW w:w="1320" w:type="dxa"/>
            <w:tcBorders>
              <w:top w:val="nil"/>
              <w:left w:val="single" w:sz="4" w:space="0" w:color="000000"/>
              <w:bottom w:val="nil"/>
              <w:right w:val="single" w:sz="6" w:space="0" w:color="000000"/>
            </w:tcBorders>
            <w:vAlign w:val="center"/>
          </w:tcPr>
          <w:p w:rsidR="00CA5614" w:rsidRDefault="00542E8B">
            <w:pPr>
              <w:spacing w:after="0" w:line="240" w:lineRule="auto"/>
              <w:jc w:val="center"/>
              <w:rPr>
                <w:sz w:val="24"/>
                <w:szCs w:val="24"/>
              </w:rPr>
            </w:pPr>
            <w:r>
              <w:rPr>
                <w:sz w:val="24"/>
                <w:szCs w:val="24"/>
              </w:rPr>
              <w:t>a)Fixo</w:t>
            </w:r>
          </w:p>
        </w:tc>
        <w:tc>
          <w:tcPr>
            <w:tcW w:w="1626" w:type="dxa"/>
            <w:tcBorders>
              <w:top w:val="nil"/>
              <w:left w:val="nil"/>
              <w:bottom w:val="single" w:sz="4" w:space="0" w:color="000000"/>
              <w:right w:val="single" w:sz="4" w:space="0" w:color="000000"/>
            </w:tcBorders>
            <w:vAlign w:val="center"/>
          </w:tcPr>
          <w:p w:rsidR="00CA5614" w:rsidRDefault="00542E8B">
            <w:pPr>
              <w:spacing w:after="0" w:line="240" w:lineRule="auto"/>
              <w:jc w:val="center"/>
              <w:rPr>
                <w:sz w:val="24"/>
                <w:szCs w:val="24"/>
              </w:rPr>
            </w:pPr>
            <w:r>
              <w:rPr>
                <w:sz w:val="24"/>
                <w:szCs w:val="24"/>
              </w:rPr>
              <w:t>1</w:t>
            </w:r>
          </w:p>
        </w:tc>
        <w:tc>
          <w:tcPr>
            <w:tcW w:w="1174" w:type="dxa"/>
            <w:tcBorders>
              <w:top w:val="nil"/>
              <w:left w:val="nil"/>
              <w:bottom w:val="single" w:sz="4" w:space="0" w:color="000000"/>
              <w:right w:val="single" w:sz="8" w:space="0" w:color="000000"/>
            </w:tcBorders>
            <w:vAlign w:val="center"/>
          </w:tcPr>
          <w:p w:rsidR="00CA5614" w:rsidRDefault="00542E8B">
            <w:pPr>
              <w:spacing w:after="0" w:line="240" w:lineRule="auto"/>
              <w:jc w:val="center"/>
              <w:rPr>
                <w:sz w:val="24"/>
                <w:szCs w:val="24"/>
              </w:rPr>
            </w:pPr>
            <w:r>
              <w:rPr>
                <w:sz w:val="24"/>
                <w:szCs w:val="24"/>
              </w:rPr>
              <w:t>2</w:t>
            </w:r>
          </w:p>
        </w:tc>
      </w:tr>
      <w:tr w:rsidR="00CA5614">
        <w:trPr>
          <w:trHeight w:val="750"/>
          <w:jc w:val="center"/>
        </w:trPr>
        <w:tc>
          <w:tcPr>
            <w:tcW w:w="1080" w:type="dxa"/>
            <w:vMerge/>
            <w:tcBorders>
              <w:top w:val="nil"/>
              <w:left w:val="single" w:sz="8" w:space="0" w:color="000000"/>
              <w:bottom w:val="single" w:sz="8" w:space="0" w:color="000000"/>
              <w:right w:val="nil"/>
            </w:tcBorders>
            <w:vAlign w:val="center"/>
          </w:tcPr>
          <w:p w:rsidR="00CA5614" w:rsidRDefault="00CA5614">
            <w:pPr>
              <w:pBdr>
                <w:top w:val="nil"/>
                <w:left w:val="nil"/>
                <w:bottom w:val="nil"/>
                <w:right w:val="nil"/>
                <w:between w:val="nil"/>
              </w:pBdr>
              <w:spacing w:after="0"/>
              <w:rPr>
                <w:sz w:val="24"/>
                <w:szCs w:val="24"/>
              </w:rPr>
            </w:pPr>
          </w:p>
        </w:tc>
        <w:tc>
          <w:tcPr>
            <w:tcW w:w="1320" w:type="dxa"/>
            <w:tcBorders>
              <w:top w:val="nil"/>
              <w:left w:val="single" w:sz="4" w:space="0" w:color="000000"/>
              <w:bottom w:val="single" w:sz="8" w:space="0" w:color="000000"/>
              <w:right w:val="single" w:sz="6" w:space="0" w:color="000000"/>
            </w:tcBorders>
            <w:vAlign w:val="center"/>
          </w:tcPr>
          <w:p w:rsidR="00CA5614" w:rsidRDefault="00542E8B">
            <w:pPr>
              <w:spacing w:after="0" w:line="240" w:lineRule="auto"/>
              <w:jc w:val="center"/>
              <w:rPr>
                <w:sz w:val="24"/>
                <w:szCs w:val="24"/>
              </w:rPr>
            </w:pPr>
            <w:r>
              <w:rPr>
                <w:sz w:val="24"/>
                <w:szCs w:val="24"/>
              </w:rPr>
              <w:t>b)Flutuante</w:t>
            </w:r>
          </w:p>
        </w:tc>
        <w:tc>
          <w:tcPr>
            <w:tcW w:w="1626" w:type="dxa"/>
            <w:tcBorders>
              <w:top w:val="nil"/>
              <w:left w:val="nil"/>
              <w:bottom w:val="single" w:sz="8" w:space="0" w:color="000000"/>
              <w:right w:val="single" w:sz="4" w:space="0" w:color="000000"/>
            </w:tcBorders>
            <w:vAlign w:val="center"/>
          </w:tcPr>
          <w:p w:rsidR="00CA5614" w:rsidRDefault="00542E8B">
            <w:pPr>
              <w:spacing w:after="0" w:line="240" w:lineRule="auto"/>
              <w:jc w:val="center"/>
              <w:rPr>
                <w:sz w:val="24"/>
                <w:szCs w:val="24"/>
              </w:rPr>
            </w:pPr>
            <w:r>
              <w:rPr>
                <w:sz w:val="24"/>
                <w:szCs w:val="24"/>
              </w:rPr>
              <w:t>3</w:t>
            </w:r>
          </w:p>
        </w:tc>
        <w:tc>
          <w:tcPr>
            <w:tcW w:w="1174" w:type="dxa"/>
            <w:tcBorders>
              <w:top w:val="nil"/>
              <w:left w:val="nil"/>
              <w:bottom w:val="single" w:sz="8" w:space="0" w:color="000000"/>
              <w:right w:val="single" w:sz="8" w:space="0" w:color="000000"/>
            </w:tcBorders>
            <w:vAlign w:val="center"/>
          </w:tcPr>
          <w:p w:rsidR="00CA5614" w:rsidRDefault="00542E8B">
            <w:pPr>
              <w:spacing w:after="0" w:line="240" w:lineRule="auto"/>
              <w:jc w:val="center"/>
              <w:rPr>
                <w:sz w:val="24"/>
                <w:szCs w:val="24"/>
              </w:rPr>
            </w:pPr>
            <w:r>
              <w:rPr>
                <w:sz w:val="24"/>
                <w:szCs w:val="24"/>
              </w:rPr>
              <w:t>4</w:t>
            </w:r>
          </w:p>
        </w:tc>
      </w:tr>
    </w:tbl>
    <w:p w:rsidR="00CA5614" w:rsidRDefault="00CA5614">
      <w:pPr>
        <w:spacing w:after="0"/>
        <w:ind w:left="1094" w:right="1196" w:firstLine="510"/>
        <w:jc w:val="both"/>
        <w:rPr>
          <w:rFonts w:ascii="Times New Roman" w:eastAsia="Times New Roman" w:hAnsi="Times New Roman" w:cs="Times New Roman"/>
          <w:sz w:val="23"/>
          <w:szCs w:val="23"/>
        </w:rPr>
      </w:pPr>
    </w:p>
    <w:p w:rsidR="00CA5614" w:rsidRDefault="00542E8B">
      <w:pPr>
        <w:spacing w:after="0" w:line="245" w:lineRule="auto"/>
        <w:ind w:left="1094" w:right="1196" w:firstLine="51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Podemos dizer que no final do século passado boa parte dos países latino-americanos transitaram de regimes cuja conversibilidade era restrita para situações menos restritivas com a liberalização financeira (ou cambial) ocorrida na transição entre o século </w:t>
      </w:r>
      <w:r>
        <w:rPr>
          <w:rFonts w:ascii="Times New Roman" w:eastAsia="Times New Roman" w:hAnsi="Times New Roman" w:cs="Times New Roman"/>
          <w:sz w:val="23"/>
          <w:szCs w:val="23"/>
        </w:rPr>
        <w:t>XX e o XXI. O debate sobre a volta de restrições ao mercado cambial (com o retorno de algumas medidas fechando financeiramente as economias) foi experimentado nos últimos anos, mas, comparado com a década de 80, a maior parte dos países se encontra atualme</w:t>
      </w:r>
      <w:r>
        <w:rPr>
          <w:rFonts w:ascii="Times New Roman" w:eastAsia="Times New Roman" w:hAnsi="Times New Roman" w:cs="Times New Roman"/>
          <w:sz w:val="23"/>
          <w:szCs w:val="23"/>
        </w:rPr>
        <w:t xml:space="preserve">nte em regimes de conversibilidade mais próxima da “plena” do que da “restrita”. A América </w:t>
      </w:r>
      <w:r>
        <w:rPr>
          <w:rFonts w:ascii="Times New Roman" w:eastAsia="Times New Roman" w:hAnsi="Times New Roman" w:cs="Times New Roman"/>
          <w:sz w:val="23"/>
          <w:szCs w:val="23"/>
        </w:rPr>
        <w:lastRenderedPageBreak/>
        <w:t xml:space="preserve">Latina passou da situação 1 no quadro acima para a posição 4. </w:t>
      </w:r>
    </w:p>
    <w:p w:rsidR="00CA5614" w:rsidRDefault="00542E8B">
      <w:pPr>
        <w:spacing w:after="0" w:line="245" w:lineRule="auto"/>
        <w:ind w:left="1094" w:right="1196" w:firstLine="51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Obviamente existem importantes exceções à tendência acima apresentada, tanto de países onde o grau de </w:t>
      </w:r>
      <w:r>
        <w:rPr>
          <w:rFonts w:ascii="Times New Roman" w:eastAsia="Times New Roman" w:hAnsi="Times New Roman" w:cs="Times New Roman"/>
          <w:sz w:val="23"/>
          <w:szCs w:val="23"/>
        </w:rPr>
        <w:t xml:space="preserve">restrição na década de 80 era menor, como de países que na década atual mantém fortes restrições à conversibilidade e a utilização de mercados múltiplos de cambio, como são os casos da Venezuela e de Cuba; mesmo que neste último caso tenha ocorrido também </w:t>
      </w:r>
      <w:r>
        <w:rPr>
          <w:rFonts w:ascii="Times New Roman" w:eastAsia="Times New Roman" w:hAnsi="Times New Roman" w:cs="Times New Roman"/>
          <w:sz w:val="23"/>
          <w:szCs w:val="23"/>
        </w:rPr>
        <w:t>uma abertura, fortes restrições perduram, tanto que temos mercado paralelos nestes países.</w:t>
      </w:r>
    </w:p>
    <w:p w:rsidR="00CA5614" w:rsidRDefault="00542E8B">
      <w:pPr>
        <w:spacing w:after="0" w:line="245" w:lineRule="auto"/>
        <w:ind w:left="1094" w:right="1196"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Em vários países latino-americanos as restrições ao funcionamento do mercado cambial foram muito usadas nos anos 80, a ponto de forçar o aparecimento de mercados cam</w:t>
      </w:r>
      <w:r>
        <w:rPr>
          <w:rFonts w:ascii="Times New Roman" w:eastAsia="Times New Roman" w:hAnsi="Times New Roman" w:cs="Times New Roman"/>
          <w:color w:val="231F20"/>
          <w:sz w:val="23"/>
          <w:szCs w:val="23"/>
        </w:rPr>
        <w:t>biais paralelos (também conhecido como mercado negro), ou seja, vivia-se, nestes países em regimes cambiais com conversibilidade restrita das moedas nacionais em estrangeiras. Esta situação ocorreu muito em função da assim chamada crise da dívida externa v</w:t>
      </w:r>
      <w:r>
        <w:rPr>
          <w:rFonts w:ascii="Times New Roman" w:eastAsia="Times New Roman" w:hAnsi="Times New Roman" w:cs="Times New Roman"/>
          <w:color w:val="231F20"/>
          <w:sz w:val="23"/>
          <w:szCs w:val="23"/>
        </w:rPr>
        <w:t xml:space="preserve">ivida por estes países no início daquela década. São exemplos dessas limitações as proibições ao envio de recursos ao exterior acima de determinados limites ou mesmo fortes empecilhos na obtenção destes recursos até para se fazer viagens ao exterior, além </w:t>
      </w:r>
      <w:r>
        <w:rPr>
          <w:rFonts w:ascii="Times New Roman" w:eastAsia="Times New Roman" w:hAnsi="Times New Roman" w:cs="Times New Roman"/>
          <w:color w:val="231F20"/>
          <w:sz w:val="23"/>
          <w:szCs w:val="23"/>
        </w:rPr>
        <w:t xml:space="preserve">de limitações para remessas de lucros e pagamentos de juros e dividendos. Normalmente na década de 80 se estabeleceram principalmente limites à saída de recursos. Em alguns casos, as restrições se manifestam a partir da existência dos denominados mercados </w:t>
      </w:r>
      <w:r>
        <w:rPr>
          <w:rFonts w:ascii="Times New Roman" w:eastAsia="Times New Roman" w:hAnsi="Times New Roman" w:cs="Times New Roman"/>
          <w:color w:val="231F20"/>
          <w:sz w:val="23"/>
          <w:szCs w:val="23"/>
        </w:rPr>
        <w:t xml:space="preserve">múltiplos de câmbio: a existência de diferentes taxas em diferentes mercados. </w:t>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Já na década de 1990, a maior parte dos países latino-americanos, dentro dos programas de reformas liberais, promoveram “aberturas financeiras” ou “liberalizações financeiras”, </w:t>
      </w:r>
      <w:r>
        <w:rPr>
          <w:rFonts w:ascii="Times New Roman" w:eastAsia="Times New Roman" w:hAnsi="Times New Roman" w:cs="Times New Roman"/>
          <w:color w:val="231F20"/>
          <w:sz w:val="23"/>
          <w:szCs w:val="23"/>
        </w:rPr>
        <w:t>diminuindo as restrições de acesso ao mercado cambial, acabando inclusive com os mercados paralelos de câmbio. Os, então existentes, limites aos agentes nacionais em adquirirem moeda estrangeira se viram fortemente diminuídos e muitas restrições a aquisiçã</w:t>
      </w:r>
      <w:r>
        <w:rPr>
          <w:rFonts w:ascii="Times New Roman" w:eastAsia="Times New Roman" w:hAnsi="Times New Roman" w:cs="Times New Roman"/>
          <w:color w:val="231F20"/>
          <w:sz w:val="23"/>
          <w:szCs w:val="23"/>
        </w:rPr>
        <w:t>o de divisas foram retiradas. Interessante notar também que, dentro deste movimento de abertura financeira, o acesso dos ofertantes de moeda estrangeira nos mercados nacionais também foi facilitado ou mesmo promovido. Assim restrições tanto às remessas pos</w:t>
      </w:r>
      <w:r>
        <w:rPr>
          <w:rFonts w:ascii="Times New Roman" w:eastAsia="Times New Roman" w:hAnsi="Times New Roman" w:cs="Times New Roman"/>
          <w:color w:val="231F20"/>
          <w:sz w:val="23"/>
          <w:szCs w:val="23"/>
        </w:rPr>
        <w:t>teriores de lucros, juros e dividendos obtidos por estrangeiros nos mercados financeiros latino americanos foi facilitado como o próprio ingresso é franqueado em áreas em que, dependendo do país, antes era proibido a não residentes, como mercado de renda f</w:t>
      </w:r>
      <w:r>
        <w:rPr>
          <w:rFonts w:ascii="Times New Roman" w:eastAsia="Times New Roman" w:hAnsi="Times New Roman" w:cs="Times New Roman"/>
          <w:color w:val="231F20"/>
          <w:sz w:val="23"/>
          <w:szCs w:val="23"/>
        </w:rPr>
        <w:t xml:space="preserve">ixa, bolsas de valores ou determinados investimentos diretos em setores como terras e explorações minerais, ou ainda setores bancários e de utilidades públicas. </w:t>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Essa abertura, contudo, expôs os países à volatilidade dos mercados financeiros internacionais</w:t>
      </w:r>
      <w:r>
        <w:rPr>
          <w:rFonts w:ascii="Times New Roman" w:eastAsia="Times New Roman" w:hAnsi="Times New Roman" w:cs="Times New Roman"/>
          <w:color w:val="231F20"/>
          <w:sz w:val="23"/>
          <w:szCs w:val="23"/>
        </w:rPr>
        <w:t>, que se expandiram sobremaneira, com consequências positivas e negativas amplamente discutidas desde o início deste processo.</w:t>
      </w:r>
      <w:r>
        <w:rPr>
          <w:rFonts w:ascii="Times New Roman" w:eastAsia="Times New Roman" w:hAnsi="Times New Roman" w:cs="Times New Roman"/>
          <w:color w:val="231F20"/>
          <w:sz w:val="23"/>
          <w:szCs w:val="23"/>
          <w:vertAlign w:val="superscript"/>
        </w:rPr>
        <w:footnoteReference w:id="1"/>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lastRenderedPageBreak/>
        <w:t>Normalmente os aspectos positivos da plena conversibilidade estão ligados à chamada ampliação da eficiência alocativa trazida pe</w:t>
      </w:r>
      <w:r>
        <w:rPr>
          <w:rFonts w:ascii="Times New Roman" w:eastAsia="Times New Roman" w:hAnsi="Times New Roman" w:cs="Times New Roman"/>
          <w:color w:val="231F20"/>
          <w:sz w:val="23"/>
          <w:szCs w:val="23"/>
        </w:rPr>
        <w:t xml:space="preserve">la abertura financeira, ou seja, os países passaram, por um lado, a ter maior acesso à poupança externa para financiar as suas absorções internas, especialmente os investimentos; e, por outro lado, também permitiram que os poupadores residentes na América </w:t>
      </w:r>
      <w:r>
        <w:rPr>
          <w:rFonts w:ascii="Times New Roman" w:eastAsia="Times New Roman" w:hAnsi="Times New Roman" w:cs="Times New Roman"/>
          <w:color w:val="231F20"/>
          <w:sz w:val="23"/>
          <w:szCs w:val="23"/>
        </w:rPr>
        <w:t>latina ampliassem suas possibilidades de aplicação e de busca de rentabilidade fora de seu próprio país. Normalmente, também como parte desta maior eficiência alocativa, imagina-se que esta abertura permitiu uma diminuição do spread ou do custo da intermed</w:t>
      </w:r>
      <w:r>
        <w:rPr>
          <w:rFonts w:ascii="Times New Roman" w:eastAsia="Times New Roman" w:hAnsi="Times New Roman" w:cs="Times New Roman"/>
          <w:color w:val="231F20"/>
          <w:sz w:val="23"/>
          <w:szCs w:val="23"/>
        </w:rPr>
        <w:t xml:space="preserve">iação financeira, dado que se buscou e se aplicou capital em um mercado mais amplo e concorrencial. </w:t>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Pelo lado negativo estão a instabilidade e os risco associados à chamada globalização financeira aos quais a abertura expôs os países que a ela aderiram. A</w:t>
      </w:r>
      <w:r>
        <w:rPr>
          <w:rFonts w:ascii="Times New Roman" w:eastAsia="Times New Roman" w:hAnsi="Times New Roman" w:cs="Times New Roman"/>
          <w:color w:val="231F20"/>
          <w:sz w:val="23"/>
          <w:szCs w:val="23"/>
        </w:rPr>
        <w:t>ssim os países latino americanos passam a estar expostos as crises internacionais que não foram poucas no período, como é o caso da crise “ponto com”, asiática, russa e a grande crise de 2008, além da instabilidade dos fluxos de capitais acarretando crises</w:t>
      </w:r>
      <w:r>
        <w:rPr>
          <w:rFonts w:ascii="Times New Roman" w:eastAsia="Times New Roman" w:hAnsi="Times New Roman" w:cs="Times New Roman"/>
          <w:color w:val="231F20"/>
          <w:sz w:val="23"/>
          <w:szCs w:val="23"/>
        </w:rPr>
        <w:t xml:space="preserve"> dentro da própria América Latina como foram os casos das crises mexicana, brasileira ou argentina. Esta instabilidade dos fluxos de capitais traz riscos importantes para as economias latino americanas, como a exposição a ataques especulativos especialment</w:t>
      </w:r>
      <w:r>
        <w:rPr>
          <w:rFonts w:ascii="Times New Roman" w:eastAsia="Times New Roman" w:hAnsi="Times New Roman" w:cs="Times New Roman"/>
          <w:color w:val="231F20"/>
          <w:sz w:val="23"/>
          <w:szCs w:val="23"/>
        </w:rPr>
        <w:t xml:space="preserve">e quando os fluxos são dominados por capitais de curto prazo, ou o chamado </w:t>
      </w:r>
      <w:r>
        <w:rPr>
          <w:rFonts w:ascii="Times New Roman" w:eastAsia="Times New Roman" w:hAnsi="Times New Roman" w:cs="Times New Roman"/>
          <w:i/>
          <w:color w:val="231F20"/>
          <w:sz w:val="23"/>
          <w:szCs w:val="23"/>
        </w:rPr>
        <w:t xml:space="preserve">hot money. </w:t>
      </w:r>
      <w:r>
        <w:rPr>
          <w:rFonts w:ascii="Times New Roman" w:eastAsia="Times New Roman" w:hAnsi="Times New Roman" w:cs="Times New Roman"/>
          <w:color w:val="231F20"/>
          <w:sz w:val="23"/>
          <w:szCs w:val="23"/>
        </w:rPr>
        <w:t>Estes riscos suscitaram a volta da imposição de alguns mecanismos de controle de capitais como as quarentenas utilizadas pelo Chile já nos anos 70. Também restrições à condução da política econômica aparecem com a abertura financeira, dificultando especial</w:t>
      </w:r>
      <w:r>
        <w:rPr>
          <w:rFonts w:ascii="Times New Roman" w:eastAsia="Times New Roman" w:hAnsi="Times New Roman" w:cs="Times New Roman"/>
          <w:color w:val="231F20"/>
          <w:sz w:val="23"/>
          <w:szCs w:val="23"/>
        </w:rPr>
        <w:t xml:space="preserve">mente se conseguir ter autonomia na condução da política monetária em conjunto com a manutenção de uma taxa de câmbio estável. O forte ingresso de capitais pode trazer também outros problemas como a exposição excessivas de empresas e formação de bolhas em </w:t>
      </w:r>
      <w:r>
        <w:rPr>
          <w:rFonts w:ascii="Times New Roman" w:eastAsia="Times New Roman" w:hAnsi="Times New Roman" w:cs="Times New Roman"/>
          <w:color w:val="231F20"/>
          <w:sz w:val="23"/>
          <w:szCs w:val="23"/>
        </w:rPr>
        <w:t xml:space="preserve">mercados específicos. </w:t>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Um risco importante da abertura a depender do comportamento os fluxos de capitais está no próprio mercado cambial. As oscilações destes fluxos dificultam a estabilização da taxa em regimes de câmbio flutuantes ou a própria manutenção</w:t>
      </w:r>
      <w:r>
        <w:rPr>
          <w:rFonts w:ascii="Times New Roman" w:eastAsia="Times New Roman" w:hAnsi="Times New Roman" w:cs="Times New Roman"/>
          <w:color w:val="231F20"/>
          <w:sz w:val="23"/>
          <w:szCs w:val="23"/>
        </w:rPr>
        <w:t xml:space="preserve"> de regimes cambiais fixos ou próximos a eles. Assim, como veremos no próximo item deste capitulo, muitos países latino americanos ao mesmo tempo que abriram suas economias financeiramente tiveram que abandonar regimes de câmbio fixos (ou semelhantes) e ca</w:t>
      </w:r>
      <w:r>
        <w:rPr>
          <w:rFonts w:ascii="Times New Roman" w:eastAsia="Times New Roman" w:hAnsi="Times New Roman" w:cs="Times New Roman"/>
          <w:color w:val="231F20"/>
          <w:sz w:val="23"/>
          <w:szCs w:val="23"/>
        </w:rPr>
        <w:t xml:space="preserve">minhar em direção a regimes flutuantes (no quadro 5.1 siando de “a” para “b”, completando assim a passagem de 1 para 4). </w:t>
      </w:r>
    </w:p>
    <w:p w:rsidR="00CA5614" w:rsidRDefault="00542E8B">
      <w:pPr>
        <w:spacing w:after="0" w:line="245" w:lineRule="auto"/>
        <w:ind w:left="1094" w:right="1196"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A entrada de capitais, sobretudo quando muito intensa, pode, por exemplo, em regimes de câmbio flutuantes forçar uma valorização exces</w:t>
      </w:r>
      <w:r>
        <w:rPr>
          <w:rFonts w:ascii="Times New Roman" w:eastAsia="Times New Roman" w:hAnsi="Times New Roman" w:cs="Times New Roman"/>
          <w:color w:val="231F20"/>
          <w:sz w:val="23"/>
          <w:szCs w:val="23"/>
        </w:rPr>
        <w:t xml:space="preserve">siva da taxa de cambio o que acarreta consequências indesejadas sobre o comercio exterior do país e mesmo sobre o estilo de desenvolvimento destas economias, como foi efetivamente o caso do debate acerca da desindustrialização em alguns países </w:t>
      </w:r>
      <w:r>
        <w:rPr>
          <w:rFonts w:ascii="Times New Roman" w:eastAsia="Times New Roman" w:hAnsi="Times New Roman" w:cs="Times New Roman"/>
          <w:color w:val="231F20"/>
          <w:sz w:val="23"/>
          <w:szCs w:val="23"/>
        </w:rPr>
        <w:lastRenderedPageBreak/>
        <w:t>de América L</w:t>
      </w:r>
      <w:r>
        <w:rPr>
          <w:rFonts w:ascii="Times New Roman" w:eastAsia="Times New Roman" w:hAnsi="Times New Roman" w:cs="Times New Roman"/>
          <w:color w:val="231F20"/>
          <w:sz w:val="23"/>
          <w:szCs w:val="23"/>
        </w:rPr>
        <w:t>atina nos anos recentes; suscitando inclusive que algumas destas economias como foi o caso de Brasil, Colômbia e Chile, por exemplo, retomasse algumas experiências de limitações aos fluxos de capital como a imposição de impostos ou as já citadas “quarenten</w:t>
      </w:r>
      <w:r>
        <w:rPr>
          <w:rFonts w:ascii="Times New Roman" w:eastAsia="Times New Roman" w:hAnsi="Times New Roman" w:cs="Times New Roman"/>
          <w:color w:val="231F20"/>
          <w:sz w:val="23"/>
          <w:szCs w:val="23"/>
        </w:rPr>
        <w:t>as” sobre o ingresso de capital.</w:t>
      </w:r>
    </w:p>
    <w:p w:rsidR="00CA5614" w:rsidRDefault="00CA5614">
      <w:pPr>
        <w:spacing w:after="0" w:line="245" w:lineRule="auto"/>
        <w:ind w:left="1094" w:right="1196" w:firstLine="510"/>
        <w:jc w:val="both"/>
        <w:rPr>
          <w:rFonts w:ascii="Times New Roman" w:eastAsia="Times New Roman" w:hAnsi="Times New Roman" w:cs="Times New Roman"/>
          <w:color w:val="231F20"/>
          <w:sz w:val="23"/>
          <w:szCs w:val="23"/>
        </w:rPr>
      </w:pPr>
    </w:p>
    <w:p w:rsidR="00CA5614" w:rsidRDefault="00CA5614">
      <w:pPr>
        <w:spacing w:after="0" w:line="245" w:lineRule="auto"/>
        <w:ind w:left="1094" w:right="1196" w:firstLine="510"/>
        <w:jc w:val="both"/>
        <w:rPr>
          <w:rFonts w:ascii="Times New Roman" w:eastAsia="Times New Roman" w:hAnsi="Times New Roman" w:cs="Times New Roman"/>
          <w:color w:val="231F20"/>
          <w:sz w:val="23"/>
          <w:szCs w:val="23"/>
        </w:rPr>
      </w:pPr>
    </w:p>
    <w:p w:rsidR="00CA5614" w:rsidRDefault="00542E8B">
      <w:pPr>
        <w:tabs>
          <w:tab w:val="left" w:pos="1940"/>
        </w:tabs>
        <w:spacing w:after="0" w:line="240" w:lineRule="auto"/>
        <w:ind w:left="1094" w:right="-20"/>
        <w:rPr>
          <w:rFonts w:ascii="Trebuchet MS" w:eastAsia="Trebuchet MS" w:hAnsi="Trebuchet MS" w:cs="Trebuchet MS"/>
          <w:sz w:val="24"/>
          <w:szCs w:val="24"/>
        </w:rPr>
      </w:pPr>
      <w:r>
        <w:rPr>
          <w:rFonts w:ascii="Trebuchet MS" w:eastAsia="Trebuchet MS" w:hAnsi="Trebuchet MS" w:cs="Trebuchet MS"/>
          <w:b/>
          <w:color w:val="7E5439"/>
          <w:sz w:val="24"/>
          <w:szCs w:val="24"/>
        </w:rPr>
        <w:t>5.3</w:t>
      </w:r>
      <w:r>
        <w:rPr>
          <w:rFonts w:ascii="Trebuchet MS" w:eastAsia="Trebuchet MS" w:hAnsi="Trebuchet MS" w:cs="Trebuchet MS"/>
          <w:b/>
          <w:color w:val="7E5439"/>
          <w:sz w:val="24"/>
          <w:szCs w:val="24"/>
        </w:rPr>
        <w:tab/>
        <w:t>Das ancoragens cambiais à flutuação</w:t>
      </w:r>
    </w:p>
    <w:p w:rsidR="00CA5614" w:rsidRDefault="00CA5614">
      <w:pPr>
        <w:spacing w:after="0" w:line="245" w:lineRule="auto"/>
        <w:ind w:left="1094" w:right="1196" w:firstLine="510"/>
        <w:jc w:val="both"/>
        <w:rPr>
          <w:rFonts w:ascii="Times New Roman" w:eastAsia="Times New Roman" w:hAnsi="Times New Roman" w:cs="Times New Roman"/>
          <w:sz w:val="13"/>
          <w:szCs w:val="13"/>
        </w:rPr>
      </w:pPr>
    </w:p>
    <w:p w:rsidR="00CA5614" w:rsidRDefault="00CA5614">
      <w:pPr>
        <w:spacing w:after="0"/>
        <w:rPr>
          <w:sz w:val="17"/>
          <w:szCs w:val="17"/>
        </w:rPr>
      </w:pPr>
    </w:p>
    <w:p w:rsidR="00CA5614" w:rsidRDefault="00542E8B">
      <w:pPr>
        <w:tabs>
          <w:tab w:val="left" w:pos="8505"/>
        </w:tabs>
        <w:spacing w:after="0" w:line="245" w:lineRule="auto"/>
        <w:ind w:left="1094" w:right="1196" w:firstLine="510"/>
        <w:jc w:val="both"/>
        <w:rPr>
          <w:sz w:val="20"/>
          <w:szCs w:val="20"/>
        </w:rPr>
      </w:pPr>
      <w:r>
        <w:rPr>
          <w:rFonts w:ascii="Times New Roman" w:eastAsia="Times New Roman" w:hAnsi="Times New Roman" w:cs="Times New Roman"/>
          <w:color w:val="231F20"/>
          <w:sz w:val="23"/>
          <w:szCs w:val="23"/>
        </w:rPr>
        <w:t xml:space="preserve">Do ponto de vista da formação de preços no mercado cambial, também como foi visto no capítulo anterior, há dois grandes grupos de regimes cambiais que diferem quanto à formação do preço (ou seja, da taxa de câmbio) no mercado de câmbio: o de taxas fixas e </w:t>
      </w:r>
      <w:r>
        <w:rPr>
          <w:rFonts w:ascii="Times New Roman" w:eastAsia="Times New Roman" w:hAnsi="Times New Roman" w:cs="Times New Roman"/>
          <w:color w:val="231F20"/>
          <w:sz w:val="23"/>
          <w:szCs w:val="23"/>
        </w:rPr>
        <w:t>o de taxas</w:t>
      </w:r>
      <w:r>
        <w:rPr>
          <w:sz w:val="20"/>
          <w:szCs w:val="20"/>
        </w:rPr>
        <w:t xml:space="preserve"> </w:t>
      </w:r>
      <w:r>
        <w:rPr>
          <w:rFonts w:ascii="Times New Roman" w:eastAsia="Times New Roman" w:hAnsi="Times New Roman" w:cs="Times New Roman"/>
          <w:color w:val="231F20"/>
          <w:sz w:val="23"/>
          <w:szCs w:val="23"/>
        </w:rPr>
        <w:t xml:space="preserve">flexíveis. Entretanto, diante das experiências no mundo contemporâneo, há, na verdade, uma grande variedade de opções de política. </w:t>
      </w:r>
    </w:p>
    <w:p w:rsidR="00CA5614" w:rsidRDefault="00CA5614">
      <w:pPr>
        <w:spacing w:after="0"/>
        <w:rPr>
          <w:sz w:val="17"/>
          <w:szCs w:val="17"/>
        </w:rPr>
      </w:pPr>
    </w:p>
    <w:p w:rsidR="00CA5614" w:rsidRDefault="00542E8B">
      <w:pPr>
        <w:spacing w:after="0" w:line="240" w:lineRule="auto"/>
        <w:ind w:left="1604" w:right="-20"/>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Associado a modelos de câmbio fixo, pode-se ter:</w:t>
      </w:r>
    </w:p>
    <w:p w:rsidR="00CA5614" w:rsidRDefault="00542E8B">
      <w:pPr>
        <w:numPr>
          <w:ilvl w:val="0"/>
          <w:numId w:val="2"/>
        </w:numPr>
        <w:pBdr>
          <w:top w:val="nil"/>
          <w:left w:val="nil"/>
          <w:bottom w:val="nil"/>
          <w:right w:val="nil"/>
          <w:between w:val="nil"/>
        </w:pBdr>
        <w:spacing w:before="79" w:after="0" w:line="242" w:lineRule="auto"/>
        <w:ind w:right="1196" w:hanging="700"/>
        <w:jc w:val="both"/>
        <w:rPr>
          <w:color w:val="000000"/>
          <w:sz w:val="23"/>
          <w:szCs w:val="23"/>
        </w:rPr>
      </w:pPr>
      <w:r>
        <w:rPr>
          <w:rFonts w:ascii="Times New Roman" w:eastAsia="Times New Roman" w:hAnsi="Times New Roman" w:cs="Times New Roman"/>
          <w:color w:val="231F20"/>
          <w:sz w:val="23"/>
          <w:szCs w:val="23"/>
        </w:rPr>
        <w:t>O cambio fixo simples</w:t>
      </w:r>
    </w:p>
    <w:p w:rsidR="00CA5614" w:rsidRDefault="00542E8B">
      <w:pPr>
        <w:numPr>
          <w:ilvl w:val="0"/>
          <w:numId w:val="2"/>
        </w:numPr>
        <w:pBdr>
          <w:top w:val="nil"/>
          <w:left w:val="nil"/>
          <w:bottom w:val="nil"/>
          <w:right w:val="nil"/>
          <w:between w:val="nil"/>
        </w:pBdr>
        <w:spacing w:after="0" w:line="242" w:lineRule="auto"/>
        <w:ind w:right="1196" w:hanging="700"/>
        <w:jc w:val="both"/>
        <w:rPr>
          <w:color w:val="231F20"/>
          <w:sz w:val="23"/>
          <w:szCs w:val="23"/>
        </w:rPr>
      </w:pPr>
      <w:r>
        <w:rPr>
          <w:rFonts w:ascii="Times New Roman" w:eastAsia="Times New Roman" w:hAnsi="Times New Roman" w:cs="Times New Roman"/>
          <w:color w:val="231F20"/>
          <w:sz w:val="23"/>
          <w:szCs w:val="23"/>
        </w:rPr>
        <w:t xml:space="preserve">O </w:t>
      </w:r>
      <w:r>
        <w:rPr>
          <w:rFonts w:ascii="Times New Roman" w:eastAsia="Times New Roman" w:hAnsi="Times New Roman" w:cs="Times New Roman"/>
          <w:i/>
          <w:color w:val="231F20"/>
          <w:sz w:val="23"/>
          <w:szCs w:val="23"/>
        </w:rPr>
        <w:t xml:space="preserve">currency board, </w:t>
      </w:r>
    </w:p>
    <w:p w:rsidR="00CA5614" w:rsidRDefault="00542E8B">
      <w:pPr>
        <w:numPr>
          <w:ilvl w:val="0"/>
          <w:numId w:val="2"/>
        </w:numPr>
        <w:pBdr>
          <w:top w:val="nil"/>
          <w:left w:val="nil"/>
          <w:bottom w:val="nil"/>
          <w:right w:val="nil"/>
          <w:between w:val="nil"/>
        </w:pBdr>
        <w:spacing w:after="0" w:line="242" w:lineRule="auto"/>
        <w:ind w:right="1196" w:hanging="700"/>
        <w:jc w:val="both"/>
        <w:rPr>
          <w:color w:val="000000"/>
          <w:sz w:val="23"/>
          <w:szCs w:val="23"/>
        </w:rPr>
      </w:pPr>
      <w:r>
        <w:rPr>
          <w:rFonts w:ascii="Times New Roman" w:eastAsia="Times New Roman" w:hAnsi="Times New Roman" w:cs="Times New Roman"/>
          <w:color w:val="231F20"/>
          <w:sz w:val="23"/>
          <w:szCs w:val="23"/>
        </w:rPr>
        <w:t>O crawling pegged (minidesvalorizações)</w:t>
      </w:r>
    </w:p>
    <w:p w:rsidR="00CA5614" w:rsidRDefault="00542E8B">
      <w:pPr>
        <w:numPr>
          <w:ilvl w:val="0"/>
          <w:numId w:val="2"/>
        </w:numPr>
        <w:pBdr>
          <w:top w:val="nil"/>
          <w:left w:val="nil"/>
          <w:bottom w:val="nil"/>
          <w:right w:val="nil"/>
          <w:between w:val="nil"/>
        </w:pBdr>
        <w:spacing w:after="0" w:line="242" w:lineRule="auto"/>
        <w:ind w:right="1196" w:hanging="700"/>
        <w:jc w:val="both"/>
        <w:rPr>
          <w:color w:val="000000"/>
          <w:sz w:val="23"/>
          <w:szCs w:val="23"/>
        </w:rPr>
      </w:pPr>
      <w:r>
        <w:rPr>
          <w:rFonts w:ascii="Times New Roman" w:eastAsia="Times New Roman" w:hAnsi="Times New Roman" w:cs="Times New Roman"/>
          <w:color w:val="231F20"/>
          <w:sz w:val="23"/>
          <w:szCs w:val="23"/>
        </w:rPr>
        <w:t>A dolarização da economia</w:t>
      </w:r>
    </w:p>
    <w:p w:rsidR="00CA5614" w:rsidRDefault="00542E8B">
      <w:pPr>
        <w:numPr>
          <w:ilvl w:val="0"/>
          <w:numId w:val="2"/>
        </w:numPr>
        <w:pBdr>
          <w:top w:val="nil"/>
          <w:left w:val="nil"/>
          <w:bottom w:val="nil"/>
          <w:right w:val="nil"/>
          <w:between w:val="nil"/>
        </w:pBdr>
        <w:spacing w:after="0" w:line="242" w:lineRule="auto"/>
        <w:ind w:right="1196" w:hanging="700"/>
        <w:jc w:val="both"/>
        <w:rPr>
          <w:color w:val="000000"/>
          <w:sz w:val="23"/>
          <w:szCs w:val="23"/>
        </w:rPr>
      </w:pPr>
      <w:r>
        <w:rPr>
          <w:rFonts w:ascii="Times New Roman" w:eastAsia="Times New Roman" w:hAnsi="Times New Roman" w:cs="Times New Roman"/>
          <w:color w:val="231F20"/>
          <w:sz w:val="23"/>
          <w:szCs w:val="23"/>
        </w:rPr>
        <w:t>A união monetária com outros países,</w:t>
      </w:r>
    </w:p>
    <w:p w:rsidR="00CA5614" w:rsidRDefault="00CA5614">
      <w:pPr>
        <w:spacing w:after="0" w:line="240" w:lineRule="auto"/>
        <w:ind w:left="1604" w:right="-20"/>
        <w:rPr>
          <w:rFonts w:ascii="Times New Roman" w:eastAsia="Times New Roman" w:hAnsi="Times New Roman" w:cs="Times New Roman"/>
          <w:color w:val="231F20"/>
          <w:sz w:val="23"/>
          <w:szCs w:val="23"/>
        </w:rPr>
      </w:pPr>
    </w:p>
    <w:p w:rsidR="00CA5614" w:rsidRDefault="00542E8B">
      <w:pPr>
        <w:spacing w:after="0" w:line="240" w:lineRule="auto"/>
        <w:ind w:left="1604" w:right="-20"/>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Ainda são possíveis esquemas intermediários, como:</w:t>
      </w:r>
    </w:p>
    <w:p w:rsidR="00CA5614" w:rsidRDefault="00542E8B">
      <w:pPr>
        <w:numPr>
          <w:ilvl w:val="0"/>
          <w:numId w:val="4"/>
        </w:numPr>
        <w:pBdr>
          <w:top w:val="nil"/>
          <w:left w:val="nil"/>
          <w:bottom w:val="nil"/>
          <w:right w:val="nil"/>
          <w:between w:val="nil"/>
        </w:pBdr>
        <w:spacing w:before="79" w:after="0" w:line="242" w:lineRule="auto"/>
        <w:ind w:right="1033" w:hanging="630"/>
        <w:jc w:val="both"/>
        <w:rPr>
          <w:color w:val="000000"/>
          <w:sz w:val="23"/>
          <w:szCs w:val="23"/>
        </w:rPr>
      </w:pPr>
      <w:r>
        <w:rPr>
          <w:rFonts w:ascii="Times New Roman" w:eastAsia="Times New Roman" w:hAnsi="Times New Roman" w:cs="Times New Roman"/>
          <w:color w:val="231F20"/>
          <w:sz w:val="23"/>
          <w:szCs w:val="23"/>
        </w:rPr>
        <w:t>Um sistema de bandas simétricas mais longas ou mais curtas;</w:t>
      </w:r>
    </w:p>
    <w:p w:rsidR="00CA5614" w:rsidRDefault="00542E8B">
      <w:pPr>
        <w:numPr>
          <w:ilvl w:val="0"/>
          <w:numId w:val="4"/>
        </w:numPr>
        <w:pBdr>
          <w:top w:val="nil"/>
          <w:left w:val="nil"/>
          <w:bottom w:val="nil"/>
          <w:right w:val="nil"/>
          <w:between w:val="nil"/>
        </w:pBdr>
        <w:spacing w:after="0" w:line="242" w:lineRule="auto"/>
        <w:ind w:right="1033" w:hanging="630"/>
        <w:jc w:val="both"/>
        <w:rPr>
          <w:color w:val="000000"/>
          <w:sz w:val="23"/>
          <w:szCs w:val="23"/>
        </w:rPr>
      </w:pPr>
      <w:r>
        <w:rPr>
          <w:rFonts w:ascii="Times New Roman" w:eastAsia="Times New Roman" w:hAnsi="Times New Roman" w:cs="Times New Roman"/>
          <w:color w:val="231F20"/>
          <w:sz w:val="23"/>
          <w:szCs w:val="23"/>
        </w:rPr>
        <w:t>As bandas assimétricas</w:t>
      </w:r>
    </w:p>
    <w:p w:rsidR="00CA5614" w:rsidRDefault="00542E8B">
      <w:pPr>
        <w:numPr>
          <w:ilvl w:val="0"/>
          <w:numId w:val="4"/>
        </w:numPr>
        <w:pBdr>
          <w:top w:val="nil"/>
          <w:left w:val="nil"/>
          <w:bottom w:val="nil"/>
          <w:right w:val="nil"/>
          <w:between w:val="nil"/>
        </w:pBdr>
        <w:spacing w:after="0" w:line="242" w:lineRule="auto"/>
        <w:ind w:right="1033" w:hanging="630"/>
        <w:jc w:val="both"/>
        <w:rPr>
          <w:color w:val="000000"/>
          <w:sz w:val="23"/>
          <w:szCs w:val="23"/>
        </w:rPr>
      </w:pPr>
      <w:r>
        <w:rPr>
          <w:rFonts w:ascii="Times New Roman" w:eastAsia="Times New Roman" w:hAnsi="Times New Roman" w:cs="Times New Roman"/>
          <w:color w:val="231F20"/>
          <w:sz w:val="23"/>
          <w:szCs w:val="23"/>
        </w:rPr>
        <w:t>As crawlling bands (bandas que se deslocam)</w:t>
      </w:r>
    </w:p>
    <w:p w:rsidR="00CA5614" w:rsidRDefault="00CA5614">
      <w:pPr>
        <w:spacing w:before="2" w:after="0"/>
        <w:rPr>
          <w:sz w:val="17"/>
          <w:szCs w:val="17"/>
        </w:rPr>
      </w:pPr>
    </w:p>
    <w:p w:rsidR="00CA5614" w:rsidRDefault="00542E8B">
      <w:pPr>
        <w:tabs>
          <w:tab w:val="left" w:pos="8505"/>
        </w:tabs>
        <w:spacing w:after="0" w:line="240" w:lineRule="auto"/>
        <w:ind w:left="1604" w:right="1196"/>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Dentro de um regime de câmbio flexível é possível, também:</w:t>
      </w:r>
    </w:p>
    <w:p w:rsidR="00CA5614" w:rsidRDefault="00542E8B">
      <w:pPr>
        <w:numPr>
          <w:ilvl w:val="0"/>
          <w:numId w:val="3"/>
        </w:numPr>
        <w:pBdr>
          <w:top w:val="nil"/>
          <w:left w:val="nil"/>
          <w:bottom w:val="nil"/>
          <w:right w:val="nil"/>
          <w:between w:val="nil"/>
        </w:pBdr>
        <w:spacing w:before="79" w:after="0" w:line="240" w:lineRule="auto"/>
        <w:ind w:right="1196" w:hanging="657"/>
        <w:jc w:val="both"/>
        <w:rPr>
          <w:color w:val="000000"/>
          <w:sz w:val="23"/>
          <w:szCs w:val="23"/>
        </w:rPr>
      </w:pPr>
      <w:r>
        <w:rPr>
          <w:rFonts w:ascii="Times New Roman" w:eastAsia="Times New Roman" w:hAnsi="Times New Roman" w:cs="Times New Roman"/>
          <w:color w:val="231F20"/>
          <w:sz w:val="23"/>
          <w:szCs w:val="23"/>
        </w:rPr>
        <w:t>Um mercado totalmente livre de intervenções do governo;</w:t>
      </w:r>
    </w:p>
    <w:p w:rsidR="00CA5614" w:rsidRDefault="00542E8B">
      <w:pPr>
        <w:numPr>
          <w:ilvl w:val="0"/>
          <w:numId w:val="3"/>
        </w:numPr>
        <w:pBdr>
          <w:top w:val="nil"/>
          <w:left w:val="nil"/>
          <w:bottom w:val="nil"/>
          <w:right w:val="nil"/>
          <w:between w:val="nil"/>
        </w:pBdr>
        <w:spacing w:after="0" w:line="240" w:lineRule="auto"/>
        <w:ind w:right="1196" w:hanging="657"/>
        <w:jc w:val="both"/>
        <w:rPr>
          <w:color w:val="000000"/>
          <w:sz w:val="23"/>
          <w:szCs w:val="23"/>
        </w:rPr>
      </w:pPr>
      <w:r>
        <w:rPr>
          <w:rFonts w:ascii="Times New Roman" w:eastAsia="Times New Roman" w:hAnsi="Times New Roman" w:cs="Times New Roman"/>
          <w:color w:val="231F20"/>
          <w:sz w:val="23"/>
          <w:szCs w:val="23"/>
        </w:rPr>
        <w:t>A chamada flutuação suja (</w:t>
      </w:r>
      <w:r>
        <w:rPr>
          <w:rFonts w:ascii="Times New Roman" w:eastAsia="Times New Roman" w:hAnsi="Times New Roman" w:cs="Times New Roman"/>
          <w:i/>
          <w:color w:val="231F20"/>
          <w:sz w:val="23"/>
          <w:szCs w:val="23"/>
        </w:rPr>
        <w:t>dirty floating</w:t>
      </w:r>
      <w:r>
        <w:rPr>
          <w:rFonts w:ascii="Times New Roman" w:eastAsia="Times New Roman" w:hAnsi="Times New Roman" w:cs="Times New Roman"/>
          <w:color w:val="231F20"/>
          <w:sz w:val="23"/>
          <w:szCs w:val="23"/>
        </w:rPr>
        <w:t>) sem objetivos definidos para intervenção do governo</w:t>
      </w:r>
    </w:p>
    <w:p w:rsidR="00CA5614" w:rsidRDefault="00542E8B">
      <w:pPr>
        <w:numPr>
          <w:ilvl w:val="0"/>
          <w:numId w:val="3"/>
        </w:numPr>
        <w:pBdr>
          <w:top w:val="nil"/>
          <w:left w:val="nil"/>
          <w:bottom w:val="nil"/>
          <w:right w:val="nil"/>
          <w:between w:val="nil"/>
        </w:pBdr>
        <w:spacing w:after="0" w:line="240" w:lineRule="auto"/>
        <w:ind w:right="1196" w:hanging="657"/>
        <w:jc w:val="both"/>
        <w:rPr>
          <w:color w:val="000000"/>
          <w:sz w:val="23"/>
          <w:szCs w:val="23"/>
        </w:rPr>
      </w:pPr>
      <w:r>
        <w:rPr>
          <w:rFonts w:ascii="Times New Roman" w:eastAsia="Times New Roman" w:hAnsi="Times New Roman" w:cs="Times New Roman"/>
          <w:color w:val="231F20"/>
          <w:sz w:val="23"/>
          <w:szCs w:val="23"/>
        </w:rPr>
        <w:t>Uma flutuação com forte intervenção governamental, porém essa intervenção pode seguir uma lógica anunciada, por exemplo em um regime de meta de inflação ou de meta de agregados monetários</w:t>
      </w:r>
    </w:p>
    <w:p w:rsidR="00CA5614" w:rsidRDefault="00542E8B">
      <w:pPr>
        <w:spacing w:before="22" w:after="0" w:line="248" w:lineRule="auto"/>
        <w:ind w:left="1094" w:right="1034"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w:t>
      </w:r>
    </w:p>
    <w:p w:rsidR="00CA5614" w:rsidRDefault="00542E8B">
      <w:pPr>
        <w:spacing w:after="0" w:line="248"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No caso do regime de taxas de câmbio fixas, como o próprio nome su</w:t>
      </w:r>
      <w:r>
        <w:rPr>
          <w:rFonts w:ascii="Times New Roman" w:eastAsia="Times New Roman" w:hAnsi="Times New Roman" w:cs="Times New Roman"/>
          <w:color w:val="231F20"/>
          <w:sz w:val="23"/>
          <w:szCs w:val="23"/>
        </w:rPr>
        <w:t>gere, o valor da taxa de câmbio do país é determinado pela autoridade monetária. O que se ajusta no mercado cambial é apenas a quantidade demandada e ofertada àquele valor. Na verdade, nesse regime, o governo intervém de modo a equilibrar a oferta e a dema</w:t>
      </w:r>
      <w:r>
        <w:rPr>
          <w:rFonts w:ascii="Times New Roman" w:eastAsia="Times New Roman" w:hAnsi="Times New Roman" w:cs="Times New Roman"/>
          <w:color w:val="231F20"/>
          <w:sz w:val="23"/>
          <w:szCs w:val="23"/>
        </w:rPr>
        <w:t xml:space="preserve">nda de divisas no nível da taxa de câmbio estabelecida. Desse modo, as </w:t>
      </w:r>
      <w:r>
        <w:rPr>
          <w:rFonts w:ascii="Times New Roman" w:eastAsia="Times New Roman" w:hAnsi="Times New Roman" w:cs="Times New Roman"/>
          <w:color w:val="231F20"/>
          <w:sz w:val="23"/>
          <w:szCs w:val="23"/>
        </w:rPr>
        <w:lastRenderedPageBreak/>
        <w:t>oscilações na demanda e na oferta de divisas não repercutem sobre a taxa de câmbio, mas apenas sobre o volume de reservas internacionais do país, com implicações sobre a oferta de moeda</w:t>
      </w:r>
      <w:r>
        <w:rPr>
          <w:rFonts w:ascii="Times New Roman" w:eastAsia="Times New Roman" w:hAnsi="Times New Roman" w:cs="Times New Roman"/>
          <w:color w:val="231F20"/>
          <w:sz w:val="23"/>
          <w:szCs w:val="23"/>
        </w:rPr>
        <w:t xml:space="preserve"> primária. Esse sistema, </w:t>
      </w:r>
      <w:r>
        <w:rPr>
          <w:rFonts w:ascii="Times New Roman" w:eastAsia="Times New Roman" w:hAnsi="Times New Roman" w:cs="Times New Roman"/>
          <w:i/>
          <w:color w:val="231F20"/>
          <w:sz w:val="23"/>
          <w:szCs w:val="23"/>
        </w:rPr>
        <w:t>grosso modo</w:t>
      </w:r>
      <w:r>
        <w:rPr>
          <w:rFonts w:ascii="Times New Roman" w:eastAsia="Times New Roman" w:hAnsi="Times New Roman" w:cs="Times New Roman"/>
          <w:color w:val="231F20"/>
          <w:sz w:val="23"/>
          <w:szCs w:val="23"/>
        </w:rPr>
        <w:t xml:space="preserve">, prevaleceu entre os países desenvolvidos na virada do século XIX para o XX e no pós-Segunda Guerra Mundial. Depois do fim do chamado sistema monetário internacional de </w:t>
      </w:r>
      <w:r>
        <w:rPr>
          <w:rFonts w:ascii="Times New Roman" w:eastAsia="Times New Roman" w:hAnsi="Times New Roman" w:cs="Times New Roman"/>
          <w:i/>
          <w:color w:val="231F20"/>
          <w:sz w:val="23"/>
          <w:szCs w:val="23"/>
        </w:rPr>
        <w:t>Bretton Woods</w:t>
      </w:r>
      <w:r>
        <w:rPr>
          <w:rFonts w:ascii="Times New Roman" w:eastAsia="Times New Roman" w:hAnsi="Times New Roman" w:cs="Times New Roman"/>
          <w:color w:val="231F20"/>
          <w:sz w:val="23"/>
          <w:szCs w:val="23"/>
        </w:rPr>
        <w:t>, ocorrido no início dos anos 1970 houve grande instabilidade nos mercados cambiais internacionais e muitas oscilações nos regimes cambiais. Nesse contexto, boa parte dos países desenvolvidos adotaram regimes de câmbio flutuante, com menor intervenção do g</w:t>
      </w:r>
      <w:r>
        <w:rPr>
          <w:rFonts w:ascii="Times New Roman" w:eastAsia="Times New Roman" w:hAnsi="Times New Roman" w:cs="Times New Roman"/>
          <w:color w:val="231F20"/>
          <w:sz w:val="23"/>
          <w:szCs w:val="23"/>
        </w:rPr>
        <w:t xml:space="preserve">overno. </w:t>
      </w: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De um modo geral, no sistema de taxas de câmbio flutuante há liberdade no mercado cambial. Nesse caso, o governo intervém apenas como ofertante e demandante de divisas em função de suas necessidades, do mesmo modo que o setor privado. Assim, as al</w:t>
      </w:r>
      <w:r>
        <w:rPr>
          <w:rFonts w:ascii="Times New Roman" w:eastAsia="Times New Roman" w:hAnsi="Times New Roman" w:cs="Times New Roman"/>
          <w:color w:val="231F20"/>
          <w:sz w:val="23"/>
          <w:szCs w:val="23"/>
        </w:rPr>
        <w:t>terações na oferta e na demanda de divisas têm efeito sobre a taxa de câmbio, que deverá se valorizar ou desvalorizar em função de tais alterações.</w:t>
      </w: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Um sistema muito utilizado a partir de meados da década de 1970 foi o de flutuação suja. Esse sistema difere</w:t>
      </w:r>
      <w:r>
        <w:rPr>
          <w:rFonts w:ascii="Times New Roman" w:eastAsia="Times New Roman" w:hAnsi="Times New Roman" w:cs="Times New Roman"/>
          <w:color w:val="231F20"/>
          <w:sz w:val="23"/>
          <w:szCs w:val="23"/>
        </w:rPr>
        <w:t xml:space="preserve"> do anterior por estar sujeito a importantes intervenções do governo, com diferentes objetivos por parte do governo, no passado em geral buscava-se diminuir a volatilidade associada a um mercado cambial livre. Mas pode-se ter outros objetivos. Nesse sentid</w:t>
      </w:r>
      <w:r>
        <w:rPr>
          <w:rFonts w:ascii="Times New Roman" w:eastAsia="Times New Roman" w:hAnsi="Times New Roman" w:cs="Times New Roman"/>
          <w:color w:val="231F20"/>
          <w:sz w:val="23"/>
          <w:szCs w:val="23"/>
        </w:rPr>
        <w:t>o se o comportamento do mercado for instável ou se o patamar da taxa de câmbio estiver atrapalhando o desempenho econômico, ocorre então intervenção para estabilizar ou direcionar a taxa para um patamar desejável.</w:t>
      </w: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No final da década de 1970, com a emergênc</w:t>
      </w:r>
      <w:r>
        <w:rPr>
          <w:rFonts w:ascii="Times New Roman" w:eastAsia="Times New Roman" w:hAnsi="Times New Roman" w:cs="Times New Roman"/>
          <w:color w:val="231F20"/>
          <w:sz w:val="23"/>
          <w:szCs w:val="23"/>
        </w:rPr>
        <w:t>ia do Sistema Monetário</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31F20"/>
          <w:sz w:val="23"/>
          <w:szCs w:val="23"/>
        </w:rPr>
        <w:t>Europeu, ganhou força outro regime cambial, denominado sistema de bandas.</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31F20"/>
          <w:sz w:val="23"/>
          <w:szCs w:val="23"/>
        </w:rPr>
        <w:t>Esse sistema conta com a seguinte lógica: definem-se os valores limites que a taxa de câmbio pode assumir e, dentro desses limites, o sistema funciona como se</w:t>
      </w:r>
      <w:r>
        <w:rPr>
          <w:rFonts w:ascii="Times New Roman" w:eastAsia="Times New Roman" w:hAnsi="Times New Roman" w:cs="Times New Roman"/>
          <w:color w:val="231F20"/>
          <w:sz w:val="23"/>
          <w:szCs w:val="23"/>
        </w:rPr>
        <w:t xml:space="preserve"> fosse o de câmbio flutuante. Assim, fica estabelecida uma taxa central e um intervalo de variação, por exemplo, mais ou menos x%. Quando existe uma pressão pela desvalorização da moeda nacional, levando o sistema ao limite inferior, o Banco Central interv</w:t>
      </w:r>
      <w:r>
        <w:rPr>
          <w:rFonts w:ascii="Times New Roman" w:eastAsia="Times New Roman" w:hAnsi="Times New Roman" w:cs="Times New Roman"/>
          <w:color w:val="231F20"/>
          <w:sz w:val="23"/>
          <w:szCs w:val="23"/>
        </w:rPr>
        <w:t>ém vendendo moeda estrangeira e comprando moeda nacional. No caso oposto, quando o mercado é pressionado no sentido de uma valorização cambial, o Banco Central age em sentido oposto. Em muitos casos, os Bancos Centrais intervêm nos mercados antes que se al</w:t>
      </w:r>
      <w:r>
        <w:rPr>
          <w:rFonts w:ascii="Times New Roman" w:eastAsia="Times New Roman" w:hAnsi="Times New Roman" w:cs="Times New Roman"/>
          <w:color w:val="231F20"/>
          <w:sz w:val="23"/>
          <w:szCs w:val="23"/>
        </w:rPr>
        <w:t xml:space="preserve">cance os limites, evitando, inclusive, possíveis ataques especulativos. Estas são as chamadas intervenções intramargem. As dificuldades associadas a esse regime são: a definição da taxa central (dificuldade semelhante a se definir qual a taxa de câmbio em </w:t>
      </w:r>
      <w:r>
        <w:rPr>
          <w:rFonts w:ascii="Times New Roman" w:eastAsia="Times New Roman" w:hAnsi="Times New Roman" w:cs="Times New Roman"/>
          <w:color w:val="231F20"/>
          <w:sz w:val="23"/>
          <w:szCs w:val="23"/>
        </w:rPr>
        <w:t>um regime de câmbio fixo) e a definição da amplitude das margens. Esses sistemas intermediários foram muito utilizados na década de 1980, porém nos anos 1990, existiu uma forte tendência de ampliação dos regimes flutuantes, que prevaleceram nas primeiras d</w:t>
      </w:r>
      <w:r>
        <w:rPr>
          <w:rFonts w:ascii="Times New Roman" w:eastAsia="Times New Roman" w:hAnsi="Times New Roman" w:cs="Times New Roman"/>
          <w:color w:val="231F20"/>
          <w:sz w:val="23"/>
          <w:szCs w:val="23"/>
        </w:rPr>
        <w:t xml:space="preserve">écadas do século XXI </w:t>
      </w:r>
    </w:p>
    <w:p w:rsidR="00CA5614" w:rsidRDefault="00542E8B">
      <w:pPr>
        <w:spacing w:before="22" w:after="0" w:line="245"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lastRenderedPageBreak/>
        <w:t xml:space="preserve">As implicações econômicas sobre a adoção deste ou daquele regime cambial, particularmente sobre o desempenho do balanço de pagamentos e sobre a capacidade da autoridade econômica em executar políticas monetária e fiscal, são bastante </w:t>
      </w:r>
      <w:r>
        <w:rPr>
          <w:rFonts w:ascii="Times New Roman" w:eastAsia="Times New Roman" w:hAnsi="Times New Roman" w:cs="Times New Roman"/>
          <w:color w:val="231F20"/>
          <w:sz w:val="23"/>
          <w:szCs w:val="23"/>
        </w:rPr>
        <w:t xml:space="preserve">conhecidas na literatura mais ainda bastante debatidas (ver Yi, G. 2013). </w:t>
      </w:r>
    </w:p>
    <w:p w:rsidR="00CA5614" w:rsidRDefault="00542E8B">
      <w:pPr>
        <w:spacing w:before="22" w:after="0" w:line="245" w:lineRule="auto"/>
        <w:ind w:left="1094" w:right="1033" w:firstLine="510"/>
        <w:jc w:val="both"/>
        <w:rPr>
          <w:sz w:val="20"/>
          <w:szCs w:val="20"/>
        </w:rPr>
      </w:pPr>
      <w:r>
        <w:rPr>
          <w:rFonts w:ascii="Times New Roman" w:eastAsia="Times New Roman" w:hAnsi="Times New Roman" w:cs="Times New Roman"/>
          <w:color w:val="231F20"/>
          <w:sz w:val="23"/>
          <w:szCs w:val="23"/>
        </w:rPr>
        <w:t>A partir das recentes experiências cambiais na América Latina, é possível explorar diferentes questões em torno das opções cambiais num contexto inicialmente de instabilidade macroe</w:t>
      </w:r>
      <w:r>
        <w:rPr>
          <w:rFonts w:ascii="Times New Roman" w:eastAsia="Times New Roman" w:hAnsi="Times New Roman" w:cs="Times New Roman"/>
          <w:color w:val="231F20"/>
          <w:sz w:val="23"/>
          <w:szCs w:val="23"/>
        </w:rPr>
        <w:t>conômica, particularmente no que diz respeito a processos inflacionários crônicos, problemas de endividamento externo e a ocorrência de crises no sistema financeiro internacional, mas também de fortes influxos de capitais. Nesses contextos, surge, por exem</w:t>
      </w:r>
      <w:r>
        <w:rPr>
          <w:rFonts w:ascii="Times New Roman" w:eastAsia="Times New Roman" w:hAnsi="Times New Roman" w:cs="Times New Roman"/>
          <w:color w:val="231F20"/>
          <w:sz w:val="23"/>
          <w:szCs w:val="23"/>
        </w:rPr>
        <w:t>plo, o conceito de “ancoragem cambial”. Por outro lado, a utilização da taxa de câmbio como variável-chave em políticas de ajuste macroeconômico depende da capacidade da autoridade econômica em manter crível sua intenção no controle dessa variável, cuja in</w:t>
      </w:r>
      <w:r>
        <w:rPr>
          <w:rFonts w:ascii="Times New Roman" w:eastAsia="Times New Roman" w:hAnsi="Times New Roman" w:cs="Times New Roman"/>
          <w:color w:val="231F20"/>
          <w:sz w:val="23"/>
          <w:szCs w:val="23"/>
        </w:rPr>
        <w:t xml:space="preserve">stabilidade inerente é uma característica marcante num mundo de livre mobilidade de capitais financeiros. Já, anos depois, mesmo em situações de câmbio flutuante a tendência permanente de valorização cambial, por exemplo, pode colocar em questão o próprio </w:t>
      </w:r>
      <w:r>
        <w:rPr>
          <w:rFonts w:ascii="Times New Roman" w:eastAsia="Times New Roman" w:hAnsi="Times New Roman" w:cs="Times New Roman"/>
          <w:color w:val="231F20"/>
          <w:sz w:val="23"/>
          <w:szCs w:val="23"/>
        </w:rPr>
        <w:t>estilo de desenvolvimento de um país, como veremos nos itens a seguir.</w:t>
      </w:r>
    </w:p>
    <w:p w:rsidR="00CA5614" w:rsidRDefault="00CA5614">
      <w:pPr>
        <w:spacing w:after="0"/>
        <w:rPr>
          <w:sz w:val="20"/>
          <w:szCs w:val="20"/>
        </w:rPr>
      </w:pPr>
    </w:p>
    <w:p w:rsidR="00CA5614" w:rsidRDefault="00CA5614">
      <w:pPr>
        <w:spacing w:after="0"/>
        <w:rPr>
          <w:sz w:val="20"/>
          <w:szCs w:val="20"/>
        </w:rPr>
      </w:pPr>
    </w:p>
    <w:p w:rsidR="00CA5614" w:rsidRDefault="00542E8B">
      <w:pPr>
        <w:spacing w:after="0" w:line="240" w:lineRule="auto"/>
        <w:ind w:left="1094" w:right="2622"/>
        <w:jc w:val="both"/>
        <w:rPr>
          <w:rFonts w:ascii="Trebuchet MS" w:eastAsia="Trebuchet MS" w:hAnsi="Trebuchet MS" w:cs="Trebuchet MS"/>
          <w:sz w:val="24"/>
          <w:szCs w:val="24"/>
        </w:rPr>
      </w:pPr>
      <w:r>
        <w:rPr>
          <w:rFonts w:ascii="Trebuchet MS" w:eastAsia="Trebuchet MS" w:hAnsi="Trebuchet MS" w:cs="Trebuchet MS"/>
          <w:b/>
          <w:color w:val="7E5439"/>
          <w:sz w:val="24"/>
          <w:szCs w:val="24"/>
        </w:rPr>
        <w:t>5.3.1 Ancoragem cambial e credibilidade</w:t>
      </w:r>
    </w:p>
    <w:p w:rsidR="00CA5614" w:rsidRDefault="00CA5614">
      <w:pPr>
        <w:spacing w:before="6" w:after="0"/>
        <w:rPr>
          <w:sz w:val="10"/>
          <w:szCs w:val="10"/>
        </w:rPr>
      </w:pP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Nos países em desenvolvimento, especialmente na América Latina, a taxa de câmbio foi utilizada como um dos principais instrumentos de política econômica, tendo ocorrido uma tendência de forte influência do governo no mercado cambial. Utilizava-se, muitas v</w:t>
      </w:r>
      <w:r>
        <w:rPr>
          <w:rFonts w:ascii="Times New Roman" w:eastAsia="Times New Roman" w:hAnsi="Times New Roman" w:cs="Times New Roman"/>
          <w:color w:val="231F20"/>
          <w:sz w:val="23"/>
          <w:szCs w:val="23"/>
        </w:rPr>
        <w:t>ezes, o câmbio (ou sua desvalorização) com intuito de resolver problemas de balanço de pagamentos, promovendo ganhos de competitividade da economia e evitando que os ajustes nas contas externas se fizessem de maneira recessiva.</w:t>
      </w:r>
    </w:p>
    <w:p w:rsidR="00CA5614" w:rsidRDefault="00CA5614">
      <w:pPr>
        <w:spacing w:after="0"/>
        <w:rPr>
          <w:sz w:val="17"/>
          <w:szCs w:val="17"/>
        </w:rPr>
      </w:pPr>
    </w:p>
    <w:p w:rsidR="00CA5614" w:rsidRDefault="00542E8B">
      <w:pPr>
        <w:spacing w:after="0" w:line="248" w:lineRule="auto"/>
        <w:ind w:left="1094" w:right="1033" w:firstLine="510"/>
        <w:jc w:val="both"/>
        <w:rPr>
          <w:sz w:val="20"/>
          <w:szCs w:val="20"/>
        </w:rPr>
      </w:pPr>
      <w:r>
        <w:rPr>
          <w:rFonts w:ascii="Times New Roman" w:eastAsia="Times New Roman" w:hAnsi="Times New Roman" w:cs="Times New Roman"/>
          <w:color w:val="231F20"/>
          <w:sz w:val="23"/>
          <w:szCs w:val="23"/>
        </w:rPr>
        <w:t xml:space="preserve">No final da década de 1970 </w:t>
      </w:r>
      <w:r>
        <w:rPr>
          <w:rFonts w:ascii="Times New Roman" w:eastAsia="Times New Roman" w:hAnsi="Times New Roman" w:cs="Times New Roman"/>
          <w:color w:val="231F20"/>
          <w:sz w:val="23"/>
          <w:szCs w:val="23"/>
        </w:rPr>
        <w:t>e, especialmente, ao longo da década de 1980, a fixação da taxa de câmbio em diversos países em desenvolvimento passou a fazer parte de um conjunto mais amplo de medidas visando o controle da inflação. A transição de uma situação de inflação crônica para a</w:t>
      </w:r>
      <w:r>
        <w:rPr>
          <w:rFonts w:ascii="Times New Roman" w:eastAsia="Times New Roman" w:hAnsi="Times New Roman" w:cs="Times New Roman"/>
          <w:color w:val="231F20"/>
          <w:sz w:val="23"/>
          <w:szCs w:val="23"/>
        </w:rPr>
        <w:t xml:space="preserve"> estabilidade de preços requeria, pelo menos num primeiro momento, algum tipo de âncora nominal, isto é, a fixação do valor de uma ou mais variáveis econômicas, tendo como objetivo a contenção das demais variáveis nominais.  Nesse conjunto de medidas, preç</w:t>
      </w:r>
      <w:r>
        <w:rPr>
          <w:rFonts w:ascii="Times New Roman" w:eastAsia="Times New Roman" w:hAnsi="Times New Roman" w:cs="Times New Roman"/>
          <w:color w:val="231F20"/>
          <w:sz w:val="23"/>
          <w:szCs w:val="23"/>
        </w:rPr>
        <w:t>os e salários foram as variáveis escolhidas como âncoras nominais prioritárias em inúmeros planos econômicos adotados em vários países, a exemplo do Plano Austral, adotado na Argentina em 1985, e o Plano Cruzado, adotado no Brasil em 1986. Tais planos, den</w:t>
      </w:r>
      <w:r>
        <w:rPr>
          <w:rFonts w:ascii="Times New Roman" w:eastAsia="Times New Roman" w:hAnsi="Times New Roman" w:cs="Times New Roman"/>
          <w:color w:val="231F20"/>
          <w:sz w:val="23"/>
          <w:szCs w:val="23"/>
        </w:rPr>
        <w:t xml:space="preserve">ominados heterodoxos por utilizar instrumentos outros que </w:t>
      </w:r>
      <w:r>
        <w:rPr>
          <w:rFonts w:ascii="Times New Roman" w:eastAsia="Times New Roman" w:hAnsi="Times New Roman" w:cs="Times New Roman"/>
          <w:color w:val="231F20"/>
          <w:sz w:val="23"/>
          <w:szCs w:val="23"/>
        </w:rPr>
        <w:lastRenderedPageBreak/>
        <w:t>não o controle monetário, tinham como pressuposto básico o congelamento de preços e salários da economia, buscando o fim da chamada inércia inflacionária. O fracasso desses planos acabou por tirar d</w:t>
      </w:r>
      <w:r>
        <w:rPr>
          <w:rFonts w:ascii="Times New Roman" w:eastAsia="Times New Roman" w:hAnsi="Times New Roman" w:cs="Times New Roman"/>
          <w:color w:val="231F20"/>
          <w:sz w:val="23"/>
          <w:szCs w:val="23"/>
        </w:rPr>
        <w:t>e cena as propostas heterodoxas de combate à inflação, trazendo à tona proposições</w:t>
      </w:r>
      <w:r>
        <w:rPr>
          <w:sz w:val="20"/>
          <w:szCs w:val="20"/>
        </w:rPr>
        <w:t xml:space="preserve"> </w:t>
      </w:r>
      <w:r>
        <w:rPr>
          <w:rFonts w:ascii="Times New Roman" w:eastAsia="Times New Roman" w:hAnsi="Times New Roman" w:cs="Times New Roman"/>
          <w:color w:val="231F20"/>
          <w:sz w:val="23"/>
          <w:szCs w:val="23"/>
        </w:rPr>
        <w:t>ortodoxas, tais como abertura comercial e financeira, combate aos déficits fiscais e controles monetários rígidos. Entretanto, a necessidade de uma âncora não deveria ser de</w:t>
      </w:r>
      <w:r>
        <w:rPr>
          <w:rFonts w:ascii="Times New Roman" w:eastAsia="Times New Roman" w:hAnsi="Times New Roman" w:cs="Times New Roman"/>
          <w:color w:val="231F20"/>
          <w:sz w:val="23"/>
          <w:szCs w:val="23"/>
        </w:rPr>
        <w:t>scartada, cabendo à taxa de câmbio esse papel no novo contexto de políticas, por trazer vantagens no processo de abertura econômica e por contribuir para um maior controle monetário e fiscal.</w:t>
      </w:r>
    </w:p>
    <w:p w:rsidR="00CA5614" w:rsidRDefault="00542E8B">
      <w:pPr>
        <w:spacing w:after="0" w:line="245" w:lineRule="auto"/>
        <w:ind w:left="1094" w:right="1033"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Um problema enfrentado pelos planos de estabilização que utilizavam algum tipo de ancoragem na taxa de câmbio sempre foi o da credibilidade. O problema de credibilidade da ancoragem cambial assumiu diversas formas. Por um lado, existia a dúvida tradicional</w:t>
      </w:r>
      <w:r>
        <w:rPr>
          <w:rFonts w:ascii="Times New Roman" w:eastAsia="Times New Roman" w:hAnsi="Times New Roman" w:cs="Times New Roman"/>
          <w:color w:val="231F20"/>
          <w:sz w:val="23"/>
          <w:szCs w:val="23"/>
        </w:rPr>
        <w:t xml:space="preserve"> frente aos regimes de câmbio fixo, qual seja: a capacidade do governo em manter a taxa de câmbio no curto prazo dado o comportamento do balanço de pagamentos e das reservas internacionais. Por outro lado, existia uma forte expectativa dos agentes de que o</w:t>
      </w:r>
      <w:r>
        <w:rPr>
          <w:rFonts w:ascii="Times New Roman" w:eastAsia="Times New Roman" w:hAnsi="Times New Roman" w:cs="Times New Roman"/>
          <w:color w:val="231F20"/>
          <w:sz w:val="23"/>
          <w:szCs w:val="23"/>
        </w:rPr>
        <w:t xml:space="preserve"> governo, apesar de anunciar uma política de câmbio fixo, adotasse políticas que acabassem sendo incompatíveis com a rigidez da taxa de câmbio. Esse problema é conhecido na literatura como “inconsistência temporal da política econômica”. Assim, por exemplo</w:t>
      </w:r>
      <w:r>
        <w:rPr>
          <w:rFonts w:ascii="Times New Roman" w:eastAsia="Times New Roman" w:hAnsi="Times New Roman" w:cs="Times New Roman"/>
          <w:color w:val="231F20"/>
          <w:sz w:val="23"/>
          <w:szCs w:val="23"/>
        </w:rPr>
        <w:t>, a manutenção de déficits fiscais sistemáticos e sua monetização pressionam contra a manutenção da taxa fixa de câmbio.</w:t>
      </w:r>
      <w:r>
        <w:rPr>
          <w:rFonts w:ascii="Times New Roman" w:eastAsia="Times New Roman" w:hAnsi="Times New Roman" w:cs="Times New Roman"/>
          <w:color w:val="231F20"/>
          <w:sz w:val="23"/>
          <w:szCs w:val="23"/>
          <w:vertAlign w:val="superscript"/>
        </w:rPr>
        <w:footnoteReference w:id="2"/>
      </w:r>
    </w:p>
    <w:p w:rsidR="00CA5614" w:rsidRDefault="00542E8B">
      <w:pPr>
        <w:spacing w:after="0" w:line="245" w:lineRule="auto"/>
        <w:ind w:left="1094" w:right="1033"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Se é importante considerar que, se o câmbio fixo tem vantagens associadas ao controle inflacionário, também é relevante considerar que</w:t>
      </w:r>
      <w:r>
        <w:rPr>
          <w:rFonts w:ascii="Times New Roman" w:eastAsia="Times New Roman" w:hAnsi="Times New Roman" w:cs="Times New Roman"/>
          <w:color w:val="231F20"/>
          <w:sz w:val="23"/>
          <w:szCs w:val="23"/>
        </w:rPr>
        <w:t xml:space="preserve"> a desvalorização da taxa de câmbio implica, por exemplo, em ganhos de competitividade, pelo menos no curto prazo. Apesar das perdas no ponto de vista inflacionário, os ganhos nas exportações e possivelmente no emprego e na renda no curto prazo podem ser o</w:t>
      </w:r>
      <w:r>
        <w:rPr>
          <w:rFonts w:ascii="Times New Roman" w:eastAsia="Times New Roman" w:hAnsi="Times New Roman" w:cs="Times New Roman"/>
          <w:color w:val="231F20"/>
          <w:sz w:val="23"/>
          <w:szCs w:val="23"/>
        </w:rPr>
        <w:t xml:space="preserve">s motivos que levariam o governo a romper com a âncora, uma vez que o governo pode possuir objetivos múltiplos e a cada momento faz uma avaliação custo-benefício da manutenção da taxa de câmbio. É interessante observar que esses possíveis ganhos podem ser </w:t>
      </w:r>
      <w:r>
        <w:rPr>
          <w:rFonts w:ascii="Times New Roman" w:eastAsia="Times New Roman" w:hAnsi="Times New Roman" w:cs="Times New Roman"/>
          <w:color w:val="231F20"/>
          <w:sz w:val="23"/>
          <w:szCs w:val="23"/>
        </w:rPr>
        <w:t>ainda maiores (e as perdas menores) se a desvalorização for feita de modo inesperado pelo governo.</w:t>
      </w:r>
      <w:r>
        <w:rPr>
          <w:rFonts w:ascii="Times New Roman" w:eastAsia="Times New Roman" w:hAnsi="Times New Roman" w:cs="Times New Roman"/>
          <w:color w:val="231F20"/>
          <w:sz w:val="23"/>
          <w:szCs w:val="23"/>
          <w:vertAlign w:val="superscript"/>
        </w:rPr>
        <w:footnoteReference w:id="3"/>
      </w:r>
    </w:p>
    <w:p w:rsidR="00CA5614" w:rsidRDefault="00542E8B">
      <w:pPr>
        <w:spacing w:after="0" w:line="245" w:lineRule="auto"/>
        <w:ind w:left="1094" w:right="1033" w:firstLine="510"/>
        <w:jc w:val="both"/>
        <w:rPr>
          <w:sz w:val="20"/>
          <w:szCs w:val="20"/>
        </w:rPr>
      </w:pPr>
      <w:r>
        <w:rPr>
          <w:rFonts w:ascii="Times New Roman" w:eastAsia="Times New Roman" w:hAnsi="Times New Roman" w:cs="Times New Roman"/>
          <w:color w:val="231F20"/>
          <w:sz w:val="23"/>
          <w:szCs w:val="23"/>
        </w:rPr>
        <w:t>Desse modo, além de existir uma tradição relativamente arraigada do governo em se valer da política cambial para obter ganhos de competitividade, existem fo</w:t>
      </w:r>
      <w:r>
        <w:rPr>
          <w:rFonts w:ascii="Times New Roman" w:eastAsia="Times New Roman" w:hAnsi="Times New Roman" w:cs="Times New Roman"/>
          <w:color w:val="231F20"/>
          <w:sz w:val="23"/>
          <w:szCs w:val="23"/>
        </w:rPr>
        <w:t>rtes incentivos, percebidos pelos agentes, para que, em determinadas circunstâncias, o governo acabe por renegar a política anunciada (ver Agenor e Montiel, 1996).</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 xml:space="preserve">Isso, pelo menos em parte, explica as dificuldades de alguns </w:t>
      </w:r>
      <w:r>
        <w:rPr>
          <w:rFonts w:ascii="Times New Roman" w:eastAsia="Times New Roman" w:hAnsi="Times New Roman" w:cs="Times New Roman"/>
          <w:color w:val="231F20"/>
          <w:sz w:val="23"/>
          <w:szCs w:val="23"/>
        </w:rPr>
        <w:lastRenderedPageBreak/>
        <w:t>planos de estabilização com</w:t>
      </w:r>
      <w:r>
        <w:rPr>
          <w:sz w:val="20"/>
          <w:szCs w:val="20"/>
        </w:rPr>
        <w:t xml:space="preserve"> </w:t>
      </w:r>
      <w:r>
        <w:rPr>
          <w:rFonts w:ascii="Times New Roman" w:eastAsia="Times New Roman" w:hAnsi="Times New Roman" w:cs="Times New Roman"/>
          <w:color w:val="231F20"/>
          <w:sz w:val="23"/>
          <w:szCs w:val="23"/>
        </w:rPr>
        <w:t>anc</w:t>
      </w:r>
      <w:r>
        <w:rPr>
          <w:rFonts w:ascii="Times New Roman" w:eastAsia="Times New Roman" w:hAnsi="Times New Roman" w:cs="Times New Roman"/>
          <w:color w:val="231F20"/>
          <w:sz w:val="23"/>
          <w:szCs w:val="23"/>
        </w:rPr>
        <w:t xml:space="preserve">oragem cambial: a sua falta de credibilidade induz um comportamento não cooperativo por parte dos agentes econômicos, dificultando a adoção de âncoras cambiais mesmo em países onde essa opção de política pretendia ser levada à frente com todos os custos a </w:t>
      </w:r>
      <w:r>
        <w:rPr>
          <w:rFonts w:ascii="Times New Roman" w:eastAsia="Times New Roman" w:hAnsi="Times New Roman" w:cs="Times New Roman"/>
          <w:color w:val="231F20"/>
          <w:sz w:val="23"/>
          <w:szCs w:val="23"/>
        </w:rPr>
        <w:t>ela associados, dada a sua vantagem em termos de combate aos processos inflacionários crônicos.</w:t>
      </w:r>
    </w:p>
    <w:p w:rsidR="00CA5614" w:rsidRDefault="00542E8B">
      <w:pPr>
        <w:spacing w:after="0" w:line="245" w:lineRule="auto"/>
        <w:ind w:left="1094" w:right="1034"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Frente a esses problemas de credibilidade e em ambientes de abertura financeira, algumas opções se fizeram valer para os diferentes países latino-americanos que</w:t>
      </w:r>
      <w:r>
        <w:rPr>
          <w:rFonts w:ascii="Times New Roman" w:eastAsia="Times New Roman" w:hAnsi="Times New Roman" w:cs="Times New Roman"/>
          <w:color w:val="231F20"/>
          <w:sz w:val="23"/>
          <w:szCs w:val="23"/>
        </w:rPr>
        <w:t xml:space="preserve"> optaram pela ancoragem cambial como estratégia estabilizadora, especialmente para aqueles onde a inflação passou a ser um problema severo:</w:t>
      </w:r>
    </w:p>
    <w:p w:rsidR="00CA5614" w:rsidRDefault="00542E8B">
      <w:pPr>
        <w:numPr>
          <w:ilvl w:val="0"/>
          <w:numId w:val="1"/>
        </w:numPr>
        <w:pBdr>
          <w:top w:val="nil"/>
          <w:left w:val="nil"/>
          <w:bottom w:val="nil"/>
          <w:right w:val="nil"/>
          <w:between w:val="nil"/>
        </w:pBdr>
        <w:spacing w:before="74" w:after="0" w:line="244" w:lineRule="auto"/>
        <w:ind w:right="1033" w:hanging="587"/>
        <w:jc w:val="both"/>
        <w:rPr>
          <w:color w:val="000000"/>
          <w:sz w:val="23"/>
          <w:szCs w:val="23"/>
        </w:rPr>
      </w:pPr>
      <w:r>
        <w:rPr>
          <w:rFonts w:ascii="Times New Roman" w:eastAsia="Times New Roman" w:hAnsi="Times New Roman" w:cs="Times New Roman"/>
          <w:color w:val="231F20"/>
          <w:sz w:val="23"/>
          <w:szCs w:val="23"/>
        </w:rPr>
        <w:t>a persistência na política buscando obter essa credibilidade por meio de reputação e/ou sinalização, usando política</w:t>
      </w:r>
      <w:r>
        <w:rPr>
          <w:rFonts w:ascii="Times New Roman" w:eastAsia="Times New Roman" w:hAnsi="Times New Roman" w:cs="Times New Roman"/>
          <w:color w:val="231F20"/>
          <w:sz w:val="23"/>
          <w:szCs w:val="23"/>
        </w:rPr>
        <w:t xml:space="preserve">s correlatas (como a elevação das taxas de juros) de maneira intensa; ou seja, os governos entram na guerra das expectativas de modo firme, mantendo políticas mesmo quando estas não são necessárias, ou aprofundando a utilização de alguns instrumentos além </w:t>
      </w:r>
      <w:r>
        <w:rPr>
          <w:rFonts w:ascii="Times New Roman" w:eastAsia="Times New Roman" w:hAnsi="Times New Roman" w:cs="Times New Roman"/>
          <w:color w:val="231F20"/>
          <w:sz w:val="23"/>
          <w:szCs w:val="23"/>
        </w:rPr>
        <w:t>da necessidade, de modo a mostrar ao mercado sua determinação na utilização de políticas de câmbio fixo;</w:t>
      </w:r>
    </w:p>
    <w:p w:rsidR="00CA5614" w:rsidRDefault="00542E8B">
      <w:pPr>
        <w:numPr>
          <w:ilvl w:val="0"/>
          <w:numId w:val="1"/>
        </w:numPr>
        <w:pBdr>
          <w:top w:val="nil"/>
          <w:left w:val="nil"/>
          <w:bottom w:val="nil"/>
          <w:right w:val="nil"/>
          <w:between w:val="nil"/>
        </w:pBdr>
        <w:spacing w:after="0" w:line="244" w:lineRule="auto"/>
        <w:ind w:right="1033" w:hanging="587"/>
        <w:jc w:val="both"/>
        <w:rPr>
          <w:color w:val="000000"/>
          <w:sz w:val="23"/>
          <w:szCs w:val="23"/>
        </w:rPr>
      </w:pPr>
      <w:r>
        <w:rPr>
          <w:rFonts w:ascii="Times New Roman" w:eastAsia="Times New Roman" w:hAnsi="Times New Roman" w:cs="Times New Roman"/>
          <w:color w:val="231F20"/>
          <w:sz w:val="23"/>
          <w:szCs w:val="23"/>
        </w:rPr>
        <w:t>a construção de instituições que diminuam  a capacidade dos próprios governos em promover alterações na política cambial, de modo a não propriamente convencer os agentes quanto à estabilidade cambial, mas dar-lhes maior segurança quanto à disposição do gov</w:t>
      </w:r>
      <w:r>
        <w:rPr>
          <w:rFonts w:ascii="Times New Roman" w:eastAsia="Times New Roman" w:hAnsi="Times New Roman" w:cs="Times New Roman"/>
          <w:color w:val="231F20"/>
          <w:sz w:val="23"/>
          <w:szCs w:val="23"/>
        </w:rPr>
        <w:t xml:space="preserve">erno em relação à política e sua possibilidade de alterá-la. Dentro desse contexto, o principal exemplo é a instituição do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e, no limite, a dolarização.</w:t>
      </w:r>
    </w:p>
    <w:p w:rsidR="00CA5614" w:rsidRDefault="00542E8B">
      <w:pPr>
        <w:spacing w:before="74" w:after="0" w:line="244" w:lineRule="auto"/>
        <w:ind w:left="1134" w:right="1033"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Nem todos os países adotaram ancoragem fortes das taxas de câmbio, como fizeram a Argenti</w:t>
      </w:r>
      <w:r>
        <w:rPr>
          <w:rFonts w:ascii="Times New Roman" w:eastAsia="Times New Roman" w:hAnsi="Times New Roman" w:cs="Times New Roman"/>
          <w:sz w:val="23"/>
          <w:szCs w:val="23"/>
        </w:rPr>
        <w:t>na, o Brasil, o Equador ou mesmo o México, valendo-se de alguma forma das estratégias acima referidas em ambiente de forte abertura financeira. Alguns como Chile, Colômbia e mesmo o Peru, seja por terem problemas inflacionários menos dramáticos seja por te</w:t>
      </w:r>
      <w:r>
        <w:rPr>
          <w:rFonts w:ascii="Times New Roman" w:eastAsia="Times New Roman" w:hAnsi="Times New Roman" w:cs="Times New Roman"/>
          <w:sz w:val="23"/>
          <w:szCs w:val="23"/>
        </w:rPr>
        <w:t xml:space="preserve">rem optados por outras estratégias de controle desta inflação se valerem de regimes cambiais menos rígidos. Estes, em geral, mantiverem políticas, nos anos 90, de bandas cambiais, na verdade de </w:t>
      </w:r>
      <w:r>
        <w:rPr>
          <w:rFonts w:ascii="Times New Roman" w:eastAsia="Times New Roman" w:hAnsi="Times New Roman" w:cs="Times New Roman"/>
          <w:i/>
          <w:sz w:val="23"/>
          <w:szCs w:val="23"/>
        </w:rPr>
        <w:t>crawling bands</w:t>
      </w:r>
      <w:r>
        <w:rPr>
          <w:rFonts w:ascii="Times New Roman" w:eastAsia="Times New Roman" w:hAnsi="Times New Roman" w:cs="Times New Roman"/>
          <w:sz w:val="23"/>
          <w:szCs w:val="23"/>
        </w:rPr>
        <w:t xml:space="preserve"> e também, diferente de outros contextos onde a abertura financeira foi mais intensa como na Argentina e no Brasil, mantiveram estratégias de controle de fluxos de capital tentando manter algum grau de autonomia na condução da política monetária e evitando</w:t>
      </w:r>
      <w:r>
        <w:rPr>
          <w:rFonts w:ascii="Times New Roman" w:eastAsia="Times New Roman" w:hAnsi="Times New Roman" w:cs="Times New Roman"/>
          <w:sz w:val="23"/>
          <w:szCs w:val="23"/>
        </w:rPr>
        <w:t xml:space="preserve"> flutuações abruptas na taxa de cambio. </w:t>
      </w:r>
    </w:p>
    <w:p w:rsidR="00CA5614" w:rsidRDefault="00CA5614">
      <w:pPr>
        <w:spacing w:before="3" w:after="0"/>
        <w:rPr>
          <w:sz w:val="12"/>
          <w:szCs w:val="12"/>
        </w:rPr>
      </w:pPr>
    </w:p>
    <w:p w:rsidR="00CA5614" w:rsidRDefault="00CA5614">
      <w:pPr>
        <w:spacing w:after="0"/>
        <w:rPr>
          <w:sz w:val="20"/>
          <w:szCs w:val="20"/>
        </w:rPr>
      </w:pPr>
    </w:p>
    <w:p w:rsidR="00CA5614" w:rsidRDefault="00542E8B">
      <w:pPr>
        <w:spacing w:after="0"/>
        <w:ind w:left="1134" w:right="1055"/>
        <w:rPr>
          <w:rFonts w:ascii="Trebuchet MS" w:eastAsia="Trebuchet MS" w:hAnsi="Trebuchet MS" w:cs="Trebuchet MS"/>
          <w:sz w:val="24"/>
          <w:szCs w:val="24"/>
        </w:rPr>
      </w:pPr>
      <w:r>
        <w:rPr>
          <w:rFonts w:ascii="Trebuchet MS" w:eastAsia="Trebuchet MS" w:hAnsi="Trebuchet MS" w:cs="Trebuchet MS"/>
          <w:b/>
          <w:color w:val="7E5439"/>
          <w:sz w:val="24"/>
          <w:szCs w:val="24"/>
        </w:rPr>
        <w:t xml:space="preserve">5.3.2. O Regime de </w:t>
      </w:r>
      <w:r>
        <w:rPr>
          <w:rFonts w:ascii="Trebuchet MS" w:eastAsia="Trebuchet MS" w:hAnsi="Trebuchet MS" w:cs="Trebuchet MS"/>
          <w:b/>
          <w:i/>
          <w:color w:val="7E5439"/>
          <w:sz w:val="24"/>
          <w:szCs w:val="24"/>
        </w:rPr>
        <w:t>Currency Board</w:t>
      </w:r>
      <w:r>
        <w:rPr>
          <w:rFonts w:ascii="Trebuchet MS" w:eastAsia="Trebuchet MS" w:hAnsi="Trebuchet MS" w:cs="Trebuchet MS"/>
          <w:b/>
          <w:color w:val="7E5439"/>
          <w:sz w:val="24"/>
          <w:szCs w:val="24"/>
        </w:rPr>
        <w:t>: ascensão e queda na Argentina</w:t>
      </w:r>
    </w:p>
    <w:p w:rsidR="00CA5614" w:rsidRDefault="00CA5614">
      <w:pPr>
        <w:spacing w:before="1" w:after="0"/>
        <w:rPr>
          <w:sz w:val="10"/>
          <w:szCs w:val="10"/>
        </w:rPr>
      </w:pPr>
    </w:p>
    <w:p w:rsidR="00CA5614" w:rsidRDefault="00542E8B">
      <w:pPr>
        <w:spacing w:after="0" w:line="245"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Em última instância, o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 xml:space="preserve">tem como objetivo trazer maior </w:t>
      </w:r>
      <w:r>
        <w:rPr>
          <w:rFonts w:ascii="Times New Roman" w:eastAsia="Times New Roman" w:hAnsi="Times New Roman" w:cs="Times New Roman"/>
          <w:color w:val="231F20"/>
          <w:sz w:val="23"/>
          <w:szCs w:val="23"/>
        </w:rPr>
        <w:lastRenderedPageBreak/>
        <w:t>disciplina às políticas monetária e fiscal nas economias que a adotam o que ac</w:t>
      </w:r>
      <w:r>
        <w:rPr>
          <w:rFonts w:ascii="Times New Roman" w:eastAsia="Times New Roman" w:hAnsi="Times New Roman" w:cs="Times New Roman"/>
          <w:color w:val="231F20"/>
          <w:sz w:val="23"/>
          <w:szCs w:val="23"/>
        </w:rPr>
        <w:t>aba tornando a ancoragem cambial mais crível. Nesse regime, a taxa de câmbio é fixa, ficando garantida a conversibilidade entre as moedas e a emissão monetária passa a ser vinculada ao estoque de reservas internacionais do país.</w:t>
      </w:r>
    </w:p>
    <w:p w:rsidR="00CA5614" w:rsidRDefault="00542E8B">
      <w:pPr>
        <w:spacing w:after="0" w:line="245" w:lineRule="auto"/>
        <w:ind w:left="1094" w:right="1033" w:firstLine="510"/>
        <w:jc w:val="both"/>
        <w:rPr>
          <w:sz w:val="20"/>
          <w:szCs w:val="20"/>
        </w:rPr>
      </w:pPr>
      <w:r>
        <w:rPr>
          <w:rFonts w:ascii="Times New Roman" w:eastAsia="Times New Roman" w:hAnsi="Times New Roman" w:cs="Times New Roman"/>
          <w:color w:val="231F20"/>
          <w:sz w:val="23"/>
          <w:szCs w:val="23"/>
        </w:rPr>
        <w:t xml:space="preserve">Num modelo de </w:t>
      </w:r>
      <w:r>
        <w:rPr>
          <w:rFonts w:ascii="Times New Roman" w:eastAsia="Times New Roman" w:hAnsi="Times New Roman" w:cs="Times New Roman"/>
          <w:i/>
          <w:color w:val="231F20"/>
          <w:sz w:val="23"/>
          <w:szCs w:val="23"/>
        </w:rPr>
        <w:t>Currency Boar</w:t>
      </w:r>
      <w:r>
        <w:rPr>
          <w:rFonts w:ascii="Times New Roman" w:eastAsia="Times New Roman" w:hAnsi="Times New Roman" w:cs="Times New Roman"/>
          <w:i/>
          <w:color w:val="231F20"/>
          <w:sz w:val="23"/>
          <w:szCs w:val="23"/>
        </w:rPr>
        <w:t>d</w:t>
      </w:r>
      <w:r>
        <w:rPr>
          <w:rFonts w:ascii="Times New Roman" w:eastAsia="Times New Roman" w:hAnsi="Times New Roman" w:cs="Times New Roman"/>
          <w:color w:val="231F20"/>
          <w:sz w:val="23"/>
          <w:szCs w:val="23"/>
        </w:rPr>
        <w:t>, a Autoridade Monetária perde seu poder discricionário sobre a oferta monetária e o governo passa a experimentar forte restrição aos seus gastos, já que não pode emitir moeda para financiar déficits. Outro aspecto interessante associado à adoção de uma â</w:t>
      </w:r>
      <w:r>
        <w:rPr>
          <w:rFonts w:ascii="Times New Roman" w:eastAsia="Times New Roman" w:hAnsi="Times New Roman" w:cs="Times New Roman"/>
          <w:color w:val="231F20"/>
          <w:sz w:val="23"/>
          <w:szCs w:val="23"/>
        </w:rPr>
        <w:t>ncora cambial crível é a potencial redução das taxas de juros em função da diminuição do risco de desvalorização cambial. Esses aspectos, juntamente com a fixação de um importante preço da economia</w:t>
      </w:r>
      <w:r>
        <w:rPr>
          <w:sz w:val="20"/>
          <w:szCs w:val="20"/>
        </w:rPr>
        <w:t xml:space="preserve"> </w:t>
      </w:r>
      <w:r>
        <w:rPr>
          <w:rFonts w:ascii="Times New Roman" w:eastAsia="Times New Roman" w:hAnsi="Times New Roman" w:cs="Times New Roman"/>
          <w:color w:val="231F20"/>
          <w:sz w:val="23"/>
          <w:szCs w:val="23"/>
        </w:rPr>
        <w:t>(a taxa de câmbio), acabam por estabilizar os preços dos c</w:t>
      </w:r>
      <w:r>
        <w:rPr>
          <w:rFonts w:ascii="Times New Roman" w:eastAsia="Times New Roman" w:hAnsi="Times New Roman" w:cs="Times New Roman"/>
          <w:color w:val="231F20"/>
          <w:sz w:val="23"/>
          <w:szCs w:val="23"/>
        </w:rPr>
        <w:t xml:space="preserve">hamados bens </w:t>
      </w:r>
      <w:r>
        <w:rPr>
          <w:rFonts w:ascii="Times New Roman" w:eastAsia="Times New Roman" w:hAnsi="Times New Roman" w:cs="Times New Roman"/>
          <w:i/>
          <w:color w:val="231F20"/>
          <w:sz w:val="23"/>
          <w:szCs w:val="23"/>
        </w:rPr>
        <w:t>tradeables</w:t>
      </w:r>
      <w:r>
        <w:rPr>
          <w:rFonts w:ascii="Times New Roman" w:eastAsia="Times New Roman" w:hAnsi="Times New Roman" w:cs="Times New Roman"/>
          <w:color w:val="231F20"/>
          <w:sz w:val="23"/>
          <w:szCs w:val="23"/>
        </w:rPr>
        <w:t>, trazendo, assim, ganhos adicionais no controle da inflação. Ou seja, elimina-se, ao mesmo tempo, as causas e parte dos componentes autônomos da inflação. Isto é tanto mais verdadeiro quanto maior for a abertura dessa economia, ou s</w:t>
      </w:r>
      <w:r>
        <w:rPr>
          <w:rFonts w:ascii="Times New Roman" w:eastAsia="Times New Roman" w:hAnsi="Times New Roman" w:cs="Times New Roman"/>
          <w:color w:val="231F20"/>
          <w:sz w:val="23"/>
          <w:szCs w:val="23"/>
        </w:rPr>
        <w:t>e ela estiver sendo promovida.</w:t>
      </w:r>
    </w:p>
    <w:p w:rsidR="00CA5614" w:rsidRDefault="00CA5614">
      <w:pPr>
        <w:spacing w:before="1" w:after="0"/>
        <w:rPr>
          <w:sz w:val="17"/>
          <w:szCs w:val="17"/>
        </w:rPr>
      </w:pPr>
    </w:p>
    <w:p w:rsidR="00CA5614" w:rsidRDefault="00542E8B">
      <w:pPr>
        <w:spacing w:after="0" w:line="250"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Esse regime cambial, porém, apresenta alguns inconvenientes. O primeiro a ser destacado é a diminuição dos instrumentos de política econômica: a política monetária, que fica condicionada ao comportamento das contas externas do país e, principalmente, a pol</w:t>
      </w:r>
      <w:r>
        <w:rPr>
          <w:rFonts w:ascii="Times New Roman" w:eastAsia="Times New Roman" w:hAnsi="Times New Roman" w:cs="Times New Roman"/>
          <w:color w:val="231F20"/>
          <w:sz w:val="23"/>
          <w:szCs w:val="23"/>
        </w:rPr>
        <w:t xml:space="preserve">ítica cambial. Dependendo da estrutura institucional do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pode-se comprometer as operações diárias de controle de liquidez e a capacidade de intervenção das autoridades monetárias frente a possíveis crises bancárias.</w:t>
      </w:r>
    </w:p>
    <w:p w:rsidR="00CA5614" w:rsidRDefault="00CA5614">
      <w:pPr>
        <w:spacing w:before="1" w:after="0"/>
        <w:rPr>
          <w:sz w:val="17"/>
          <w:szCs w:val="17"/>
        </w:rPr>
      </w:pPr>
    </w:p>
    <w:p w:rsidR="00CA5614" w:rsidRDefault="00542E8B">
      <w:pPr>
        <w:spacing w:after="0" w:line="250" w:lineRule="auto"/>
        <w:ind w:left="1093"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Outra grande dificuldade desse tipo de regime reside na avaliação do mercado, nacional e internacional, quanto à capacidade do governo em garantir a conversibilidade da moeda. Para tanto é necessário possuir reservas cambiais e/ou um fluxo de entrada de mo</w:t>
      </w:r>
      <w:r>
        <w:rPr>
          <w:rFonts w:ascii="Times New Roman" w:eastAsia="Times New Roman" w:hAnsi="Times New Roman" w:cs="Times New Roman"/>
          <w:color w:val="231F20"/>
          <w:sz w:val="23"/>
          <w:szCs w:val="23"/>
        </w:rPr>
        <w:t>eda estrangeira razoável. Esse fluxo, por sua vez, depende do estado de confiança que os investidores estrangeiros depositam no país. Num mundo de incertezas e de grandes movimentos especulativos, tal fluxo está longe de ser estável. Por outro lado, se o p</w:t>
      </w:r>
      <w:r>
        <w:rPr>
          <w:rFonts w:ascii="Times New Roman" w:eastAsia="Times New Roman" w:hAnsi="Times New Roman" w:cs="Times New Roman"/>
          <w:color w:val="231F20"/>
          <w:sz w:val="23"/>
          <w:szCs w:val="23"/>
        </w:rPr>
        <w:t>aís passar a apresentar sucessivos déficits na balança de transações correntes, sem perspectiva de reversão desse déficit no futuro (um quadro de inconsistência intertemporal), o mercado pode entender que a paridade escolhida não é a de equilíbrio, antecip</w:t>
      </w:r>
      <w:r>
        <w:rPr>
          <w:rFonts w:ascii="Times New Roman" w:eastAsia="Times New Roman" w:hAnsi="Times New Roman" w:cs="Times New Roman"/>
          <w:color w:val="231F20"/>
          <w:sz w:val="23"/>
          <w:szCs w:val="23"/>
        </w:rPr>
        <w:t>ando, por meio de uma forte fuga de divisas, a desvalorização cambial.</w:t>
      </w:r>
    </w:p>
    <w:p w:rsidR="00CA5614" w:rsidRDefault="00CA5614">
      <w:pPr>
        <w:spacing w:before="1" w:after="0"/>
        <w:rPr>
          <w:sz w:val="17"/>
          <w:szCs w:val="17"/>
        </w:rPr>
      </w:pPr>
    </w:p>
    <w:p w:rsidR="00CA5614" w:rsidRDefault="00542E8B">
      <w:pPr>
        <w:spacing w:after="0" w:line="250" w:lineRule="auto"/>
        <w:ind w:left="1093"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Essa possibilidade é reforçada se levarmos em conta dois aspectos. Primeiramente todos os processos de estabilização com base em âncoras cambiais têm apresentado um aquecimento da econ</w:t>
      </w:r>
      <w:r>
        <w:rPr>
          <w:rFonts w:ascii="Times New Roman" w:eastAsia="Times New Roman" w:hAnsi="Times New Roman" w:cs="Times New Roman"/>
          <w:color w:val="231F20"/>
          <w:sz w:val="23"/>
          <w:szCs w:val="23"/>
        </w:rPr>
        <w:t>omia no imediato pós-plano, o que pressiona negativamente a balança comercial. Acresce-se a isso uma tendência à valorização real da taxa de câmbio em função de uma inflação residual que normalmente é superior à inflação internacional, reforçando a deterio</w:t>
      </w:r>
      <w:r>
        <w:rPr>
          <w:rFonts w:ascii="Times New Roman" w:eastAsia="Times New Roman" w:hAnsi="Times New Roman" w:cs="Times New Roman"/>
          <w:color w:val="231F20"/>
          <w:sz w:val="23"/>
          <w:szCs w:val="23"/>
        </w:rPr>
        <w:t xml:space="preserve">ração da </w:t>
      </w:r>
      <w:r>
        <w:rPr>
          <w:rFonts w:ascii="Times New Roman" w:eastAsia="Times New Roman" w:hAnsi="Times New Roman" w:cs="Times New Roman"/>
          <w:color w:val="231F20"/>
          <w:sz w:val="23"/>
          <w:szCs w:val="23"/>
        </w:rPr>
        <w:lastRenderedPageBreak/>
        <w:t>balança comercial. No curto prazo, o equilíbrio é obtido por meio de conta de capitais, a qual, normalmente, tem uma tendência francamente positiva devido à melhoria das condições de risco da economia e da manutenção de juros elevados, combinados,</w:t>
      </w:r>
      <w:r>
        <w:rPr>
          <w:rFonts w:ascii="Times New Roman" w:eastAsia="Times New Roman" w:hAnsi="Times New Roman" w:cs="Times New Roman"/>
          <w:color w:val="231F20"/>
          <w:sz w:val="23"/>
          <w:szCs w:val="23"/>
        </w:rPr>
        <w:t xml:space="preserve"> normalmente, com uma abertura financeira. No caso dos anos 1990, esse processo foi ainda reforçado por uma situação favorável de liquidez no mercado internacional de capitais.</w:t>
      </w:r>
    </w:p>
    <w:p w:rsidR="00CA5614" w:rsidRDefault="00CA5614">
      <w:pPr>
        <w:spacing w:before="1" w:after="0"/>
        <w:rPr>
          <w:sz w:val="17"/>
          <w:szCs w:val="17"/>
        </w:rPr>
      </w:pPr>
    </w:p>
    <w:p w:rsidR="00CA5614" w:rsidRDefault="00542E8B">
      <w:pPr>
        <w:spacing w:after="0" w:line="250" w:lineRule="auto"/>
        <w:ind w:left="1093" w:right="1033" w:firstLine="510"/>
        <w:jc w:val="both"/>
        <w:rPr>
          <w:sz w:val="20"/>
          <w:szCs w:val="20"/>
        </w:rPr>
      </w:pPr>
      <w:r>
        <w:rPr>
          <w:rFonts w:ascii="Times New Roman" w:eastAsia="Times New Roman" w:hAnsi="Times New Roman" w:cs="Times New Roman"/>
          <w:color w:val="231F20"/>
          <w:sz w:val="23"/>
          <w:szCs w:val="23"/>
        </w:rPr>
        <w:t>O fluxo de capitais pode ser, portanto, mais do que suficiente para resolver o</w:t>
      </w:r>
      <w:r>
        <w:rPr>
          <w:rFonts w:ascii="Times New Roman" w:eastAsia="Times New Roman" w:hAnsi="Times New Roman" w:cs="Times New Roman"/>
          <w:color w:val="231F20"/>
          <w:sz w:val="23"/>
          <w:szCs w:val="23"/>
        </w:rPr>
        <w:t xml:space="preserve"> problema da balança comercial. Porém, colocam-se novos problemas. Por um lado, a lógica da política monetária induziria a uma elevação da oferta de moeda no país, o que poderia comprometer as metas de controle inflacionário.</w:t>
      </w:r>
      <w:r>
        <w:rPr>
          <w:sz w:val="20"/>
          <w:szCs w:val="20"/>
        </w:rPr>
        <w:t xml:space="preserve"> </w:t>
      </w:r>
      <w:r>
        <w:rPr>
          <w:rFonts w:ascii="Times New Roman" w:eastAsia="Times New Roman" w:hAnsi="Times New Roman" w:cs="Times New Roman"/>
          <w:color w:val="231F20"/>
          <w:sz w:val="23"/>
          <w:szCs w:val="23"/>
        </w:rPr>
        <w:t>Tal possibilidade, entretanto,</w:t>
      </w:r>
      <w:r>
        <w:rPr>
          <w:rFonts w:ascii="Times New Roman" w:eastAsia="Times New Roman" w:hAnsi="Times New Roman" w:cs="Times New Roman"/>
          <w:color w:val="231F20"/>
          <w:sz w:val="23"/>
          <w:szCs w:val="23"/>
        </w:rPr>
        <w:t xml:space="preserve"> tende a não ocorrer, pois as autoridades geralmente ativam operações de esterilização.</w:t>
      </w:r>
      <w:r>
        <w:rPr>
          <w:rFonts w:ascii="Times New Roman" w:eastAsia="Times New Roman" w:hAnsi="Times New Roman" w:cs="Times New Roman"/>
          <w:color w:val="231F20"/>
          <w:sz w:val="23"/>
          <w:szCs w:val="23"/>
          <w:vertAlign w:val="superscript"/>
        </w:rPr>
        <w:footnoteReference w:id="4"/>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Essas operações, contudo, podem significar a deterioração das condições fiscais do governo em função da elevação da dívida pública. Por outro lado, existe o problema t</w:t>
      </w:r>
      <w:r>
        <w:rPr>
          <w:rFonts w:ascii="Times New Roman" w:eastAsia="Times New Roman" w:hAnsi="Times New Roman" w:cs="Times New Roman"/>
          <w:color w:val="231F20"/>
          <w:sz w:val="23"/>
          <w:szCs w:val="23"/>
        </w:rPr>
        <w:t>emporal relativo ao ingresso de capital externo. Tanto esses fluxos são, como vimos, extremamente voláteis, que no longo prazo eles exigem a geração de uma maior capacidade de atrair recursos de forma a fazer frente aos serviços decorrentes.</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Todos esses e</w:t>
      </w:r>
      <w:r>
        <w:rPr>
          <w:rFonts w:ascii="Times New Roman" w:eastAsia="Times New Roman" w:hAnsi="Times New Roman" w:cs="Times New Roman"/>
          <w:color w:val="231F20"/>
          <w:sz w:val="23"/>
          <w:szCs w:val="23"/>
        </w:rPr>
        <w:t>lementos – deterioração da balança comercial, das contas públicas e incertezas em relação à estabilidade da balança de capitais e as condições futuras de fazer frente aos serviços da dívida – recolocam o problema do risco e das expectativas no cenário da a</w:t>
      </w:r>
      <w:r>
        <w:rPr>
          <w:rFonts w:ascii="Times New Roman" w:eastAsia="Times New Roman" w:hAnsi="Times New Roman" w:cs="Times New Roman"/>
          <w:color w:val="231F20"/>
          <w:sz w:val="23"/>
          <w:szCs w:val="23"/>
        </w:rPr>
        <w:t>ncoragem cambial. Desse modo, para a manutenção da credibilidade no regime, a política econômica passa a ter contornos recessivos claros,</w:t>
      </w:r>
      <w:r>
        <w:rPr>
          <w:rFonts w:ascii="Times New Roman" w:eastAsia="Times New Roman" w:hAnsi="Times New Roman" w:cs="Times New Roman"/>
          <w:color w:val="231F20"/>
          <w:sz w:val="23"/>
          <w:szCs w:val="23"/>
          <w:vertAlign w:val="superscript"/>
        </w:rPr>
        <w:footnoteReference w:id="5"/>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ao mesmo tempo que reforça a necessidade de se fazer ajustes estruturais nessa economia. Tais ajustes visam obter gan</w:t>
      </w:r>
      <w:r>
        <w:rPr>
          <w:rFonts w:ascii="Times New Roman" w:eastAsia="Times New Roman" w:hAnsi="Times New Roman" w:cs="Times New Roman"/>
          <w:color w:val="231F20"/>
          <w:sz w:val="23"/>
          <w:szCs w:val="23"/>
        </w:rPr>
        <w:t>hos de competitividade e reforçar a possibilidade de gerar superávits futuros.</w:t>
      </w:r>
      <w:r>
        <w:rPr>
          <w:rFonts w:ascii="Times New Roman" w:eastAsia="Times New Roman" w:hAnsi="Times New Roman" w:cs="Times New Roman"/>
          <w:color w:val="231F20"/>
          <w:sz w:val="23"/>
          <w:szCs w:val="23"/>
          <w:vertAlign w:val="superscript"/>
        </w:rPr>
        <w:footnoteReference w:id="6"/>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 xml:space="preserve">Pode-se afirmar também que a provável situação recessiva decorrente da adoção de um regime de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é de difícil sustentação política. Nesse sentido, passam a ser pen</w:t>
      </w:r>
      <w:r>
        <w:rPr>
          <w:rFonts w:ascii="Times New Roman" w:eastAsia="Times New Roman" w:hAnsi="Times New Roman" w:cs="Times New Roman"/>
          <w:color w:val="231F20"/>
          <w:sz w:val="23"/>
          <w:szCs w:val="23"/>
        </w:rPr>
        <w:t>sadas alternativas para tal situação. A mais evidente é o abandono da âncora, desvalorizando o câmbio e aliviando, assim, as pressões recessivas. O pressuposto para tal medida é a solução do problema que teria justificado a ancoragem: a inflação. Assim, ap</w:t>
      </w:r>
      <w:r>
        <w:rPr>
          <w:rFonts w:ascii="Times New Roman" w:eastAsia="Times New Roman" w:hAnsi="Times New Roman" w:cs="Times New Roman"/>
          <w:color w:val="231F20"/>
          <w:sz w:val="23"/>
          <w:szCs w:val="23"/>
        </w:rPr>
        <w:t xml:space="preserve">esar de se correr riscos de volta do processo inflacionário, assume-se que os anos de ancoragem foram suficientes para debelar tal problema. Essa é uma questão que assume uma complexidade maior quando o país adota com muita frequência a âncora – o dólar – </w:t>
      </w:r>
      <w:r>
        <w:rPr>
          <w:rFonts w:ascii="Times New Roman" w:eastAsia="Times New Roman" w:hAnsi="Times New Roman" w:cs="Times New Roman"/>
          <w:color w:val="231F20"/>
          <w:sz w:val="23"/>
          <w:szCs w:val="23"/>
        </w:rPr>
        <w:t>como unidade de conta.</w:t>
      </w:r>
    </w:p>
    <w:p w:rsidR="00CA5614" w:rsidRDefault="00CA5614">
      <w:pPr>
        <w:spacing w:after="0"/>
        <w:rPr>
          <w:sz w:val="17"/>
          <w:szCs w:val="17"/>
        </w:rPr>
      </w:pPr>
    </w:p>
    <w:p w:rsidR="00CA5614" w:rsidRDefault="00542E8B">
      <w:pPr>
        <w:spacing w:after="0" w:line="245" w:lineRule="auto"/>
        <w:ind w:left="1094" w:right="1033" w:firstLine="510"/>
        <w:jc w:val="both"/>
        <w:rPr>
          <w:sz w:val="20"/>
          <w:szCs w:val="20"/>
        </w:rPr>
      </w:pPr>
      <w:r>
        <w:rPr>
          <w:rFonts w:ascii="Times New Roman" w:eastAsia="Times New Roman" w:hAnsi="Times New Roman" w:cs="Times New Roman"/>
          <w:color w:val="231F20"/>
          <w:sz w:val="23"/>
          <w:szCs w:val="23"/>
        </w:rPr>
        <w:t>A passagem para um sistema de câmbio flutuante, porém, não envolve apenas a questão inflacionária. Nesse contexto, os riscos de crise cambial e fuga de capital não são pequenos. De fato, a disposição do governo argentino em manter o</w:t>
      </w:r>
      <w:r>
        <w:rPr>
          <w:rFonts w:ascii="Times New Roman" w:eastAsia="Times New Roman" w:hAnsi="Times New Roman" w:cs="Times New Roman"/>
          <w:color w:val="231F20"/>
          <w:sz w:val="23"/>
          <w:szCs w:val="23"/>
        </w:rPr>
        <w:t xml:space="preserve"> regime de câmbio fixo foi levada às últimas consequências, buscando-se a todo custo manter o regime de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Este, na Argentina, se diferenciou de uma simples ancoragem cambial pelo fato de ter sido implementado a partir de determinação constitu</w:t>
      </w:r>
      <w:r>
        <w:rPr>
          <w:rFonts w:ascii="Times New Roman" w:eastAsia="Times New Roman" w:hAnsi="Times New Roman" w:cs="Times New Roman"/>
          <w:color w:val="231F20"/>
          <w:sz w:val="23"/>
          <w:szCs w:val="23"/>
        </w:rPr>
        <w:t>cional que, se não garante totalmente a credibilidade do sistema, pelo menos reforça essa credibilidade ao criar dificuldades legais e políticas para o governo no caso de sua disposição em alterar o regime. Desse modo, o caso argentino é sintomático, já qu</w:t>
      </w:r>
      <w:r>
        <w:rPr>
          <w:rFonts w:ascii="Times New Roman" w:eastAsia="Times New Roman" w:hAnsi="Times New Roman" w:cs="Times New Roman"/>
          <w:color w:val="231F20"/>
          <w:sz w:val="23"/>
          <w:szCs w:val="23"/>
        </w:rPr>
        <w:t>e a ancoragem cambial, juntamente</w:t>
      </w:r>
      <w:r>
        <w:rPr>
          <w:sz w:val="20"/>
          <w:szCs w:val="20"/>
        </w:rPr>
        <w:t xml:space="preserve"> </w:t>
      </w:r>
      <w:r>
        <w:rPr>
          <w:rFonts w:ascii="Times New Roman" w:eastAsia="Times New Roman" w:hAnsi="Times New Roman" w:cs="Times New Roman"/>
          <w:color w:val="231F20"/>
          <w:sz w:val="23"/>
          <w:szCs w:val="23"/>
        </w:rPr>
        <w:t xml:space="preserve">com o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foi determinada em lei e esta contemplava também a política monetária que passava a estar condicionada ao desempenho do balanço de pagamentos. A emissão de moeda tornou-se uma função do volume de res</w:t>
      </w:r>
      <w:r>
        <w:rPr>
          <w:rFonts w:ascii="Times New Roman" w:eastAsia="Times New Roman" w:hAnsi="Times New Roman" w:cs="Times New Roman"/>
          <w:color w:val="231F20"/>
          <w:sz w:val="23"/>
          <w:szCs w:val="23"/>
        </w:rPr>
        <w:t>ervas dessa economia. A moeda nacional passou a estar lastreada nas reservas internacionais do país.</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 xml:space="preserve">O regime do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argentino foi inicialmente bem-sucedido, pelo menos no que diz respeito ao fim do processo hiperinflacionário naquele país. Tam</w:t>
      </w:r>
      <w:r>
        <w:rPr>
          <w:rFonts w:ascii="Times New Roman" w:eastAsia="Times New Roman" w:hAnsi="Times New Roman" w:cs="Times New Roman"/>
          <w:color w:val="231F20"/>
          <w:sz w:val="23"/>
          <w:szCs w:val="23"/>
        </w:rPr>
        <w:t>bém foi crível pois se sustentou por quase uma década de crises financeiras internacionais. Mas sua grande virtude foi o seu grande defeito: a falta de flexibilidade e a grande dependência dos capitais especulativos.</w:t>
      </w:r>
    </w:p>
    <w:p w:rsidR="00CA5614" w:rsidRDefault="00CA5614">
      <w:pPr>
        <w:spacing w:after="0"/>
        <w:rPr>
          <w:sz w:val="17"/>
          <w:szCs w:val="17"/>
        </w:rPr>
      </w:pPr>
    </w:p>
    <w:p w:rsidR="00CA5614" w:rsidRDefault="00542E8B">
      <w:pPr>
        <w:spacing w:after="0" w:line="245" w:lineRule="auto"/>
        <w:ind w:left="1093"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 xml:space="preserve">Podemos citar pelo menos dois fatores </w:t>
      </w:r>
      <w:r>
        <w:rPr>
          <w:rFonts w:ascii="Times New Roman" w:eastAsia="Times New Roman" w:hAnsi="Times New Roman" w:cs="Times New Roman"/>
          <w:color w:val="231F20"/>
          <w:sz w:val="23"/>
          <w:szCs w:val="23"/>
        </w:rPr>
        <w:t xml:space="preserve">que contribuíram, por assim dizer, para o trágico fim do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na Argentina. Em primeiro lugar, pode-se apontar as dificuldades em se sustentar um regime de câmbio fixo num mundo que apresenta grande liberdade nos fluxos de capitais de curto prazo. Se o mundo apresenta-se estável sob o ponto de vista financeiro, os ca</w:t>
      </w:r>
      <w:r>
        <w:rPr>
          <w:rFonts w:ascii="Times New Roman" w:eastAsia="Times New Roman" w:hAnsi="Times New Roman" w:cs="Times New Roman"/>
          <w:color w:val="231F20"/>
          <w:sz w:val="23"/>
          <w:szCs w:val="23"/>
        </w:rPr>
        <w:t xml:space="preserve">pitais de curto prazo podem perfeitamente sustentar eventuais déficits em transações correntes e servir como estabilidade cambial no país que os atrai. Entretanto, as crises cambiais e financeiras ocorridas em várias economias emergentes na década de 1990 </w:t>
      </w:r>
      <w:r>
        <w:rPr>
          <w:rFonts w:ascii="Times New Roman" w:eastAsia="Times New Roman" w:hAnsi="Times New Roman" w:cs="Times New Roman"/>
          <w:color w:val="231F20"/>
          <w:sz w:val="23"/>
          <w:szCs w:val="23"/>
        </w:rPr>
        <w:t>demonstram que a estabilidade do sistema financeiro internacional constitui-se não numa regra mas em exceção. A crise do México em</w:t>
      </w:r>
    </w:p>
    <w:p w:rsidR="00CA5614" w:rsidRDefault="00542E8B">
      <w:pPr>
        <w:spacing w:after="0" w:line="245" w:lineRule="auto"/>
        <w:ind w:left="1093" w:right="1034"/>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 xml:space="preserve">1995 pode ser considerada o primeiro fator de desestabilização do sistema argentino, que somente não se concretizou em crise </w:t>
      </w:r>
      <w:r>
        <w:rPr>
          <w:rFonts w:ascii="Times New Roman" w:eastAsia="Times New Roman" w:hAnsi="Times New Roman" w:cs="Times New Roman"/>
          <w:color w:val="231F20"/>
          <w:sz w:val="23"/>
          <w:szCs w:val="23"/>
        </w:rPr>
        <w:t xml:space="preserve">naquele momento em função dos números favoráveis do intercâmbio comercial da Argentina com o Brasil, beneficiados pelo Mercosul e pela valorização da moeda brasileira. Posteriormente, a Argentina viria a sofrer com as crises na Ásia em 1997 e na Rússia em </w:t>
      </w:r>
      <w:r>
        <w:rPr>
          <w:rFonts w:ascii="Times New Roman" w:eastAsia="Times New Roman" w:hAnsi="Times New Roman" w:cs="Times New Roman"/>
          <w:color w:val="231F20"/>
          <w:sz w:val="23"/>
          <w:szCs w:val="23"/>
        </w:rPr>
        <w:t>1998. A crise cambial brasileira em 1999 parece ter dado o “golpe de misericórdia” na situação já deteriorada. É interessante notar que, enquanto as crises do México, Ásia e Rússia atingiram o país por meio do sistema financeiro, o grande veículo de transm</w:t>
      </w:r>
      <w:r>
        <w:rPr>
          <w:rFonts w:ascii="Times New Roman" w:eastAsia="Times New Roman" w:hAnsi="Times New Roman" w:cs="Times New Roman"/>
          <w:color w:val="231F20"/>
          <w:sz w:val="23"/>
          <w:szCs w:val="23"/>
        </w:rPr>
        <w:t xml:space="preserve">issão da crise brasileira foi pelo lado real da economia, uma vez que o Brasil apresentava-se como o principal parceiro comercial da Argentina. (Wise, 2001) </w:t>
      </w:r>
    </w:p>
    <w:p w:rsidR="00CA5614" w:rsidRDefault="00CA5614">
      <w:pPr>
        <w:spacing w:before="6" w:after="0"/>
        <w:rPr>
          <w:sz w:val="17"/>
          <w:szCs w:val="17"/>
        </w:rPr>
      </w:pPr>
    </w:p>
    <w:p w:rsidR="00CA5614" w:rsidRDefault="00542E8B">
      <w:pPr>
        <w:spacing w:after="0" w:line="250" w:lineRule="auto"/>
        <w:ind w:left="1094" w:right="1033" w:firstLine="510"/>
        <w:jc w:val="both"/>
        <w:rPr>
          <w:sz w:val="20"/>
          <w:szCs w:val="20"/>
        </w:rPr>
      </w:pPr>
      <w:r>
        <w:rPr>
          <w:rFonts w:ascii="Times New Roman" w:eastAsia="Times New Roman" w:hAnsi="Times New Roman" w:cs="Times New Roman"/>
          <w:color w:val="231F20"/>
          <w:sz w:val="23"/>
          <w:szCs w:val="23"/>
        </w:rPr>
        <w:t>Em segundo lugar, uma vez que o país adote um regime de câmbio fixo, é importante que ele mantenha a competitividade de suas empresas comparativamente ao resto do mundo. Isso parece não ter ocorrido na Argentina, que tornou-se um país “caro”. Apesar do suc</w:t>
      </w:r>
      <w:r>
        <w:rPr>
          <w:rFonts w:ascii="Times New Roman" w:eastAsia="Times New Roman" w:hAnsi="Times New Roman" w:cs="Times New Roman"/>
          <w:color w:val="231F20"/>
          <w:sz w:val="23"/>
          <w:szCs w:val="23"/>
        </w:rPr>
        <w:t>esso do plano de estabilização, a inflação Argentina manteve-se acima da dos Estados Unidos durante o período de 1991</w:t>
      </w:r>
      <w:r>
        <w:rPr>
          <w:sz w:val="20"/>
          <w:szCs w:val="20"/>
        </w:rPr>
        <w:t xml:space="preserve"> </w:t>
      </w:r>
      <w:r>
        <w:rPr>
          <w:rFonts w:ascii="Times New Roman" w:eastAsia="Times New Roman" w:hAnsi="Times New Roman" w:cs="Times New Roman"/>
          <w:color w:val="231F20"/>
          <w:sz w:val="23"/>
          <w:szCs w:val="23"/>
        </w:rPr>
        <w:t xml:space="preserve">a 1994 (Wise, 2001a). </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 xml:space="preserve">Uma alternativa para recuperar a competitividade das empresas argentinas seria aprofundar os ajustes no mercado de </w:t>
      </w:r>
      <w:r>
        <w:rPr>
          <w:rFonts w:ascii="Times New Roman" w:eastAsia="Times New Roman" w:hAnsi="Times New Roman" w:cs="Times New Roman"/>
          <w:color w:val="231F20"/>
          <w:sz w:val="23"/>
          <w:szCs w:val="23"/>
        </w:rPr>
        <w:t>trabalho. Isso, obviamente, não ocorreu, tendo em vista que este mercado está longe de apresentar flexibilidade salarial. Do mesmo modo, a manutenção do câmbio fixo exigia aprofundamentos ainda maiores nos ajustes no governo argentino (incluindo as provínc</w:t>
      </w:r>
      <w:r>
        <w:rPr>
          <w:rFonts w:ascii="Times New Roman" w:eastAsia="Times New Roman" w:hAnsi="Times New Roman" w:cs="Times New Roman"/>
          <w:color w:val="231F20"/>
          <w:sz w:val="23"/>
          <w:szCs w:val="23"/>
        </w:rPr>
        <w:t>ias). Os sucessivos e crescentes déficits nas transações correntes Argentina, juntamente com os problemas estruturais destacados anteriormente, evidenciaram a situação insustentável do sistema. A crise cambial naquele país seria apenas uma questão de tempo</w:t>
      </w:r>
      <w:r>
        <w:rPr>
          <w:rFonts w:ascii="Times New Roman" w:eastAsia="Times New Roman" w:hAnsi="Times New Roman" w:cs="Times New Roman"/>
          <w:color w:val="231F20"/>
          <w:sz w:val="23"/>
          <w:szCs w:val="23"/>
        </w:rPr>
        <w:t>, particularmente após a crise brasileira em 1999. E de fato acabou por acontecer no início de 2002, levando a Argentina a uma profunda crise econômica.</w:t>
      </w:r>
    </w:p>
    <w:p w:rsidR="00CA5614" w:rsidRDefault="00CA5614">
      <w:pPr>
        <w:spacing w:after="0"/>
        <w:rPr>
          <w:sz w:val="17"/>
          <w:szCs w:val="17"/>
        </w:rPr>
      </w:pPr>
    </w:p>
    <w:p w:rsidR="00CA5614" w:rsidRDefault="00542E8B">
      <w:pPr>
        <w:spacing w:after="0" w:line="250" w:lineRule="auto"/>
        <w:ind w:left="1093" w:right="1034" w:firstLine="510"/>
        <w:jc w:val="both"/>
        <w:rPr>
          <w:sz w:val="13"/>
          <w:szCs w:val="13"/>
        </w:rPr>
      </w:pPr>
      <w:r>
        <w:rPr>
          <w:rFonts w:ascii="Times New Roman" w:eastAsia="Times New Roman" w:hAnsi="Times New Roman" w:cs="Times New Roman"/>
          <w:color w:val="231F20"/>
          <w:sz w:val="23"/>
          <w:szCs w:val="23"/>
        </w:rPr>
        <w:t xml:space="preserve">Mas então por que a Argentina não se desfez do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antes da deterioração das condições que</w:t>
      </w:r>
      <w:r>
        <w:rPr>
          <w:rFonts w:ascii="Times New Roman" w:eastAsia="Times New Roman" w:hAnsi="Times New Roman" w:cs="Times New Roman"/>
          <w:color w:val="231F20"/>
          <w:sz w:val="23"/>
          <w:szCs w:val="23"/>
        </w:rPr>
        <w:t xml:space="preserve"> pudessem sustentar o regime? Para se ter uma possível resposta a essa questão, deve-se considerar a questão patrimonial. No caso da Argentina, observou-se, durante o período do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um elevadíssimo endividamento em moeda estrangeira; ou seja, o</w:t>
      </w:r>
      <w:r>
        <w:rPr>
          <w:rFonts w:ascii="Times New Roman" w:eastAsia="Times New Roman" w:hAnsi="Times New Roman" w:cs="Times New Roman"/>
          <w:color w:val="231F20"/>
          <w:sz w:val="23"/>
          <w:szCs w:val="23"/>
        </w:rPr>
        <w:t xml:space="preserve"> passivo de sua economia estava praticamente todo </w:t>
      </w:r>
      <w:r>
        <w:rPr>
          <w:rFonts w:ascii="Times New Roman" w:eastAsia="Times New Roman" w:hAnsi="Times New Roman" w:cs="Times New Roman"/>
          <w:i/>
          <w:color w:val="231F20"/>
          <w:sz w:val="23"/>
          <w:szCs w:val="23"/>
        </w:rPr>
        <w:t>dolarizado</w:t>
      </w:r>
      <w:r>
        <w:rPr>
          <w:rFonts w:ascii="Times New Roman" w:eastAsia="Times New Roman" w:hAnsi="Times New Roman" w:cs="Times New Roman"/>
          <w:color w:val="231F20"/>
          <w:sz w:val="23"/>
          <w:szCs w:val="23"/>
        </w:rPr>
        <w:t>. Uma desvalorização cambial significaria um prejuízo de grandes dimensões sobre a economia argentina, que colocava em risco todo o setor privado e o próprio setor público. Pode-se destacar também</w:t>
      </w:r>
      <w:r>
        <w:rPr>
          <w:rFonts w:ascii="Times New Roman" w:eastAsia="Times New Roman" w:hAnsi="Times New Roman" w:cs="Times New Roman"/>
          <w:color w:val="231F20"/>
          <w:sz w:val="23"/>
          <w:szCs w:val="23"/>
        </w:rPr>
        <w:t xml:space="preserve"> o que Corden (2001)</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chamou de “síndrome do ajuste relutante da taxa de câmbio”. Essa “síndrome” é explicada pela perda de credibilidade política de um governo que construiu todo um plano de estabilização baseada na ancoragem cambial.</w:t>
      </w:r>
      <w:r>
        <w:rPr>
          <w:rFonts w:ascii="Times New Roman" w:eastAsia="Times New Roman" w:hAnsi="Times New Roman" w:cs="Times New Roman"/>
          <w:color w:val="231F20"/>
          <w:sz w:val="23"/>
          <w:szCs w:val="23"/>
          <w:vertAlign w:val="superscript"/>
        </w:rPr>
        <w:footnoteReference w:id="7"/>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No caso Argentino, i</w:t>
      </w:r>
      <w:r>
        <w:rPr>
          <w:rFonts w:ascii="Times New Roman" w:eastAsia="Times New Roman" w:hAnsi="Times New Roman" w:cs="Times New Roman"/>
          <w:color w:val="231F20"/>
          <w:sz w:val="23"/>
          <w:szCs w:val="23"/>
        </w:rPr>
        <w:t xml:space="preserve">sso é traumático tendo em vista o processo hiperinflacionário experimentado pelo país antes do plano de conversibilidade. O risco de retorno da inflação decorrente da desvalorização cambial poderia ser o fim político do governo de Carlos Menem. Por ironia </w:t>
      </w:r>
      <w:r>
        <w:rPr>
          <w:rFonts w:ascii="Times New Roman" w:eastAsia="Times New Roman" w:hAnsi="Times New Roman" w:cs="Times New Roman"/>
          <w:color w:val="231F20"/>
          <w:sz w:val="23"/>
          <w:szCs w:val="23"/>
        </w:rPr>
        <w:t>do destino, o fim político desse governo acabou sendo detonado não pelo retorno da inflação, mas pela insistência em manter um regime que cada vez mais tornou-se insustentável a partir das crises financeiras iniciadas com a crise mexicana. Os ajustes patri</w:t>
      </w:r>
      <w:r>
        <w:rPr>
          <w:rFonts w:ascii="Times New Roman" w:eastAsia="Times New Roman" w:hAnsi="Times New Roman" w:cs="Times New Roman"/>
          <w:color w:val="231F20"/>
          <w:sz w:val="23"/>
          <w:szCs w:val="23"/>
        </w:rPr>
        <w:t>moniais na economia argentina decorrentes da desvalorização do peso, por sua vez, explicam boa parte da forte recessão que esteve associada a essa desvalorização.</w:t>
      </w:r>
      <w:r>
        <w:rPr>
          <w:sz w:val="13"/>
          <w:szCs w:val="13"/>
        </w:rPr>
        <w:t xml:space="preserve"> </w:t>
      </w:r>
    </w:p>
    <w:p w:rsidR="00CA5614" w:rsidRDefault="00CA5614">
      <w:pPr>
        <w:spacing w:after="0"/>
        <w:rPr>
          <w:sz w:val="20"/>
          <w:szCs w:val="20"/>
        </w:rPr>
      </w:pPr>
    </w:p>
    <w:p w:rsidR="00CA5614" w:rsidRDefault="00542E8B">
      <w:pPr>
        <w:tabs>
          <w:tab w:val="left" w:pos="1940"/>
        </w:tabs>
        <w:spacing w:before="21" w:after="0" w:line="240" w:lineRule="auto"/>
        <w:ind w:left="1094" w:right="-20"/>
        <w:rPr>
          <w:rFonts w:ascii="Trebuchet MS" w:eastAsia="Trebuchet MS" w:hAnsi="Trebuchet MS" w:cs="Trebuchet MS"/>
          <w:sz w:val="24"/>
          <w:szCs w:val="24"/>
        </w:rPr>
      </w:pPr>
      <w:r>
        <w:rPr>
          <w:rFonts w:ascii="Trebuchet MS" w:eastAsia="Trebuchet MS" w:hAnsi="Trebuchet MS" w:cs="Trebuchet MS"/>
          <w:b/>
          <w:color w:val="7E5439"/>
          <w:sz w:val="24"/>
          <w:szCs w:val="24"/>
        </w:rPr>
        <w:t>5.3.3 O caso extremo: a dolarização</w:t>
      </w:r>
    </w:p>
    <w:p w:rsidR="00CA5614" w:rsidRDefault="00CA5614">
      <w:pPr>
        <w:spacing w:before="2" w:after="0"/>
        <w:rPr>
          <w:sz w:val="10"/>
          <w:szCs w:val="10"/>
        </w:rPr>
      </w:pPr>
    </w:p>
    <w:p w:rsidR="00CA5614" w:rsidRDefault="00542E8B">
      <w:pPr>
        <w:spacing w:after="0" w:line="245" w:lineRule="auto"/>
        <w:ind w:left="1094" w:right="1034"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A dolarização é o regime mais radical de ancoragem cambial. O exemplo mais recente de dolarização pode ser creditado ao Equador.</w:t>
      </w:r>
      <w:r>
        <w:rPr>
          <w:rFonts w:ascii="Times New Roman" w:eastAsia="Times New Roman" w:hAnsi="Times New Roman" w:cs="Times New Roman"/>
          <w:color w:val="231F20"/>
          <w:sz w:val="23"/>
          <w:szCs w:val="23"/>
          <w:vertAlign w:val="superscript"/>
        </w:rPr>
        <w:footnoteReference w:id="8"/>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No início dos anos 1990, o Equador promoveu uma série de reformas liberais (inclusive financeiras) e utilizou um plano de est</w:t>
      </w:r>
      <w:r>
        <w:rPr>
          <w:rFonts w:ascii="Times New Roman" w:eastAsia="Times New Roman" w:hAnsi="Times New Roman" w:cs="Times New Roman"/>
          <w:color w:val="231F20"/>
          <w:sz w:val="23"/>
          <w:szCs w:val="23"/>
        </w:rPr>
        <w:t xml:space="preserve">abilização baseado em ancoragem cambial, com um regime inicialmente de flutuação suja e com tendência a valorização do </w:t>
      </w:r>
      <w:r>
        <w:rPr>
          <w:rFonts w:ascii="Times New Roman" w:eastAsia="Times New Roman" w:hAnsi="Times New Roman" w:cs="Times New Roman"/>
          <w:i/>
          <w:color w:val="231F20"/>
          <w:sz w:val="23"/>
          <w:szCs w:val="23"/>
        </w:rPr>
        <w:t>Sucre</w:t>
      </w:r>
      <w:r>
        <w:rPr>
          <w:rFonts w:ascii="Times New Roman" w:eastAsia="Times New Roman" w:hAnsi="Times New Roman" w:cs="Times New Roman"/>
          <w:color w:val="231F20"/>
          <w:sz w:val="23"/>
          <w:szCs w:val="23"/>
        </w:rPr>
        <w:t xml:space="preserve">. Esse regime foi substituído em 1994 por um sistema de bandas, com mudanças preanunciadas que buscavam conduzir as expectativas no </w:t>
      </w:r>
      <w:r>
        <w:rPr>
          <w:rFonts w:ascii="Times New Roman" w:eastAsia="Times New Roman" w:hAnsi="Times New Roman" w:cs="Times New Roman"/>
          <w:color w:val="231F20"/>
          <w:sz w:val="23"/>
          <w:szCs w:val="23"/>
        </w:rPr>
        <w:t>sentido de auxiliar na redução das taxas de inflação. A princípio, a estratégia foi positiva já que a inflação atingiu, em 1995, seu nível anual mais baixo da década (22%). (Jacome, 2004) Este mesmo ano, porém, marcou o início da desestabilização com algun</w:t>
      </w:r>
      <w:r>
        <w:rPr>
          <w:rFonts w:ascii="Times New Roman" w:eastAsia="Times New Roman" w:hAnsi="Times New Roman" w:cs="Times New Roman"/>
          <w:color w:val="231F20"/>
          <w:sz w:val="23"/>
          <w:szCs w:val="23"/>
        </w:rPr>
        <w:t>s “choques externos”.</w:t>
      </w:r>
      <w:r>
        <w:rPr>
          <w:rFonts w:ascii="Times New Roman" w:eastAsia="Times New Roman" w:hAnsi="Times New Roman" w:cs="Times New Roman"/>
          <w:color w:val="231F20"/>
          <w:sz w:val="23"/>
          <w:szCs w:val="23"/>
          <w:vertAlign w:val="superscript"/>
        </w:rPr>
        <w:footnoteReference w:id="9"/>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Esses choques e a perda de controle fiscal se associaram a uma reversão dos até então positivos fluxos de capital. Nesse momento, o regime cambial também se deteriorou e os parâmetros das bandas cambiais passaram a ser constantemente</w:t>
      </w:r>
      <w:r>
        <w:rPr>
          <w:rFonts w:ascii="Times New Roman" w:eastAsia="Times New Roman" w:hAnsi="Times New Roman" w:cs="Times New Roman"/>
          <w:color w:val="231F20"/>
          <w:sz w:val="23"/>
          <w:szCs w:val="23"/>
        </w:rPr>
        <w:t xml:space="preserve"> ajustadas, acarretando a perda de credibilidade da capacidade de controle das expectativas.</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Associada a essa crise, iniciaram-se também os problemas no setor financeiro da economia equatoriana, com, por exemplo, a quebra do Banco Continental em 1996. Ess</w:t>
      </w:r>
      <w:r>
        <w:rPr>
          <w:rFonts w:ascii="Times New Roman" w:eastAsia="Times New Roman" w:hAnsi="Times New Roman" w:cs="Times New Roman"/>
          <w:color w:val="231F20"/>
          <w:sz w:val="23"/>
          <w:szCs w:val="23"/>
        </w:rPr>
        <w:t>as dificuldades estão associadas tanto aos efeitos causados pela reação do Banco Central equatoriano à crise (elevação da taxa de juros e aumento da inadimplência) quanto aos descasamentos (prazos e ativos) do sistema financeiro equatoriano que passara por</w:t>
      </w:r>
      <w:r>
        <w:rPr>
          <w:rFonts w:ascii="Times New Roman" w:eastAsia="Times New Roman" w:hAnsi="Times New Roman" w:cs="Times New Roman"/>
          <w:color w:val="231F20"/>
          <w:sz w:val="23"/>
          <w:szCs w:val="23"/>
        </w:rPr>
        <w:t xml:space="preserve"> um amplo processo de liberalização, mas cujas regras de </w:t>
      </w:r>
      <w:r>
        <w:rPr>
          <w:rFonts w:ascii="Times New Roman" w:eastAsia="Times New Roman" w:hAnsi="Times New Roman" w:cs="Times New Roman"/>
          <w:i/>
          <w:color w:val="231F20"/>
          <w:sz w:val="23"/>
          <w:szCs w:val="23"/>
        </w:rPr>
        <w:t xml:space="preserve">sound finance </w:t>
      </w:r>
      <w:r>
        <w:rPr>
          <w:rFonts w:ascii="Times New Roman" w:eastAsia="Times New Roman" w:hAnsi="Times New Roman" w:cs="Times New Roman"/>
          <w:color w:val="231F20"/>
          <w:sz w:val="23"/>
          <w:szCs w:val="23"/>
        </w:rPr>
        <w:t>não haviam sido incorporadas nem institucionalmente nem na prática bancaria cotidiana.</w:t>
      </w:r>
    </w:p>
    <w:p w:rsidR="00CA5614" w:rsidRDefault="00CA5614">
      <w:pPr>
        <w:spacing w:after="0"/>
        <w:rPr>
          <w:sz w:val="17"/>
          <w:szCs w:val="17"/>
        </w:rPr>
      </w:pPr>
    </w:p>
    <w:p w:rsidR="00CA5614" w:rsidRDefault="00542E8B">
      <w:pPr>
        <w:spacing w:after="0" w:line="245" w:lineRule="auto"/>
        <w:ind w:left="1094" w:right="1033" w:firstLine="510"/>
        <w:jc w:val="both"/>
        <w:rPr>
          <w:sz w:val="20"/>
          <w:szCs w:val="20"/>
        </w:rPr>
      </w:pPr>
      <w:r>
        <w:rPr>
          <w:rFonts w:ascii="Times New Roman" w:eastAsia="Times New Roman" w:hAnsi="Times New Roman" w:cs="Times New Roman"/>
          <w:color w:val="231F20"/>
          <w:sz w:val="23"/>
          <w:szCs w:val="23"/>
        </w:rPr>
        <w:t>Depois de um período mais difícil, a economia equatoriana se equilibrou de modo precário até 1998</w:t>
      </w:r>
      <w:r>
        <w:rPr>
          <w:rFonts w:ascii="Times New Roman" w:eastAsia="Times New Roman" w:hAnsi="Times New Roman" w:cs="Times New Roman"/>
          <w:color w:val="231F20"/>
          <w:sz w:val="23"/>
          <w:szCs w:val="23"/>
        </w:rPr>
        <w:t>. Nesse período, verificou-se, na prática, uma intensa dolarização de ativos e passivos e, mesmo que essa medida não tenha atingido de maneira mais forte todos os bens da economia, muitos deles passam a ter seus preços fortemente atrelados ao dólar. A part</w:t>
      </w:r>
      <w:r>
        <w:rPr>
          <w:rFonts w:ascii="Times New Roman" w:eastAsia="Times New Roman" w:hAnsi="Times New Roman" w:cs="Times New Roman"/>
          <w:color w:val="231F20"/>
          <w:sz w:val="23"/>
          <w:szCs w:val="23"/>
        </w:rPr>
        <w:t>ir de 1998, uma nova onda de choques externos atingiu o Equador</w:t>
      </w:r>
      <w:r>
        <w:rPr>
          <w:rFonts w:ascii="Times New Roman" w:eastAsia="Times New Roman" w:hAnsi="Times New Roman" w:cs="Times New Roman"/>
          <w:color w:val="231F20"/>
          <w:sz w:val="23"/>
          <w:szCs w:val="23"/>
          <w:vertAlign w:val="superscript"/>
        </w:rPr>
        <w:footnoteReference w:id="10"/>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e aprofundaram-se os descontroles fiscal e financeiro, surgindo uma expressiva crise bancária e cambial. No contexto do</w:t>
      </w:r>
      <w:r>
        <w:rPr>
          <w:sz w:val="20"/>
          <w:szCs w:val="20"/>
        </w:rPr>
        <w:t xml:space="preserve"> </w:t>
      </w:r>
      <w:r>
        <w:rPr>
          <w:rFonts w:ascii="Times New Roman" w:eastAsia="Times New Roman" w:hAnsi="Times New Roman" w:cs="Times New Roman"/>
          <w:color w:val="231F20"/>
          <w:sz w:val="23"/>
          <w:szCs w:val="23"/>
        </w:rPr>
        <w:t xml:space="preserve">enfrentamento de tais crises, além de uma forte recessão e altas taxas </w:t>
      </w:r>
      <w:r>
        <w:rPr>
          <w:rFonts w:ascii="Times New Roman" w:eastAsia="Times New Roman" w:hAnsi="Times New Roman" w:cs="Times New Roman"/>
          <w:color w:val="231F20"/>
          <w:sz w:val="23"/>
          <w:szCs w:val="23"/>
        </w:rPr>
        <w:t xml:space="preserve">inflacionárias (uma das maiores da América Latina nos anos 1990), o país optou, a partir de janeiro de 2000, por um processo de substituição do </w:t>
      </w:r>
      <w:r>
        <w:rPr>
          <w:rFonts w:ascii="Times New Roman" w:eastAsia="Times New Roman" w:hAnsi="Times New Roman" w:cs="Times New Roman"/>
          <w:i/>
          <w:color w:val="231F20"/>
          <w:sz w:val="23"/>
          <w:szCs w:val="23"/>
        </w:rPr>
        <w:t xml:space="preserve">Sucre </w:t>
      </w:r>
      <w:r>
        <w:rPr>
          <w:rFonts w:ascii="Times New Roman" w:eastAsia="Times New Roman" w:hAnsi="Times New Roman" w:cs="Times New Roman"/>
          <w:color w:val="231F20"/>
          <w:sz w:val="23"/>
          <w:szCs w:val="23"/>
        </w:rPr>
        <w:t>pelo dólar.</w:t>
      </w:r>
      <w:r>
        <w:rPr>
          <w:rFonts w:ascii="Times New Roman" w:eastAsia="Times New Roman" w:hAnsi="Times New Roman" w:cs="Times New Roman"/>
          <w:color w:val="231F20"/>
          <w:sz w:val="23"/>
          <w:szCs w:val="23"/>
          <w:vertAlign w:val="superscript"/>
        </w:rPr>
        <w:footnoteReference w:id="11"/>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 xml:space="preserve">O debate em torno da dolarização também esteve presente na Argentina. Após a desvalorização </w:t>
      </w:r>
      <w:r>
        <w:rPr>
          <w:rFonts w:ascii="Times New Roman" w:eastAsia="Times New Roman" w:hAnsi="Times New Roman" w:cs="Times New Roman"/>
          <w:color w:val="231F20"/>
          <w:sz w:val="23"/>
          <w:szCs w:val="23"/>
        </w:rPr>
        <w:t xml:space="preserve">cambial no Brasil, o governo de Menem rapidamente tratou de desmentir os rumores acerca do fim do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explicitando a sua intenção em dolarizar totalmente a economia argentina caso o mercado apostasse contra aquele regime cambial. Alguns economi</w:t>
      </w:r>
      <w:r>
        <w:rPr>
          <w:rFonts w:ascii="Times New Roman" w:eastAsia="Times New Roman" w:hAnsi="Times New Roman" w:cs="Times New Roman"/>
          <w:color w:val="231F20"/>
          <w:sz w:val="23"/>
          <w:szCs w:val="23"/>
        </w:rPr>
        <w:t xml:space="preserve">stas, aliás, defendiam essa medida para a Argentina que, em função do histórico de hiperinflação e do próprio regime de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já tinha uma tradição na utilização do dólar como meio de troca.</w:t>
      </w:r>
      <w:r>
        <w:rPr>
          <w:rFonts w:ascii="Times New Roman" w:eastAsia="Times New Roman" w:hAnsi="Times New Roman" w:cs="Times New Roman"/>
          <w:color w:val="231F20"/>
          <w:sz w:val="23"/>
          <w:szCs w:val="23"/>
          <w:vertAlign w:val="superscript"/>
        </w:rPr>
        <w:footnoteReference w:id="12"/>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 xml:space="preserve">Na dolarização, a moeda local é substituída pelo dólar, ficando a autoridade monetária totalmente condicionada ao desempenho das contas internacionais do país e ao volume de ingresso de moeda externa. Os objetivos são os mesmos do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maior dis</w:t>
      </w:r>
      <w:r>
        <w:rPr>
          <w:rFonts w:ascii="Times New Roman" w:eastAsia="Times New Roman" w:hAnsi="Times New Roman" w:cs="Times New Roman"/>
          <w:color w:val="231F20"/>
          <w:sz w:val="23"/>
          <w:szCs w:val="23"/>
        </w:rPr>
        <w:t>ciplina monetária e fiscal. A grande diferença está na não mais necessária manutenção da estabilidade cambial, o que é um fator positivo sob o ponto de vista dos investidores internacionais, que não mais temeriam as desvalorizações cambiais não antecipadas</w:t>
      </w:r>
      <w:r>
        <w:rPr>
          <w:rFonts w:ascii="Times New Roman" w:eastAsia="Times New Roman" w:hAnsi="Times New Roman" w:cs="Times New Roman"/>
          <w:color w:val="231F20"/>
          <w:sz w:val="23"/>
          <w:szCs w:val="23"/>
        </w:rPr>
        <w:t>. Assim, impõe-se, a partir do exterior, uma disciplina fiscal que não é obtida por determinação interna, ao mesmo tempo em que desaparece a instabilidade cambial. A principal questão associada à dolarização, contudo, é sua quase total irreversibilidade, o</w:t>
      </w:r>
      <w:r>
        <w:rPr>
          <w:rFonts w:ascii="Times New Roman" w:eastAsia="Times New Roman" w:hAnsi="Times New Roman" w:cs="Times New Roman"/>
          <w:color w:val="231F20"/>
          <w:sz w:val="23"/>
          <w:szCs w:val="23"/>
        </w:rPr>
        <w:t xml:space="preserve"> que faz com que suas vantagens e desvantagens sejam potencializadas.(Berg, Borensztein, 2000) </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Uma grande vantagem dessa medida diz respeito à diminuição dos custos do financiamento internacional associado ao risco de desvalorização cambial. No tocante às desvantagens, pode-se destacar a perda dos ganhos financeiros com a emissão monetária (</w:t>
      </w:r>
      <w:r>
        <w:rPr>
          <w:rFonts w:ascii="Times New Roman" w:eastAsia="Times New Roman" w:hAnsi="Times New Roman" w:cs="Times New Roman"/>
          <w:i/>
          <w:color w:val="231F20"/>
          <w:sz w:val="23"/>
          <w:szCs w:val="23"/>
        </w:rPr>
        <w:t>seignori</w:t>
      </w:r>
      <w:r>
        <w:rPr>
          <w:rFonts w:ascii="Times New Roman" w:eastAsia="Times New Roman" w:hAnsi="Times New Roman" w:cs="Times New Roman"/>
          <w:i/>
          <w:color w:val="231F20"/>
          <w:sz w:val="23"/>
          <w:szCs w:val="23"/>
        </w:rPr>
        <w:t>agem</w:t>
      </w:r>
      <w:r>
        <w:rPr>
          <w:rFonts w:ascii="Times New Roman" w:eastAsia="Times New Roman" w:hAnsi="Times New Roman" w:cs="Times New Roman"/>
          <w:color w:val="231F20"/>
          <w:sz w:val="23"/>
          <w:szCs w:val="23"/>
        </w:rPr>
        <w:t xml:space="preserve">) que resultaria da dolarização. Um país que possui uma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pura, em que a base monetária está totalmente lastreada pelas reservas, a perda é igual ao montante dos ganhos das aplicações financeiras internacionais dessas reservas. No caso arg</w:t>
      </w:r>
      <w:r>
        <w:rPr>
          <w:rFonts w:ascii="Times New Roman" w:eastAsia="Times New Roman" w:hAnsi="Times New Roman" w:cs="Times New Roman"/>
          <w:color w:val="231F20"/>
          <w:sz w:val="23"/>
          <w:szCs w:val="23"/>
        </w:rPr>
        <w:t>entino, esses ganhos eram de mais de U$ 700 milhões por ano. (Wise, 2001)</w:t>
      </w:r>
    </w:p>
    <w:p w:rsidR="00CA5614" w:rsidRDefault="00CA5614">
      <w:pPr>
        <w:spacing w:after="0" w:line="245" w:lineRule="auto"/>
        <w:ind w:left="1094" w:right="1033" w:firstLine="510"/>
        <w:jc w:val="both"/>
        <w:rPr>
          <w:sz w:val="17"/>
          <w:szCs w:val="17"/>
        </w:rPr>
      </w:pPr>
    </w:p>
    <w:p w:rsidR="00CA5614" w:rsidRDefault="00542E8B">
      <w:pPr>
        <w:spacing w:after="0" w:line="245" w:lineRule="auto"/>
        <w:ind w:left="1094" w:right="1034"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Outro problema da dolarização é a perda de soberania na condução da política monetária, que fica subordinada às decisões tomadas nos Estados Unidos, o que implicaria, por exemplo, n</w:t>
      </w:r>
      <w:r>
        <w:rPr>
          <w:rFonts w:ascii="Times New Roman" w:eastAsia="Times New Roman" w:hAnsi="Times New Roman" w:cs="Times New Roman"/>
          <w:color w:val="231F20"/>
          <w:sz w:val="23"/>
          <w:szCs w:val="23"/>
        </w:rPr>
        <w:t>a perda de capacidade do governo local em socorrer o sistema financeiro em caso de grandes corridas bancárias. Se por um lado é verdade que a prática de fornecer liquidez diária não estaria totalmente perdida com a dolarização, desde que instituições adequ</w:t>
      </w:r>
      <w:r>
        <w:rPr>
          <w:rFonts w:ascii="Times New Roman" w:eastAsia="Times New Roman" w:hAnsi="Times New Roman" w:cs="Times New Roman"/>
          <w:color w:val="231F20"/>
          <w:sz w:val="23"/>
          <w:szCs w:val="23"/>
        </w:rPr>
        <w:t>adas fossem criadas e dotadas de recursos líquidos em dólar, o papel pleno de um emprestador, em última instância, seria bastante difícil de se realizar dada a necessidade de um volume elevado de recursos líquidos na mão da instituição responsável. Por out</w:t>
      </w:r>
      <w:r>
        <w:rPr>
          <w:rFonts w:ascii="Times New Roman" w:eastAsia="Times New Roman" w:hAnsi="Times New Roman" w:cs="Times New Roman"/>
          <w:color w:val="231F20"/>
          <w:sz w:val="23"/>
          <w:szCs w:val="23"/>
        </w:rPr>
        <w:t>ro, lado a dolarização pode proporcionar um setor financeiro mais forte, que tivesse uma dependência menor desse tipo de socorro. Nesse caso, porém, a tendência implica também em uma forte desnacionalização do sistema financeiro do país.</w:t>
      </w:r>
    </w:p>
    <w:p w:rsidR="00CA5614" w:rsidRDefault="00CA5614">
      <w:pPr>
        <w:spacing w:before="1" w:after="0"/>
        <w:rPr>
          <w:sz w:val="17"/>
          <w:szCs w:val="17"/>
        </w:rPr>
      </w:pP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O grande dilema n</w:t>
      </w:r>
      <w:r>
        <w:rPr>
          <w:rFonts w:ascii="Times New Roman" w:eastAsia="Times New Roman" w:hAnsi="Times New Roman" w:cs="Times New Roman"/>
          <w:color w:val="231F20"/>
          <w:sz w:val="23"/>
          <w:szCs w:val="23"/>
        </w:rPr>
        <w:t>esse regime refere-se à evolução cíclica do país que adotou a dolarização frente aos Estados Unidos e o impacto que uma crise provoca em cada uma dessas economias. Quanto mais díspares são as economias, maiores são os problemas. Como as economias não se co</w:t>
      </w:r>
      <w:r>
        <w:rPr>
          <w:rFonts w:ascii="Times New Roman" w:eastAsia="Times New Roman" w:hAnsi="Times New Roman" w:cs="Times New Roman"/>
          <w:color w:val="231F20"/>
          <w:sz w:val="23"/>
          <w:szCs w:val="23"/>
        </w:rPr>
        <w:t xml:space="preserve">mportam com um mesmo padrão e recebem impactos diferenciados de uma alteração na conjuntura internacional, as medidas tomadas nos Estados Unidos quanto à política monetária podem ser contrárias ao recomendado ao país “dolarizado” naquela mesma conjuntura. </w:t>
      </w:r>
      <w:r>
        <w:rPr>
          <w:rFonts w:ascii="Times New Roman" w:eastAsia="Times New Roman" w:hAnsi="Times New Roman" w:cs="Times New Roman"/>
          <w:color w:val="231F20"/>
          <w:sz w:val="23"/>
          <w:szCs w:val="23"/>
        </w:rPr>
        <w:t>Entretanto, este não dispõe mais de instrumentos para enfrentar tal conjuntura e depende de políticas sobre as quais não possui controle e que lhes são, provavelmente, desfavoráveis. A expectativa positiva, contudo refere-se à maior aproximação com o gover</w:t>
      </w:r>
      <w:r>
        <w:rPr>
          <w:rFonts w:ascii="Times New Roman" w:eastAsia="Times New Roman" w:hAnsi="Times New Roman" w:cs="Times New Roman"/>
          <w:color w:val="231F20"/>
          <w:sz w:val="23"/>
          <w:szCs w:val="23"/>
        </w:rPr>
        <w:t>no norte-americano. Tal aproximação leva o país dolarizado a se valer das vantagens de estar sob um regime monetário saudável, possibilitando incremento na confiança do setor privado e, consequentemente, nos investimentos. A tendência também é que haja uma</w:t>
      </w:r>
      <w:r>
        <w:rPr>
          <w:rFonts w:ascii="Times New Roman" w:eastAsia="Times New Roman" w:hAnsi="Times New Roman" w:cs="Times New Roman"/>
          <w:color w:val="231F20"/>
          <w:sz w:val="23"/>
          <w:szCs w:val="23"/>
        </w:rPr>
        <w:t xml:space="preserve"> convergência das variáveis monetárias, como a inflação. O fim das diferenças monetárias e cambiais também pode diminuir os custos de transação envolvidos no comércio entre os dois países, intensificando-o.</w:t>
      </w:r>
    </w:p>
    <w:p w:rsidR="00CA5614" w:rsidRDefault="00CA5614">
      <w:pPr>
        <w:spacing w:before="1" w:after="0"/>
        <w:rPr>
          <w:sz w:val="17"/>
          <w:szCs w:val="17"/>
        </w:rPr>
      </w:pP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Outro problema relacionado à dolarização refere-</w:t>
      </w:r>
      <w:r>
        <w:rPr>
          <w:rFonts w:ascii="Times New Roman" w:eastAsia="Times New Roman" w:hAnsi="Times New Roman" w:cs="Times New Roman"/>
          <w:color w:val="231F20"/>
          <w:sz w:val="23"/>
          <w:szCs w:val="23"/>
        </w:rPr>
        <w:t>se ao seu impacto sobre a estrutura de ativos e endividamento do país na transição dos regimes. Quando o diferencial entre as taxas de juros interna e externa for grande, é comum empresas buscarem empréstimos no sistema financeiro internacional. Tais empré</w:t>
      </w:r>
      <w:r>
        <w:rPr>
          <w:rFonts w:ascii="Times New Roman" w:eastAsia="Times New Roman" w:hAnsi="Times New Roman" w:cs="Times New Roman"/>
          <w:color w:val="231F20"/>
          <w:sz w:val="23"/>
          <w:szCs w:val="23"/>
        </w:rPr>
        <w:t>stimos acabam sendo corrigidos pelos juros externos mais variação cambial. O problema é que, nos momentos que antecedem a dolarização, geralmente procedem-se desvalorizações corretivas. Tais desvalorizações acabam por elevar, em dólar, o valor da dívida, i</w:t>
      </w:r>
      <w:r>
        <w:rPr>
          <w:rFonts w:ascii="Times New Roman" w:eastAsia="Times New Roman" w:hAnsi="Times New Roman" w:cs="Times New Roman"/>
          <w:color w:val="231F20"/>
          <w:sz w:val="23"/>
          <w:szCs w:val="23"/>
        </w:rPr>
        <w:t>nviabilizando pagamentos e elevando o nível de inadimplência do país. Esse caso é claro no Equador, sendo que o processo crise/dolarização provocou grandes alterações distributivas no país.</w:t>
      </w:r>
    </w:p>
    <w:p w:rsidR="00CA5614" w:rsidRDefault="00CA5614">
      <w:pPr>
        <w:spacing w:before="1" w:after="0"/>
        <w:rPr>
          <w:sz w:val="17"/>
          <w:szCs w:val="17"/>
        </w:rPr>
      </w:pPr>
    </w:p>
    <w:p w:rsidR="00CA5614" w:rsidRDefault="00542E8B">
      <w:pPr>
        <w:spacing w:after="0" w:line="248"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Se acompanharmos a situação equatoriana pós-dolarização, os eleme</w:t>
      </w:r>
      <w:r>
        <w:rPr>
          <w:rFonts w:ascii="Times New Roman" w:eastAsia="Times New Roman" w:hAnsi="Times New Roman" w:cs="Times New Roman"/>
          <w:color w:val="231F20"/>
          <w:sz w:val="23"/>
          <w:szCs w:val="23"/>
        </w:rPr>
        <w:t>ntos acima destacados podem ser percebidos com clareza. A partir de 2001, a estabilização gradualmente foi reconquistada. Talvez de forma mais gradual do que o esperado teoricamente, pois inflação não vem diretamente aos níveis internacionais, o que acarre</w:t>
      </w:r>
      <w:r>
        <w:rPr>
          <w:rFonts w:ascii="Times New Roman" w:eastAsia="Times New Roman" w:hAnsi="Times New Roman" w:cs="Times New Roman"/>
          <w:color w:val="231F20"/>
          <w:sz w:val="23"/>
          <w:szCs w:val="23"/>
        </w:rPr>
        <w:t>ta uma forte perda de competitividade dos produtos equatorianos.</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31F20"/>
          <w:sz w:val="23"/>
          <w:szCs w:val="23"/>
        </w:rPr>
        <w:t>Por outro lado, as taxas de crescimento voltam a se recuperar, em função, de certa maneira, da retomada da confiança. Um elemento merece destaque no caso equatoriano: é a construção (encerrad</w:t>
      </w:r>
      <w:r>
        <w:rPr>
          <w:rFonts w:ascii="Times New Roman" w:eastAsia="Times New Roman" w:hAnsi="Times New Roman" w:cs="Times New Roman"/>
          <w:color w:val="231F20"/>
          <w:sz w:val="23"/>
          <w:szCs w:val="23"/>
        </w:rPr>
        <w:t xml:space="preserve">a em 2003) de um importante </w:t>
      </w:r>
      <w:r>
        <w:rPr>
          <w:rFonts w:ascii="Times New Roman" w:eastAsia="Times New Roman" w:hAnsi="Times New Roman" w:cs="Times New Roman"/>
          <w:i/>
          <w:color w:val="231F20"/>
          <w:sz w:val="23"/>
          <w:szCs w:val="23"/>
        </w:rPr>
        <w:t xml:space="preserve">oil-pipline </w:t>
      </w:r>
      <w:r>
        <w:rPr>
          <w:rFonts w:ascii="Times New Roman" w:eastAsia="Times New Roman" w:hAnsi="Times New Roman" w:cs="Times New Roman"/>
          <w:color w:val="231F20"/>
          <w:sz w:val="23"/>
          <w:szCs w:val="23"/>
        </w:rPr>
        <w:t>que gera empregos e atrai novos investimentos. Essa obra, juntamente com a retomada dos preços internacionais do petróleo é fator importante na retomada da economia equatoriana nos primeiros anos do século XXI. Os pr</w:t>
      </w:r>
      <w:r>
        <w:rPr>
          <w:rFonts w:ascii="Times New Roman" w:eastAsia="Times New Roman" w:hAnsi="Times New Roman" w:cs="Times New Roman"/>
          <w:color w:val="231F20"/>
          <w:sz w:val="23"/>
          <w:szCs w:val="23"/>
        </w:rPr>
        <w:t>oblemas relativos ao controle das contas públicas, da enorme dependência não apenas do ponto de vista do balanço de pagamentos</w:t>
      </w:r>
      <w:r>
        <w:rPr>
          <w:rFonts w:ascii="Times New Roman" w:eastAsia="Times New Roman" w:hAnsi="Times New Roman" w:cs="Times New Roman"/>
          <w:color w:val="231F20"/>
          <w:sz w:val="23"/>
          <w:szCs w:val="23"/>
          <w:vertAlign w:val="superscript"/>
        </w:rPr>
        <w:footnoteReference w:id="13"/>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como também fiscal das exportações de petróleo continuam sendo os calcanhares de Aquiles da economia equatoriana, sem falar no d</w:t>
      </w:r>
      <w:r>
        <w:rPr>
          <w:rFonts w:ascii="Times New Roman" w:eastAsia="Times New Roman" w:hAnsi="Times New Roman" w:cs="Times New Roman"/>
          <w:color w:val="231F20"/>
          <w:sz w:val="23"/>
          <w:szCs w:val="23"/>
        </w:rPr>
        <w:t>éficit social agravado no período recente (Beckerman, Solimano, 2002).</w:t>
      </w:r>
    </w:p>
    <w:p w:rsidR="00CA5614" w:rsidRDefault="00CA5614">
      <w:pPr>
        <w:spacing w:after="0"/>
        <w:rPr>
          <w:sz w:val="17"/>
          <w:szCs w:val="17"/>
        </w:rPr>
      </w:pPr>
    </w:p>
    <w:p w:rsidR="00CA5614" w:rsidRDefault="00542E8B">
      <w:pPr>
        <w:spacing w:after="0" w:line="245" w:lineRule="auto"/>
        <w:ind w:left="1094" w:right="1034"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Um último aspecto com a relação à dolarização, especialmente sobre a sua adoção pela Argentina, seriam os impactos sobre o Mercosul. A rigor, não havia grandes mudanças entre a dolariz</w:t>
      </w:r>
      <w:r>
        <w:rPr>
          <w:rFonts w:ascii="Times New Roman" w:eastAsia="Times New Roman" w:hAnsi="Times New Roman" w:cs="Times New Roman"/>
          <w:color w:val="231F20"/>
          <w:sz w:val="23"/>
          <w:szCs w:val="23"/>
        </w:rPr>
        <w:t xml:space="preserve">ação e a situação anterior de </w:t>
      </w:r>
      <w:r>
        <w:rPr>
          <w:rFonts w:ascii="Times New Roman" w:eastAsia="Times New Roman" w:hAnsi="Times New Roman" w:cs="Times New Roman"/>
          <w:i/>
          <w:color w:val="231F20"/>
          <w:sz w:val="23"/>
          <w:szCs w:val="23"/>
        </w:rPr>
        <w:t xml:space="preserve">Currency Board </w:t>
      </w:r>
      <w:r>
        <w:rPr>
          <w:rFonts w:ascii="Times New Roman" w:eastAsia="Times New Roman" w:hAnsi="Times New Roman" w:cs="Times New Roman"/>
          <w:color w:val="231F20"/>
          <w:sz w:val="23"/>
          <w:szCs w:val="23"/>
        </w:rPr>
        <w:t xml:space="preserve">no que concernia então ao Mercosul. (Berg e Borensztein, 2000). </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O problema, porém, é que a dolarização seria difícil de ser revertida, de modo que o aprofundamento do Mercosul, que potencialmente requer uma int</w:t>
      </w:r>
      <w:r>
        <w:rPr>
          <w:rFonts w:ascii="Times New Roman" w:eastAsia="Times New Roman" w:hAnsi="Times New Roman" w:cs="Times New Roman"/>
          <w:color w:val="231F20"/>
          <w:sz w:val="23"/>
          <w:szCs w:val="23"/>
        </w:rPr>
        <w:t>egração monetária, poderia estar comprometida, a não ser que esse aprofundamento se faça em um nível regional mais amplo envolvendo toda a América.</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13"/>
          <w:szCs w:val="13"/>
        </w:rPr>
      </w:pPr>
      <w:r>
        <w:rPr>
          <w:rFonts w:ascii="Times New Roman" w:eastAsia="Times New Roman" w:hAnsi="Times New Roman" w:cs="Times New Roman"/>
          <w:color w:val="231F20"/>
          <w:sz w:val="23"/>
          <w:szCs w:val="23"/>
        </w:rPr>
        <w:t>Todos estes problemas talvez tenham desencorajado a Argentina em optar pela dolarização após a crise da moe</w:t>
      </w:r>
      <w:r>
        <w:rPr>
          <w:rFonts w:ascii="Times New Roman" w:eastAsia="Times New Roman" w:hAnsi="Times New Roman" w:cs="Times New Roman"/>
          <w:color w:val="231F20"/>
          <w:sz w:val="23"/>
          <w:szCs w:val="23"/>
        </w:rPr>
        <w:t>da brasileira em 1999, apesar da tradição do uso dólar na neste país ser muito grande.</w:t>
      </w:r>
      <w:r>
        <w:rPr>
          <w:rFonts w:ascii="Times New Roman" w:eastAsia="Times New Roman" w:hAnsi="Times New Roman" w:cs="Times New Roman"/>
          <w:color w:val="231F20"/>
          <w:sz w:val="23"/>
          <w:szCs w:val="23"/>
          <w:vertAlign w:val="superscript"/>
        </w:rPr>
        <w:footnoteReference w:id="14"/>
      </w:r>
    </w:p>
    <w:p w:rsidR="00CA5614" w:rsidRDefault="00CA5614">
      <w:pPr>
        <w:spacing w:before="3" w:after="0"/>
        <w:rPr>
          <w:sz w:val="11"/>
          <w:szCs w:val="11"/>
        </w:rPr>
      </w:pPr>
    </w:p>
    <w:p w:rsidR="00CA5614" w:rsidRDefault="00CA5614">
      <w:pPr>
        <w:spacing w:after="0"/>
        <w:rPr>
          <w:sz w:val="20"/>
          <w:szCs w:val="20"/>
        </w:rPr>
      </w:pPr>
    </w:p>
    <w:p w:rsidR="00CA5614" w:rsidRDefault="00CA5614">
      <w:pPr>
        <w:spacing w:after="0"/>
        <w:rPr>
          <w:sz w:val="20"/>
          <w:szCs w:val="20"/>
        </w:rPr>
      </w:pPr>
    </w:p>
    <w:p w:rsidR="00CA5614" w:rsidRDefault="00542E8B">
      <w:pPr>
        <w:spacing w:after="0" w:line="240" w:lineRule="auto"/>
        <w:ind w:left="1094" w:right="1132"/>
        <w:jc w:val="both"/>
        <w:rPr>
          <w:rFonts w:ascii="Trebuchet MS" w:eastAsia="Trebuchet MS" w:hAnsi="Trebuchet MS" w:cs="Trebuchet MS"/>
          <w:sz w:val="24"/>
          <w:szCs w:val="24"/>
        </w:rPr>
      </w:pPr>
      <w:r>
        <w:rPr>
          <w:rFonts w:ascii="Trebuchet MS" w:eastAsia="Trebuchet MS" w:hAnsi="Trebuchet MS" w:cs="Trebuchet MS"/>
          <w:b/>
          <w:color w:val="7E5439"/>
          <w:sz w:val="24"/>
          <w:szCs w:val="24"/>
        </w:rPr>
        <w:t>5.3.4 O sistema de ancoragem no Brasil e a sustentação</w:t>
      </w:r>
      <w:r>
        <w:rPr>
          <w:rFonts w:ascii="Trebuchet MS" w:eastAsia="Trebuchet MS" w:hAnsi="Trebuchet MS" w:cs="Trebuchet MS"/>
          <w:b/>
          <w:sz w:val="24"/>
          <w:szCs w:val="24"/>
        </w:rPr>
        <w:t xml:space="preserve"> </w:t>
      </w:r>
      <w:r>
        <w:rPr>
          <w:rFonts w:ascii="Trebuchet MS" w:eastAsia="Trebuchet MS" w:hAnsi="Trebuchet MS" w:cs="Trebuchet MS"/>
          <w:b/>
          <w:color w:val="7E5439"/>
          <w:sz w:val="24"/>
          <w:szCs w:val="24"/>
        </w:rPr>
        <w:t xml:space="preserve">do Plano Real </w:t>
      </w:r>
    </w:p>
    <w:p w:rsidR="00CA5614" w:rsidRDefault="00CA5614">
      <w:pPr>
        <w:spacing w:before="2" w:after="0"/>
        <w:rPr>
          <w:sz w:val="10"/>
          <w:szCs w:val="10"/>
        </w:rPr>
      </w:pPr>
    </w:p>
    <w:p w:rsidR="00CA5614" w:rsidRDefault="00542E8B">
      <w:pPr>
        <w:spacing w:after="0" w:line="245" w:lineRule="auto"/>
        <w:ind w:left="1094" w:right="1033" w:firstLine="510"/>
        <w:jc w:val="both"/>
        <w:rPr>
          <w:sz w:val="20"/>
          <w:szCs w:val="20"/>
        </w:rPr>
      </w:pPr>
      <w:r>
        <w:rPr>
          <w:rFonts w:ascii="Times New Roman" w:eastAsia="Times New Roman" w:hAnsi="Times New Roman" w:cs="Times New Roman"/>
          <w:color w:val="231F20"/>
          <w:sz w:val="23"/>
          <w:szCs w:val="23"/>
        </w:rPr>
        <w:t xml:space="preserve">A estratégia de estabilização brasileira foi diferente da adotada na Argentina, apesar de ambos utilizarem âncoras cambiais. Se a Argentina, face à questão da credibilidade anteriormente levantada, se valeu da legalização de um </w:t>
      </w:r>
      <w:r>
        <w:rPr>
          <w:rFonts w:ascii="Times New Roman" w:eastAsia="Times New Roman" w:hAnsi="Times New Roman" w:cs="Times New Roman"/>
          <w:i/>
          <w:color w:val="231F20"/>
          <w:sz w:val="23"/>
          <w:szCs w:val="23"/>
        </w:rPr>
        <w:t>Currency Board</w:t>
      </w:r>
      <w:r>
        <w:rPr>
          <w:rFonts w:ascii="Times New Roman" w:eastAsia="Times New Roman" w:hAnsi="Times New Roman" w:cs="Times New Roman"/>
          <w:color w:val="231F20"/>
          <w:sz w:val="23"/>
          <w:szCs w:val="23"/>
        </w:rPr>
        <w:t>, o Brasil par</w:t>
      </w:r>
      <w:r>
        <w:rPr>
          <w:rFonts w:ascii="Times New Roman" w:eastAsia="Times New Roman" w:hAnsi="Times New Roman" w:cs="Times New Roman"/>
          <w:color w:val="231F20"/>
          <w:sz w:val="23"/>
          <w:szCs w:val="23"/>
        </w:rPr>
        <w:t>tiu para uma guerra de expectativas, buscando ganhos de reputação e sinalizando grande disposição em não abandonar a âncora cambial. A sua</w:t>
      </w:r>
      <w:r>
        <w:rPr>
          <w:sz w:val="20"/>
          <w:szCs w:val="20"/>
        </w:rPr>
        <w:t xml:space="preserve"> </w:t>
      </w:r>
      <w:r>
        <w:rPr>
          <w:rFonts w:ascii="Times New Roman" w:eastAsia="Times New Roman" w:hAnsi="Times New Roman" w:cs="Times New Roman"/>
          <w:color w:val="231F20"/>
          <w:sz w:val="23"/>
          <w:szCs w:val="23"/>
        </w:rPr>
        <w:t>ancoragem, porém, repousa sob um sistema de bandas, inicialmente assimétrica, mas que se modifica ao longo do tempo.</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Quanto à questão da reputação, é importante destacar a persistência do governo brasileiro em não se valer da taxa de câmbio para obter ganhos de competitividade, mesmo em momentos de maior pressão tanto política quanto econômica. Esse ponto é reforçado co</w:t>
      </w:r>
      <w:r>
        <w:rPr>
          <w:rFonts w:ascii="Times New Roman" w:eastAsia="Times New Roman" w:hAnsi="Times New Roman" w:cs="Times New Roman"/>
          <w:color w:val="231F20"/>
          <w:sz w:val="23"/>
          <w:szCs w:val="23"/>
        </w:rPr>
        <w:t>m inúmeros sinais enviados pelo governo ao mercado; e um desses sinais foi a descomunal elevação das taxas de juros, que, se por um lado serviam para compensar o risco dos investidores internacionais e atrair um grande fluxo de capitais para o país, por ou</w:t>
      </w:r>
      <w:r>
        <w:rPr>
          <w:rFonts w:ascii="Times New Roman" w:eastAsia="Times New Roman" w:hAnsi="Times New Roman" w:cs="Times New Roman"/>
          <w:color w:val="231F20"/>
          <w:sz w:val="23"/>
          <w:szCs w:val="23"/>
        </w:rPr>
        <w:t>tro impuseram custos políticos internos não desprezíveis.</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O sistema de bandas adotado pode ser considerado uma forma mais “leve” de ancoragem cambial. No caso brasileiro, permitia-se inicialmente, por meio de uma banda assimétrica, a fixação da taxa de câ</w:t>
      </w:r>
      <w:r>
        <w:rPr>
          <w:rFonts w:ascii="Times New Roman" w:eastAsia="Times New Roman" w:hAnsi="Times New Roman" w:cs="Times New Roman"/>
          <w:color w:val="231F20"/>
          <w:sz w:val="23"/>
          <w:szCs w:val="23"/>
        </w:rPr>
        <w:t>mbio abaixo de um teto máximo estabelecido. Em uma situação de forte entrada de divisas, o real passa a se valorizar frente ao dólar. Essa valorização cambial (possível no caso brasileiro, mas não no argentino) reforça os impactos positivos da ancoragem, t</w:t>
      </w:r>
      <w:r>
        <w:rPr>
          <w:rFonts w:ascii="Times New Roman" w:eastAsia="Times New Roman" w:hAnsi="Times New Roman" w:cs="Times New Roman"/>
          <w:color w:val="231F20"/>
          <w:sz w:val="23"/>
          <w:szCs w:val="23"/>
        </w:rPr>
        <w:t xml:space="preserve">ransformando-se em uma “superâncora cambial”, já que seu impacto foi o de baratear ainda mais os produtos </w:t>
      </w:r>
      <w:r>
        <w:rPr>
          <w:rFonts w:ascii="Times New Roman" w:eastAsia="Times New Roman" w:hAnsi="Times New Roman" w:cs="Times New Roman"/>
          <w:i/>
          <w:color w:val="231F20"/>
          <w:sz w:val="23"/>
          <w:szCs w:val="23"/>
        </w:rPr>
        <w:t>tradeables</w:t>
      </w:r>
      <w:r>
        <w:rPr>
          <w:rFonts w:ascii="Times New Roman" w:eastAsia="Times New Roman" w:hAnsi="Times New Roman" w:cs="Times New Roman"/>
          <w:color w:val="231F20"/>
          <w:sz w:val="23"/>
          <w:szCs w:val="23"/>
        </w:rPr>
        <w:t>, efeito reforçado pela abertura econômica.</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Por outro lado, houve uma elevação das importações e também um desestímulo às exportações, o qu</w:t>
      </w:r>
      <w:r>
        <w:rPr>
          <w:rFonts w:ascii="Times New Roman" w:eastAsia="Times New Roman" w:hAnsi="Times New Roman" w:cs="Times New Roman"/>
          <w:color w:val="231F20"/>
          <w:sz w:val="23"/>
          <w:szCs w:val="23"/>
        </w:rPr>
        <w:t xml:space="preserve">e contribuiu para uma deterioração do saldo da balança comercial. Sucessivos déficits na balança comercial acabam por criar problemas nas contas externas, elevando a dependência do país em relação ao fluxo internacional de capitais, além de elevar o risco </w:t>
      </w:r>
      <w:r>
        <w:rPr>
          <w:rFonts w:ascii="Times New Roman" w:eastAsia="Times New Roman" w:hAnsi="Times New Roman" w:cs="Times New Roman"/>
          <w:color w:val="231F20"/>
          <w:sz w:val="23"/>
          <w:szCs w:val="23"/>
        </w:rPr>
        <w:t>de descontrole cambial por parte da autoridade econômica. O grande problema desse modelo consistia na necessidade de se manter altas taxas internas de juros, o que reduz os investimentos e, consequentemente, compromete o crescimento do país, além de elevar</w:t>
      </w:r>
      <w:r>
        <w:rPr>
          <w:rFonts w:ascii="Times New Roman" w:eastAsia="Times New Roman" w:hAnsi="Times New Roman" w:cs="Times New Roman"/>
          <w:color w:val="231F20"/>
          <w:sz w:val="23"/>
          <w:szCs w:val="23"/>
        </w:rPr>
        <w:t xml:space="preserve"> o nível de inadimplência interna. A situação é particularmente grave quando se verifica forte instabilidade no movimento de capitais internacionais. Tal instabilidade demanda taxas de juros cada vez maiores, podendo levar o país a experimentar um forte pr</w:t>
      </w:r>
      <w:r>
        <w:rPr>
          <w:rFonts w:ascii="Times New Roman" w:eastAsia="Times New Roman" w:hAnsi="Times New Roman" w:cs="Times New Roman"/>
          <w:color w:val="231F20"/>
          <w:sz w:val="23"/>
          <w:szCs w:val="23"/>
        </w:rPr>
        <w:t>ocesso recessivo. No caso brasileiro, foram notórias as dificuldades enfrentadas por ocasião das crises mexicana, asiática e russa. Tais crises levaram o Brasil a elevar as taxas de juros internas a patamares extremamente elevados, gerando, assim, um forte</w:t>
      </w:r>
      <w:r>
        <w:rPr>
          <w:rFonts w:ascii="Times New Roman" w:eastAsia="Times New Roman" w:hAnsi="Times New Roman" w:cs="Times New Roman"/>
          <w:color w:val="231F20"/>
          <w:sz w:val="23"/>
          <w:szCs w:val="23"/>
        </w:rPr>
        <w:t xml:space="preserve"> quadro recessivo.</w:t>
      </w:r>
    </w:p>
    <w:p w:rsidR="00CA5614" w:rsidRDefault="00CA5614">
      <w:pPr>
        <w:spacing w:after="0"/>
        <w:rPr>
          <w:sz w:val="17"/>
          <w:szCs w:val="17"/>
        </w:rPr>
      </w:pPr>
    </w:p>
    <w:p w:rsidR="00CA5614" w:rsidRDefault="00542E8B">
      <w:pPr>
        <w:spacing w:after="0" w:line="244" w:lineRule="auto"/>
        <w:ind w:left="1094" w:right="1034" w:firstLine="510"/>
        <w:jc w:val="both"/>
        <w:rPr>
          <w:sz w:val="20"/>
          <w:szCs w:val="20"/>
        </w:rPr>
      </w:pPr>
      <w:r>
        <w:rPr>
          <w:rFonts w:ascii="Times New Roman" w:eastAsia="Times New Roman" w:hAnsi="Times New Roman" w:cs="Times New Roman"/>
          <w:color w:val="231F20"/>
          <w:sz w:val="23"/>
          <w:szCs w:val="23"/>
        </w:rPr>
        <w:t>Esse quadro foi parcialmente minorado com o estabelecimento, a partir da crise mexicana, de um sistema de bandas, agora simétricas (com piso e teto),</w:t>
      </w:r>
      <w:r>
        <w:rPr>
          <w:rFonts w:ascii="Times New Roman" w:eastAsia="Times New Roman" w:hAnsi="Times New Roman" w:cs="Times New Roman"/>
          <w:color w:val="231F20"/>
          <w:sz w:val="18"/>
          <w:szCs w:val="18"/>
          <w:vertAlign w:val="superscript"/>
        </w:rPr>
        <w:footnoteReference w:id="15"/>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que passou a ser utilizado pelo governo para a condução de um leve processo</w:t>
      </w:r>
      <w:r>
        <w:rPr>
          <w:sz w:val="20"/>
          <w:szCs w:val="20"/>
        </w:rPr>
        <w:t xml:space="preserve"> </w:t>
      </w:r>
      <w:r>
        <w:rPr>
          <w:rFonts w:ascii="Times New Roman" w:eastAsia="Times New Roman" w:hAnsi="Times New Roman" w:cs="Times New Roman"/>
          <w:color w:val="231F20"/>
          <w:sz w:val="23"/>
          <w:szCs w:val="23"/>
        </w:rPr>
        <w:t>de desvalorização nominal da taxa de câmbio, sem que, no entanto, significasse o rompimento com a estratégia de ancoragem.</w:t>
      </w:r>
      <w:r>
        <w:rPr>
          <w:rFonts w:ascii="Times New Roman" w:eastAsia="Times New Roman" w:hAnsi="Times New Roman" w:cs="Times New Roman"/>
          <w:color w:val="231F20"/>
          <w:sz w:val="23"/>
          <w:szCs w:val="23"/>
          <w:vertAlign w:val="superscript"/>
        </w:rPr>
        <w:footnoteReference w:id="16"/>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Tal sistema tinha bandas que se alteravam (</w:t>
      </w:r>
      <w:r>
        <w:rPr>
          <w:rFonts w:ascii="Times New Roman" w:eastAsia="Times New Roman" w:hAnsi="Times New Roman" w:cs="Times New Roman"/>
          <w:i/>
          <w:color w:val="231F20"/>
          <w:sz w:val="23"/>
          <w:szCs w:val="23"/>
        </w:rPr>
        <w:t>crawling bands</w:t>
      </w:r>
      <w:r>
        <w:rPr>
          <w:rFonts w:ascii="Times New Roman" w:eastAsia="Times New Roman" w:hAnsi="Times New Roman" w:cs="Times New Roman"/>
          <w:color w:val="231F20"/>
          <w:sz w:val="23"/>
          <w:szCs w:val="23"/>
        </w:rPr>
        <w:t>) e uma forte intervenção intrabanda pelo governo, fixando um banda curta q</w:t>
      </w:r>
      <w:r>
        <w:rPr>
          <w:rFonts w:ascii="Times New Roman" w:eastAsia="Times New Roman" w:hAnsi="Times New Roman" w:cs="Times New Roman"/>
          <w:color w:val="231F20"/>
          <w:sz w:val="23"/>
          <w:szCs w:val="23"/>
        </w:rPr>
        <w:t xml:space="preserve">uase que diária dentro de um banda mais larga. Na prática, tínhamos uma espécie de </w:t>
      </w:r>
      <w:r>
        <w:rPr>
          <w:rFonts w:ascii="Times New Roman" w:eastAsia="Times New Roman" w:hAnsi="Times New Roman" w:cs="Times New Roman"/>
          <w:i/>
          <w:color w:val="231F20"/>
          <w:sz w:val="23"/>
          <w:szCs w:val="23"/>
        </w:rPr>
        <w:t>crawling peg</w:t>
      </w:r>
      <w:r>
        <w:rPr>
          <w:rFonts w:ascii="Times New Roman" w:eastAsia="Times New Roman" w:hAnsi="Times New Roman" w:cs="Times New Roman"/>
          <w:color w:val="231F20"/>
          <w:sz w:val="23"/>
          <w:szCs w:val="23"/>
        </w:rPr>
        <w:t>, em que o câmbio se desvaloriza nominalmente, mas em termos reais permanece praticamente fixo, dependendo do indicador de preços considerado.</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Mesmo com essa li</w:t>
      </w:r>
      <w:r>
        <w:rPr>
          <w:rFonts w:ascii="Times New Roman" w:eastAsia="Times New Roman" w:hAnsi="Times New Roman" w:cs="Times New Roman"/>
          <w:color w:val="231F20"/>
          <w:sz w:val="23"/>
          <w:szCs w:val="23"/>
        </w:rPr>
        <w:t>geira desvalorização nominal controlada, os problemas da ancoragem no Brasil, notadamente a recessão e as dificuldades no balanço de pagamentos, continuaram e levaram ao rompimento da política de âncora cambial no início de 1999, quando a economia brasilei</w:t>
      </w:r>
      <w:r>
        <w:rPr>
          <w:rFonts w:ascii="Times New Roman" w:eastAsia="Times New Roman" w:hAnsi="Times New Roman" w:cs="Times New Roman"/>
          <w:color w:val="231F20"/>
          <w:sz w:val="23"/>
          <w:szCs w:val="23"/>
        </w:rPr>
        <w:t xml:space="preserve">ra passou a adotar um regime de flutuação suja. A passagem não foi tranquila, ocorrendo um </w:t>
      </w:r>
      <w:r>
        <w:rPr>
          <w:rFonts w:ascii="Times New Roman" w:eastAsia="Times New Roman" w:hAnsi="Times New Roman" w:cs="Times New Roman"/>
          <w:i/>
          <w:color w:val="231F20"/>
          <w:sz w:val="23"/>
          <w:szCs w:val="23"/>
        </w:rPr>
        <w:t xml:space="preserve">overshooting </w:t>
      </w:r>
      <w:r>
        <w:rPr>
          <w:rFonts w:ascii="Times New Roman" w:eastAsia="Times New Roman" w:hAnsi="Times New Roman" w:cs="Times New Roman"/>
          <w:color w:val="231F20"/>
          <w:sz w:val="23"/>
          <w:szCs w:val="23"/>
        </w:rPr>
        <w:t>da taxa de câmbio, porém com poucas consequências inflacionárias. Também no Brasil houve resistência para a passagem para um sistema de câmbio flutuante</w:t>
      </w:r>
      <w:r>
        <w:rPr>
          <w:rFonts w:ascii="Times New Roman" w:eastAsia="Times New Roman" w:hAnsi="Times New Roman" w:cs="Times New Roman"/>
          <w:color w:val="231F20"/>
          <w:sz w:val="23"/>
          <w:szCs w:val="23"/>
        </w:rPr>
        <w:t xml:space="preserve"> depois de, em tese, resolvido o problema inflacionário.</w:t>
      </w:r>
    </w:p>
    <w:p w:rsidR="00CA5614" w:rsidRDefault="00CA5614">
      <w:pPr>
        <w:spacing w:after="0"/>
        <w:rPr>
          <w:sz w:val="17"/>
          <w:szCs w:val="17"/>
        </w:rPr>
      </w:pPr>
    </w:p>
    <w:p w:rsidR="00CA5614" w:rsidRDefault="00542E8B">
      <w:pPr>
        <w:spacing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Deve-se considerar o processo eleitoral brasileiro, que pode explicar a destacada “síndrome do ajuste relutante da taxa de câmbio”. O grande triunfo do governo de Fernando Henrique Cardoso foi a con</w:t>
      </w:r>
      <w:r>
        <w:rPr>
          <w:rFonts w:ascii="Times New Roman" w:eastAsia="Times New Roman" w:hAnsi="Times New Roman" w:cs="Times New Roman"/>
          <w:color w:val="231F20"/>
          <w:sz w:val="23"/>
          <w:szCs w:val="23"/>
        </w:rPr>
        <w:t>solidação da estabilidade inflacionária, cuja ancoragem cambial teve um papel fundamental. No ano eleitoral de 1998, a possível inflação resultante da desvalorização cambial poderia reduzir as chances de reeleição do presidente. Além disso os destacados ef</w:t>
      </w:r>
      <w:r>
        <w:rPr>
          <w:rFonts w:ascii="Times New Roman" w:eastAsia="Times New Roman" w:hAnsi="Times New Roman" w:cs="Times New Roman"/>
          <w:color w:val="231F20"/>
          <w:sz w:val="23"/>
          <w:szCs w:val="23"/>
        </w:rPr>
        <w:t>eitos patrimoniais da desvalorização cambial também poderiam ter claros efeitos eleitorais. Assim, após o processo eleitoral e reeleito o presidente FHC, era de se esperar uma flexibilização do regime cambial. Isso porque, dada a importância da estabilidad</w:t>
      </w:r>
      <w:r>
        <w:rPr>
          <w:rFonts w:ascii="Times New Roman" w:eastAsia="Times New Roman" w:hAnsi="Times New Roman" w:cs="Times New Roman"/>
          <w:color w:val="231F20"/>
          <w:sz w:val="23"/>
          <w:szCs w:val="23"/>
        </w:rPr>
        <w:t>e inflacionária no processo político, seria mais fácil administrar as críticas ao modelo de estabilização ou mesmo administrar a possível inflação no início de um novo mandato presidencial e controlar os efeitos patrimoniais decorrentes. E de fato, a mudan</w:t>
      </w:r>
      <w:r>
        <w:rPr>
          <w:rFonts w:ascii="Times New Roman" w:eastAsia="Times New Roman" w:hAnsi="Times New Roman" w:cs="Times New Roman"/>
          <w:color w:val="231F20"/>
          <w:sz w:val="23"/>
          <w:szCs w:val="23"/>
        </w:rPr>
        <w:t>ça de regime cambial ocorreu logo após a posse do mesmo presidente num novo mandato.</w:t>
      </w:r>
    </w:p>
    <w:p w:rsidR="00CA5614" w:rsidRDefault="00CA5614">
      <w:pPr>
        <w:spacing w:after="0"/>
        <w:rPr>
          <w:sz w:val="17"/>
          <w:szCs w:val="17"/>
        </w:rPr>
      </w:pPr>
    </w:p>
    <w:p w:rsidR="00CA5614" w:rsidRDefault="00542E8B">
      <w:pPr>
        <w:spacing w:after="0" w:line="245" w:lineRule="auto"/>
        <w:ind w:left="1094" w:right="1033" w:firstLine="510"/>
        <w:jc w:val="both"/>
        <w:rPr>
          <w:sz w:val="20"/>
          <w:szCs w:val="20"/>
        </w:rPr>
      </w:pPr>
      <w:r>
        <w:rPr>
          <w:rFonts w:ascii="Times New Roman" w:eastAsia="Times New Roman" w:hAnsi="Times New Roman" w:cs="Times New Roman"/>
          <w:color w:val="231F20"/>
          <w:sz w:val="23"/>
          <w:szCs w:val="23"/>
        </w:rPr>
        <w:t>Deve-se destacar, porém, que a mudança no regime cambial brasileiro foi precedida por um processo de proteção do setor privado com passivo em dólar, de modo a evitar gran</w:t>
      </w:r>
      <w:r>
        <w:rPr>
          <w:rFonts w:ascii="Times New Roman" w:eastAsia="Times New Roman" w:hAnsi="Times New Roman" w:cs="Times New Roman"/>
          <w:color w:val="231F20"/>
          <w:sz w:val="23"/>
          <w:szCs w:val="23"/>
        </w:rPr>
        <w:t>des perdas sobre tais setores causadas pela desvalorização. Nunca é demais lembrar que boa parte das grandes empresas nacionais (e mesmo as multinacionais operando no Brasil) se endividaram no mercado internacional (mesmo para fugir das elevadas taxas de j</w:t>
      </w:r>
      <w:r>
        <w:rPr>
          <w:rFonts w:ascii="Times New Roman" w:eastAsia="Times New Roman" w:hAnsi="Times New Roman" w:cs="Times New Roman"/>
          <w:color w:val="231F20"/>
          <w:sz w:val="23"/>
          <w:szCs w:val="23"/>
        </w:rPr>
        <w:t>uros internas). Até a crise russa, a estrutura de ativos dessas empresas estava desequilibrada, pois havia um passivo cambial a descoberto. Ao longo de 1998, buscou-se resolver essa situação, de</w:t>
      </w:r>
      <w:r>
        <w:rPr>
          <w:sz w:val="20"/>
          <w:szCs w:val="20"/>
        </w:rPr>
        <w:t xml:space="preserve"> </w:t>
      </w:r>
      <w:r>
        <w:rPr>
          <w:rFonts w:ascii="Times New Roman" w:eastAsia="Times New Roman" w:hAnsi="Times New Roman" w:cs="Times New Roman"/>
          <w:color w:val="231F20"/>
          <w:sz w:val="23"/>
          <w:szCs w:val="23"/>
        </w:rPr>
        <w:t>forma a permitir uma transição para cambial com desvalorizaçã</w:t>
      </w:r>
      <w:r>
        <w:rPr>
          <w:rFonts w:ascii="Times New Roman" w:eastAsia="Times New Roman" w:hAnsi="Times New Roman" w:cs="Times New Roman"/>
          <w:color w:val="231F20"/>
          <w:sz w:val="23"/>
          <w:szCs w:val="23"/>
        </w:rPr>
        <w:t>o indolor. Para tanto, buscou-se ganhar tempo contendo ataques especulativos (um elemento importante nesse sentido foi o acordo com o FMI).  A proteção acabou sendo dada pelo setor público por meio operações no mercado futuro (especialmente dos bancos ofic</w:t>
      </w:r>
      <w:r>
        <w:rPr>
          <w:rFonts w:ascii="Times New Roman" w:eastAsia="Times New Roman" w:hAnsi="Times New Roman" w:cs="Times New Roman"/>
          <w:color w:val="231F20"/>
          <w:sz w:val="23"/>
          <w:szCs w:val="23"/>
        </w:rPr>
        <w:t>iais), a emissão interna de títulos públicos com cláusula cambial e venda de moeda estrangeira (Gremaud, Toneto Jr. 2001)</w:t>
      </w:r>
      <w:r>
        <w:rPr>
          <w:rFonts w:ascii="Times New Roman" w:eastAsia="Times New Roman" w:hAnsi="Times New Roman" w:cs="Times New Roman"/>
          <w:color w:val="231F20"/>
          <w:sz w:val="13"/>
          <w:szCs w:val="13"/>
        </w:rPr>
        <w:t xml:space="preserve"> </w:t>
      </w:r>
      <w:r>
        <w:rPr>
          <w:rFonts w:ascii="Times New Roman" w:eastAsia="Times New Roman" w:hAnsi="Times New Roman" w:cs="Times New Roman"/>
          <w:color w:val="231F20"/>
          <w:sz w:val="23"/>
          <w:szCs w:val="23"/>
        </w:rPr>
        <w:t xml:space="preserve">Na prática, o próprio governo, ao dar o </w:t>
      </w:r>
      <w:r>
        <w:rPr>
          <w:rFonts w:ascii="Times New Roman" w:eastAsia="Times New Roman" w:hAnsi="Times New Roman" w:cs="Times New Roman"/>
          <w:i/>
          <w:color w:val="231F20"/>
          <w:sz w:val="23"/>
          <w:szCs w:val="23"/>
        </w:rPr>
        <w:t xml:space="preserve">hedge </w:t>
      </w:r>
      <w:r>
        <w:rPr>
          <w:rFonts w:ascii="Times New Roman" w:eastAsia="Times New Roman" w:hAnsi="Times New Roman" w:cs="Times New Roman"/>
          <w:color w:val="231F20"/>
          <w:sz w:val="23"/>
          <w:szCs w:val="23"/>
        </w:rPr>
        <w:t>necessário ao mercado, acabou sendo o grande prejudicado quando da desvalorização cambia</w:t>
      </w:r>
      <w:r>
        <w:rPr>
          <w:rFonts w:ascii="Times New Roman" w:eastAsia="Times New Roman" w:hAnsi="Times New Roman" w:cs="Times New Roman"/>
          <w:color w:val="231F20"/>
          <w:sz w:val="23"/>
          <w:szCs w:val="23"/>
        </w:rPr>
        <w:t>l realizada depois da eleição. É justamente esse problema que a Argentina teve grande dificuldade de enfrentar, na verdade o tamanho do Estado argentino face ao endividamento privado naquele país não permitia a absorção do custo patrimonial da desvalorizaç</w:t>
      </w:r>
      <w:r>
        <w:rPr>
          <w:rFonts w:ascii="Times New Roman" w:eastAsia="Times New Roman" w:hAnsi="Times New Roman" w:cs="Times New Roman"/>
          <w:color w:val="231F20"/>
          <w:sz w:val="23"/>
          <w:szCs w:val="23"/>
        </w:rPr>
        <w:t>ão por parte do governo.</w:t>
      </w:r>
    </w:p>
    <w:p w:rsidR="00CA5614" w:rsidRDefault="00CA5614">
      <w:pPr>
        <w:spacing w:after="0"/>
        <w:rPr>
          <w:sz w:val="17"/>
          <w:szCs w:val="17"/>
        </w:rPr>
      </w:pPr>
    </w:p>
    <w:p w:rsidR="00CA5614" w:rsidRDefault="00542E8B">
      <w:pPr>
        <w:spacing w:after="0" w:line="251"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A vantagem dessas atitudes foi o fato de a desvalorização brasileira não ter provocado grandes falências no setor privado, evitando, assim, uma recessão muito grande, o que, combinado ao baixo impacto inflacionário da desvalorização, pode ser comemorado co</w:t>
      </w:r>
      <w:r>
        <w:rPr>
          <w:rFonts w:ascii="Times New Roman" w:eastAsia="Times New Roman" w:hAnsi="Times New Roman" w:cs="Times New Roman"/>
          <w:color w:val="231F20"/>
          <w:sz w:val="23"/>
          <w:szCs w:val="23"/>
        </w:rPr>
        <w:t>mo uma transição cambial de relativo sucesso. Após a mudança no regime cambial brasileiro, duas importantes consequências merecem ser destacadas. Primeiro, houve uma tendência crescente na taxa de câmbio no Brasil. Isso sugere um grande desalinhamento no p</w:t>
      </w:r>
      <w:r>
        <w:rPr>
          <w:rFonts w:ascii="Times New Roman" w:eastAsia="Times New Roman" w:hAnsi="Times New Roman" w:cs="Times New Roman"/>
          <w:color w:val="231F20"/>
          <w:sz w:val="23"/>
          <w:szCs w:val="23"/>
        </w:rPr>
        <w:t>eríodo anterior a 1999. Se por um lado esse desalinhamento foi funcional à estabilização inflacionária, por outro piorou o desempenho das contas externas brasileiras. Este foi considerado, por muitos, um dos principais custos do Plano Real. Além disso, ver</w:t>
      </w:r>
      <w:r>
        <w:rPr>
          <w:rFonts w:ascii="Times New Roman" w:eastAsia="Times New Roman" w:hAnsi="Times New Roman" w:cs="Times New Roman"/>
          <w:color w:val="231F20"/>
          <w:sz w:val="23"/>
          <w:szCs w:val="23"/>
        </w:rPr>
        <w:t>ificou-se uma volatilidade expressiva no comportamento da taxa de câmbio, demonstrando as dificuldades em se manter a estabilidade cambial num mundo de grandes incertezas nos fluxos financeiros.</w:t>
      </w:r>
    </w:p>
    <w:p w:rsidR="00CA5614" w:rsidRDefault="00542E8B">
      <w:pPr>
        <w:spacing w:after="0" w:line="251" w:lineRule="auto"/>
        <w:ind w:left="1094" w:right="1033" w:firstLine="510"/>
        <w:jc w:val="both"/>
        <w:rPr>
          <w:sz w:val="14"/>
          <w:szCs w:val="14"/>
        </w:rPr>
      </w:pPr>
      <w:r>
        <w:rPr>
          <w:rFonts w:ascii="Times New Roman" w:eastAsia="Times New Roman" w:hAnsi="Times New Roman" w:cs="Times New Roman"/>
          <w:color w:val="231F20"/>
          <w:sz w:val="23"/>
          <w:szCs w:val="23"/>
        </w:rPr>
        <w:t>Além dessas implicações, a desvalorização da moeda brasileira</w:t>
      </w:r>
      <w:r>
        <w:rPr>
          <w:rFonts w:ascii="Times New Roman" w:eastAsia="Times New Roman" w:hAnsi="Times New Roman" w:cs="Times New Roman"/>
          <w:color w:val="231F20"/>
          <w:sz w:val="23"/>
          <w:szCs w:val="23"/>
        </w:rPr>
        <w:t xml:space="preserve"> acabou por forçar a desvalorização em outros países da América Latina, em particular nos países-membros do Mercosul. Ou seja, a mudança de regime cambial em uma grande economia latino-americana acabou por representar um “golpe de misericórdia” nos demais </w:t>
      </w:r>
      <w:r>
        <w:rPr>
          <w:rFonts w:ascii="Times New Roman" w:eastAsia="Times New Roman" w:hAnsi="Times New Roman" w:cs="Times New Roman"/>
          <w:color w:val="231F20"/>
          <w:sz w:val="23"/>
          <w:szCs w:val="23"/>
        </w:rPr>
        <w:t>sistema de câmbio fixo ou estável, particularmente na Argentina, onde, conforme discutido, a desvalorização poderia levar à ruína do país. E de certa forma levou. Toda essa instabilidade cambial acabou também por causar um retrocesso no Mercosul.</w:t>
      </w:r>
      <w:r>
        <w:rPr>
          <w:sz w:val="14"/>
          <w:szCs w:val="14"/>
        </w:rPr>
        <w:t xml:space="preserve"> </w:t>
      </w:r>
    </w:p>
    <w:p w:rsidR="00CA5614" w:rsidRDefault="00542E8B">
      <w:pPr>
        <w:spacing w:before="22" w:after="0" w:line="245" w:lineRule="auto"/>
        <w:ind w:left="1094" w:right="1033" w:firstLine="510"/>
        <w:jc w:val="both"/>
        <w:rPr>
          <w:rFonts w:ascii="Times New Roman" w:eastAsia="Times New Roman" w:hAnsi="Times New Roman" w:cs="Times New Roman"/>
          <w:sz w:val="23"/>
          <w:szCs w:val="23"/>
        </w:rPr>
      </w:pPr>
      <w:r>
        <w:rPr>
          <w:rFonts w:ascii="Times New Roman" w:eastAsia="Times New Roman" w:hAnsi="Times New Roman" w:cs="Times New Roman"/>
          <w:color w:val="231F20"/>
          <w:sz w:val="23"/>
          <w:szCs w:val="23"/>
        </w:rPr>
        <w:t>Outra im</w:t>
      </w:r>
      <w:r>
        <w:rPr>
          <w:rFonts w:ascii="Times New Roman" w:eastAsia="Times New Roman" w:hAnsi="Times New Roman" w:cs="Times New Roman"/>
          <w:color w:val="231F20"/>
          <w:sz w:val="23"/>
          <w:szCs w:val="23"/>
        </w:rPr>
        <w:t>portante consequência da flexibilização cambial no Brasil foi a adoção, após 1999, do regime de metas de inflação (</w:t>
      </w:r>
      <w:r>
        <w:rPr>
          <w:rFonts w:ascii="Times New Roman" w:eastAsia="Times New Roman" w:hAnsi="Times New Roman" w:cs="Times New Roman"/>
          <w:i/>
          <w:color w:val="231F20"/>
          <w:sz w:val="23"/>
          <w:szCs w:val="23"/>
        </w:rPr>
        <w:t>inflation targeting)</w:t>
      </w:r>
      <w:r>
        <w:rPr>
          <w:rFonts w:ascii="Times New Roman" w:eastAsia="Times New Roman" w:hAnsi="Times New Roman" w:cs="Times New Roman"/>
          <w:color w:val="231F20"/>
          <w:sz w:val="23"/>
          <w:szCs w:val="23"/>
        </w:rPr>
        <w:t xml:space="preserve">. Uma vez abandonada a ancoragem cambial, tornou-se necessário, na visão das autoridades econômicas locais, um novo tipo </w:t>
      </w:r>
      <w:r>
        <w:rPr>
          <w:rFonts w:ascii="Times New Roman" w:eastAsia="Times New Roman" w:hAnsi="Times New Roman" w:cs="Times New Roman"/>
          <w:color w:val="231F20"/>
          <w:sz w:val="23"/>
          <w:szCs w:val="23"/>
        </w:rPr>
        <w:t>de ancoragem. Essa “ancoragem monetária” tem sido bem-sucedida no Brasil, uma vez que o processo inflacionário não se mostrou perverso nos anos que se seguiram à mudança no regime cambial. Essa ancoragem monetária não foi adotada nos demais países do Merco</w:t>
      </w:r>
      <w:r>
        <w:rPr>
          <w:rFonts w:ascii="Times New Roman" w:eastAsia="Times New Roman" w:hAnsi="Times New Roman" w:cs="Times New Roman"/>
          <w:color w:val="231F20"/>
          <w:sz w:val="23"/>
          <w:szCs w:val="23"/>
        </w:rPr>
        <w:t>sul talvez em decorrência do forte quadro recessivo verificado nessas economias, particularmente na Argentina.</w:t>
      </w:r>
    </w:p>
    <w:p w:rsidR="00CA5614" w:rsidRDefault="00CA5614">
      <w:pPr>
        <w:spacing w:before="10" w:after="0"/>
        <w:rPr>
          <w:sz w:val="16"/>
          <w:szCs w:val="16"/>
        </w:rPr>
      </w:pPr>
    </w:p>
    <w:p w:rsidR="00CA5614" w:rsidRDefault="00CA5614">
      <w:pPr>
        <w:spacing w:after="0" w:line="251" w:lineRule="auto"/>
        <w:ind w:left="1094" w:right="1034" w:firstLine="510"/>
        <w:jc w:val="both"/>
        <w:rPr>
          <w:rFonts w:ascii="Times New Roman" w:eastAsia="Times New Roman" w:hAnsi="Times New Roman" w:cs="Times New Roman"/>
          <w:sz w:val="23"/>
          <w:szCs w:val="23"/>
        </w:rPr>
      </w:pP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542E8B">
      <w:pPr>
        <w:spacing w:after="0" w:line="251" w:lineRule="auto"/>
        <w:ind w:left="720" w:right="1033" w:firstLine="720"/>
        <w:jc w:val="both"/>
        <w:rPr>
          <w:rFonts w:ascii="Trebuchet MS" w:eastAsia="Trebuchet MS" w:hAnsi="Trebuchet MS" w:cs="Trebuchet MS"/>
          <w:color w:val="7E5439"/>
          <w:sz w:val="24"/>
          <w:szCs w:val="24"/>
        </w:rPr>
      </w:pPr>
      <w:r>
        <w:rPr>
          <w:rFonts w:ascii="Trebuchet MS" w:eastAsia="Trebuchet MS" w:hAnsi="Trebuchet MS" w:cs="Trebuchet MS"/>
          <w:b/>
          <w:color w:val="7E5439"/>
          <w:sz w:val="24"/>
          <w:szCs w:val="24"/>
        </w:rPr>
        <w:t>5.3.5 As flutuações administradas.</w:t>
      </w:r>
    </w:p>
    <w:p w:rsidR="00CA5614" w:rsidRDefault="00CA5614">
      <w:pPr>
        <w:spacing w:after="0" w:line="251" w:lineRule="auto"/>
        <w:ind w:left="720" w:right="1033" w:firstLine="720"/>
        <w:jc w:val="both"/>
        <w:rPr>
          <w:rFonts w:ascii="Times New Roman" w:eastAsia="Times New Roman" w:hAnsi="Times New Roman" w:cs="Times New Roman"/>
          <w:color w:val="231F20"/>
          <w:sz w:val="23"/>
          <w:szCs w:val="23"/>
        </w:rPr>
      </w:pP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Em um momento ou outro os países que adotaram ancoragens cambiais mais rígidas acabaram por abandonar estas estratégias, que obtiveram, em geral com algum sucesso para debelar o processo inflacionário, mas implicaram em uma crise de Balanço de Pagamentos e</w:t>
      </w:r>
      <w:r>
        <w:rPr>
          <w:rFonts w:ascii="Times New Roman" w:eastAsia="Times New Roman" w:hAnsi="Times New Roman" w:cs="Times New Roman"/>
          <w:color w:val="231F20"/>
          <w:sz w:val="23"/>
          <w:szCs w:val="23"/>
        </w:rPr>
        <w:t>m função de problemas na balança de transações correntes e expansões dos passivos externos Este abandono se deu para uns mais cedo como o caso do México, outros no fim da década como o Brasil, e alguns já no início do século XXI como é o caso da Argentina.</w:t>
      </w:r>
      <w:r>
        <w:rPr>
          <w:rFonts w:ascii="Times New Roman" w:eastAsia="Times New Roman" w:hAnsi="Times New Roman" w:cs="Times New Roman"/>
          <w:color w:val="231F20"/>
          <w:sz w:val="23"/>
          <w:szCs w:val="23"/>
        </w:rPr>
        <w:t xml:space="preserve"> Nota-se, contudo, em torno da passagem do século, uma transição de praticamente todas as economias latino americanas para regimes cambiais mais flexíveis. Mesmo aqueles países que não adotaram ancoragens rígidas e que adotaram regimes mais leves, regimes </w:t>
      </w:r>
      <w:r>
        <w:rPr>
          <w:rFonts w:ascii="Times New Roman" w:eastAsia="Times New Roman" w:hAnsi="Times New Roman" w:cs="Times New Roman"/>
          <w:color w:val="231F20"/>
          <w:sz w:val="23"/>
          <w:szCs w:val="23"/>
        </w:rPr>
        <w:t>de bandas cambiais, como Colômbia e Chile, transitaram para regimes flutuantes.</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Algumas transições para o regime de câmbio flutuante foram mais dramáticas que outras como foi o caso da Argentina. E depois do câmbio flutuante também se acompanha algumas dif</w:t>
      </w:r>
      <w:r>
        <w:rPr>
          <w:rFonts w:ascii="Times New Roman" w:eastAsia="Times New Roman" w:hAnsi="Times New Roman" w:cs="Times New Roman"/>
          <w:color w:val="231F20"/>
          <w:sz w:val="23"/>
          <w:szCs w:val="23"/>
        </w:rPr>
        <w:t>erenças e semelhanças. Muitos países adotaram, como já adiantado para o caso do Brasil, uma nova institucionalidade para o combate a inflação, ou seja, o sistema de metas de inflação. Desta forma combina-se um regime de câmbio flutuante, com intervenções f</w:t>
      </w:r>
      <w:r>
        <w:rPr>
          <w:rFonts w:ascii="Times New Roman" w:eastAsia="Times New Roman" w:hAnsi="Times New Roman" w:cs="Times New Roman"/>
          <w:color w:val="231F20"/>
          <w:sz w:val="23"/>
          <w:szCs w:val="23"/>
        </w:rPr>
        <w:t>eitas neste mercado por parte do governo com base no sistema de metas de inflação. Ou seja, o governo administra o regime cambial com vistas a levar a taxa de cambio, quando possível, para um comportamento favorável ao controle inflacionário. Este foi o ca</w:t>
      </w:r>
      <w:r>
        <w:rPr>
          <w:rFonts w:ascii="Times New Roman" w:eastAsia="Times New Roman" w:hAnsi="Times New Roman" w:cs="Times New Roman"/>
          <w:color w:val="231F20"/>
          <w:sz w:val="23"/>
          <w:szCs w:val="23"/>
        </w:rPr>
        <w:t xml:space="preserve">so não apenas do Brasil, mas também do México depois de 1999, do Chile e da Colômbia (estes últimos já se valiam do sistema de metas de inflação desde o início dos anos 90) e do Peru. </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O início dos regimes de flutuação suja da maioria dos países latino-ame</w:t>
      </w:r>
      <w:r>
        <w:rPr>
          <w:rFonts w:ascii="Times New Roman" w:eastAsia="Times New Roman" w:hAnsi="Times New Roman" w:cs="Times New Roman"/>
          <w:color w:val="231F20"/>
          <w:sz w:val="23"/>
          <w:szCs w:val="23"/>
        </w:rPr>
        <w:t>ricanos se fez com os governos agindo sobre os mercados, procurando evitar grandes flutuações, havia o que Calvo e Reinhardt (2002) chamavam de medo da flutuação por parte dos governos com medo dos efeitos da desvalorização cambial sobre a inflação e sobre</w:t>
      </w:r>
      <w:r>
        <w:rPr>
          <w:rFonts w:ascii="Times New Roman" w:eastAsia="Times New Roman" w:hAnsi="Times New Roman" w:cs="Times New Roman"/>
          <w:color w:val="231F20"/>
          <w:sz w:val="23"/>
          <w:szCs w:val="23"/>
        </w:rPr>
        <w:t xml:space="preserve"> a estabilidade do sistema financeiro destes países. </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Em muitos países nota-se a preocupação nos momentos iniciais do regime de câmbio flexível com possíveis exageros da desvalorização cambial em função de choques e crises internacionais, esta desvalorizaç</w:t>
      </w:r>
      <w:r>
        <w:rPr>
          <w:rFonts w:ascii="Times New Roman" w:eastAsia="Times New Roman" w:hAnsi="Times New Roman" w:cs="Times New Roman"/>
          <w:color w:val="231F20"/>
          <w:sz w:val="23"/>
          <w:szCs w:val="23"/>
        </w:rPr>
        <w:t>ão pode ser percebida nos gráficos abaixo que representam o comportamento cambial de Brasil, Colômbia, Chile e Uruguai, no início do século XX, até aproximadamente 2003 dependendo do país.</w:t>
      </w: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542E8B">
      <w:pPr>
        <w:spacing w:after="0" w:line="251" w:lineRule="auto"/>
        <w:ind w:left="374" w:right="1033" w:firstLine="720"/>
        <w:rPr>
          <w:rFonts w:ascii="Times New Roman" w:eastAsia="Times New Roman" w:hAnsi="Times New Roman" w:cs="Times New Roman"/>
          <w:color w:val="231F20"/>
          <w:sz w:val="23"/>
          <w:szCs w:val="23"/>
        </w:rPr>
      </w:pPr>
      <w:r>
        <w:rPr>
          <w:noProof/>
        </w:rPr>
        <w:drawing>
          <wp:inline distT="0" distB="0" distL="114300" distR="114300">
            <wp:extent cx="4584700" cy="2755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84700" cy="2755900"/>
                    </a:xfrm>
                    <a:prstGeom prst="rect">
                      <a:avLst/>
                    </a:prstGeom>
                    <a:ln/>
                  </pic:spPr>
                </pic:pic>
              </a:graphicData>
            </a:graphic>
          </wp:inline>
        </w:drawing>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rPr>
        <w:t>Fonte: dados básicos Ce</w:t>
      </w:r>
      <w:r>
        <w:rPr>
          <w:rFonts w:ascii="Times New Roman" w:eastAsia="Times New Roman" w:hAnsi="Times New Roman" w:cs="Times New Roman"/>
          <w:color w:val="231F20"/>
          <w:sz w:val="23"/>
          <w:szCs w:val="23"/>
        </w:rPr>
        <w:t>pal</w:t>
      </w: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542E8B">
      <w:pPr>
        <w:spacing w:after="0" w:line="251" w:lineRule="auto"/>
        <w:ind w:right="1033"/>
        <w:jc w:val="right"/>
        <w:rPr>
          <w:rFonts w:ascii="Times New Roman" w:eastAsia="Times New Roman" w:hAnsi="Times New Roman" w:cs="Times New Roman"/>
          <w:color w:val="231F20"/>
          <w:sz w:val="20"/>
          <w:szCs w:val="20"/>
        </w:rPr>
      </w:pPr>
      <w:r>
        <w:rPr>
          <w:noProof/>
          <w:sz w:val="18"/>
          <w:szCs w:val="18"/>
        </w:rPr>
        <w:drawing>
          <wp:inline distT="0" distB="0" distL="114300" distR="114300">
            <wp:extent cx="4584700" cy="2755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584700" cy="2755900"/>
                    </a:xfrm>
                    <a:prstGeom prst="rect">
                      <a:avLst/>
                    </a:prstGeom>
                    <a:ln/>
                  </pic:spPr>
                </pic:pic>
              </a:graphicData>
            </a:graphic>
          </wp:inline>
        </w:drawing>
      </w:r>
    </w:p>
    <w:p w:rsidR="00CA5614" w:rsidRDefault="00542E8B">
      <w:pPr>
        <w:spacing w:after="0" w:line="251" w:lineRule="auto"/>
        <w:ind w:right="1033"/>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sz w:val="20"/>
          <w:szCs w:val="20"/>
        </w:rPr>
        <w:tab/>
        <w:t>Fonte: dados básicos CEPAL</w:t>
      </w: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Em meados da década inicial do século XXI até o início da década seguinte, nestes mesmos países, ainda sob o regime de flutuação suja e com forte abertura de conta de capital, o cenário se inverte e, em função de entrada de capital fortemente positiva em a</w:t>
      </w:r>
      <w:r>
        <w:rPr>
          <w:rFonts w:ascii="Times New Roman" w:eastAsia="Times New Roman" w:hAnsi="Times New Roman" w:cs="Times New Roman"/>
          <w:color w:val="231F20"/>
          <w:sz w:val="23"/>
          <w:szCs w:val="23"/>
        </w:rPr>
        <w:t xml:space="preserve">lguns casos e também superávits expressivos na conta comercial (no caso brasileiro os dois elementos se conjugam especialmente a partir de 2005) a intervenção se inverte por parte do governo. Existe uma forte tendência de valorização das moedas nacionais, </w:t>
      </w:r>
      <w:r>
        <w:rPr>
          <w:rFonts w:ascii="Times New Roman" w:eastAsia="Times New Roman" w:hAnsi="Times New Roman" w:cs="Times New Roman"/>
          <w:color w:val="231F20"/>
          <w:sz w:val="23"/>
          <w:szCs w:val="23"/>
        </w:rPr>
        <w:t>esta valorização é inicialmente bem-vinda dados os efeitos positivos que ela traz sobre a redução da inflação, a entrada de capitais também permite a acumulação de reservas por parte do governo que entra no mercado adquirindo divisas e assim melhorando seu</w:t>
      </w:r>
      <w:r>
        <w:rPr>
          <w:rFonts w:ascii="Times New Roman" w:eastAsia="Times New Roman" w:hAnsi="Times New Roman" w:cs="Times New Roman"/>
          <w:color w:val="231F20"/>
          <w:sz w:val="23"/>
          <w:szCs w:val="23"/>
        </w:rPr>
        <w:t xml:space="preserve"> posicionamento estratégico no mercado (com aumento das reservas internacionais a sua disposição). </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Porém com o tempo surgem questionamentos  sobre esta tendência de valorização da moeda nacional em função de seus efeitos sobre o posicionamento competitivo</w:t>
      </w:r>
      <w:r>
        <w:rPr>
          <w:rFonts w:ascii="Times New Roman" w:eastAsia="Times New Roman" w:hAnsi="Times New Roman" w:cs="Times New Roman"/>
          <w:color w:val="231F20"/>
          <w:sz w:val="23"/>
          <w:szCs w:val="23"/>
        </w:rPr>
        <w:t xml:space="preserve"> destas economias frente a seus concorrentes. Com a valorização as importações se barateiam, por um lado, facilitando a incorporação de tecnologias internacionais, mas por outro, pode causar um padrão de consumo exageradamente internacionalizado e dificult</w:t>
      </w:r>
      <w:r>
        <w:rPr>
          <w:rFonts w:ascii="Times New Roman" w:eastAsia="Times New Roman" w:hAnsi="Times New Roman" w:cs="Times New Roman"/>
          <w:color w:val="231F20"/>
          <w:sz w:val="23"/>
          <w:szCs w:val="23"/>
        </w:rPr>
        <w:t>a o processo desenvolvimento de padrões tecnológicos mais avançados no próprio país. As exportações também começam a enfrentar problemas, apenas produtos fortemente competitivos frutos de vantagens competitivas muito fortes resistem a esta valorização camb</w:t>
      </w:r>
      <w:r>
        <w:rPr>
          <w:rFonts w:ascii="Times New Roman" w:eastAsia="Times New Roman" w:hAnsi="Times New Roman" w:cs="Times New Roman"/>
          <w:color w:val="231F20"/>
          <w:sz w:val="23"/>
          <w:szCs w:val="23"/>
        </w:rPr>
        <w:t xml:space="preserve">ial, concentrando as exportações destes países normalmente em produtos recursos naturais intensivos e desindustrializando, ao mesmo parcialmente, a pauta de exportações e a própria estrutura produtiva dos países. </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Dados os riscos que esta valorização passa</w:t>
      </w:r>
      <w:r>
        <w:rPr>
          <w:rFonts w:ascii="Times New Roman" w:eastAsia="Times New Roman" w:hAnsi="Times New Roman" w:cs="Times New Roman"/>
          <w:color w:val="231F20"/>
          <w:sz w:val="23"/>
          <w:szCs w:val="23"/>
        </w:rPr>
        <w:t xml:space="preserve"> a trazer sobre o estilo de desenvolvimento dos países cresce a pressão para intervenções mais fortes por parte do governo de modo a reverter a tendência de valorização ou estimular a desvalorização cambial incentivando melhores posicionamentos no comércio</w:t>
      </w:r>
      <w:r>
        <w:rPr>
          <w:rFonts w:ascii="Times New Roman" w:eastAsia="Times New Roman" w:hAnsi="Times New Roman" w:cs="Times New Roman"/>
          <w:color w:val="231F20"/>
          <w:sz w:val="23"/>
          <w:szCs w:val="23"/>
        </w:rPr>
        <w:t xml:space="preserve"> internacional, ou seja, a defesa de estratégias que ficam conhecidas com estratégias de um “mercantilismo moderno”, este evitar de uma maior valorização (ou promoção de alguma desvalorização) num ambiente de ingresso de capital reforçou o posicionamento d</w:t>
      </w:r>
      <w:r>
        <w:rPr>
          <w:rFonts w:ascii="Times New Roman" w:eastAsia="Times New Roman" w:hAnsi="Times New Roman" w:cs="Times New Roman"/>
          <w:color w:val="231F20"/>
          <w:sz w:val="23"/>
          <w:szCs w:val="23"/>
        </w:rPr>
        <w:t>os governos em adquirir divisas no mercado flutuante o que implicou em fortes ampliações de reservas como ocorreu no caso brasileiro, peruano e colombiano de maneira significativa e em menor grau no México e no Chile (Frankel e Rapetti, 2012), os custos de</w:t>
      </w:r>
      <w:r>
        <w:rPr>
          <w:rFonts w:ascii="Times New Roman" w:eastAsia="Times New Roman" w:hAnsi="Times New Roman" w:cs="Times New Roman"/>
          <w:color w:val="231F20"/>
          <w:sz w:val="23"/>
          <w:szCs w:val="23"/>
        </w:rPr>
        <w:t>sta estratégia levaram alguns países a iniciaram a implementação de medidas que passaram a dificultar o ingresso de capitais como foi o caso do Brasil e da Colômbia com vistas a diminuir a pressão desvalorizadora no câmbio. Esta situação, contudo, se alter</w:t>
      </w:r>
      <w:r>
        <w:rPr>
          <w:rFonts w:ascii="Times New Roman" w:eastAsia="Times New Roman" w:hAnsi="Times New Roman" w:cs="Times New Roman"/>
          <w:color w:val="231F20"/>
          <w:sz w:val="23"/>
          <w:szCs w:val="23"/>
        </w:rPr>
        <w:t>nou com a própria reversão do cenário externo e a diminuição dos fluxos de capitai em direção aos países latino americanos no início da década atual, o que em conjunto com algumas alterações nos fundamentos das economias nacionais fez com o comportamento d</w:t>
      </w:r>
      <w:r>
        <w:rPr>
          <w:rFonts w:ascii="Times New Roman" w:eastAsia="Times New Roman" w:hAnsi="Times New Roman" w:cs="Times New Roman"/>
          <w:color w:val="231F20"/>
          <w:sz w:val="23"/>
          <w:szCs w:val="23"/>
        </w:rPr>
        <w:t>o câmbio voltasse a se reverter e passasse novamente a se desvalorizar.</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Assim, no regime de flutuação suja, as taxas flutuaram em países como Brasil, Chile, Colômbia e Uruguai com uma desvalorização no início da primeira década do século, sendo depois suce</w:t>
      </w:r>
      <w:r>
        <w:rPr>
          <w:rFonts w:ascii="Times New Roman" w:eastAsia="Times New Roman" w:hAnsi="Times New Roman" w:cs="Times New Roman"/>
          <w:color w:val="231F20"/>
          <w:sz w:val="23"/>
          <w:szCs w:val="23"/>
        </w:rPr>
        <w:t xml:space="preserve">dido por tendência de valorização que vem até pouco depois da grande crise de 2008. É apenas no período mais recente que as taxas voltaram a se desvalorizar. </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Comportamentos diferentes tiveram as taxas de câmbio em países como México, Argentina e Venezuela</w:t>
      </w:r>
      <w:r>
        <w:rPr>
          <w:rFonts w:ascii="Times New Roman" w:eastAsia="Times New Roman" w:hAnsi="Times New Roman" w:cs="Times New Roman"/>
          <w:color w:val="231F20"/>
          <w:sz w:val="23"/>
          <w:szCs w:val="23"/>
        </w:rPr>
        <w:t xml:space="preserve"> como pode ser observado comparado os gráficos sobre a evolução das taxas de câmbio. Nestes países não se percebe este processo inicial de desvalorização seguida por uma valorização cambial e, mais recentemente, nova desvalorização cambial, nestes países n</w:t>
      </w:r>
      <w:r>
        <w:rPr>
          <w:rFonts w:ascii="Times New Roman" w:eastAsia="Times New Roman" w:hAnsi="Times New Roman" w:cs="Times New Roman"/>
          <w:color w:val="231F20"/>
          <w:sz w:val="23"/>
          <w:szCs w:val="23"/>
        </w:rPr>
        <w:t xml:space="preserve">ão se observa a valorização cambial ocorrida antes da crise de 2008. </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 xml:space="preserve">Na Argentina em 2001 temos a crises que põe fim ao regime de conversibilidade e ocorre uma forte desvalorização cambial, mas depois mesmo com o regime de câmbio fixo sendo abandonado há </w:t>
      </w:r>
      <w:r>
        <w:rPr>
          <w:rFonts w:ascii="Times New Roman" w:eastAsia="Times New Roman" w:hAnsi="Times New Roman" w:cs="Times New Roman"/>
          <w:color w:val="231F20"/>
          <w:sz w:val="23"/>
          <w:szCs w:val="23"/>
        </w:rPr>
        <w:t xml:space="preserve">um período de relativa estabilidade da taxa de cambio até o final da década quando novas pressões desvalorizadoras apareceram. </w:t>
      </w:r>
    </w:p>
    <w:p w:rsidR="00CA5614" w:rsidRDefault="00CA5614">
      <w:pPr>
        <w:spacing w:after="0" w:line="251" w:lineRule="auto"/>
        <w:ind w:right="1033"/>
        <w:jc w:val="both"/>
        <w:rPr>
          <w:rFonts w:ascii="Times New Roman" w:eastAsia="Times New Roman" w:hAnsi="Times New Roman" w:cs="Times New Roman"/>
          <w:color w:val="231F20"/>
          <w:sz w:val="23"/>
          <w:szCs w:val="23"/>
        </w:rPr>
      </w:pPr>
    </w:p>
    <w:p w:rsidR="00CA5614" w:rsidRDefault="00CA5614">
      <w:pPr>
        <w:spacing w:after="0" w:line="251" w:lineRule="auto"/>
        <w:ind w:right="1033"/>
        <w:jc w:val="both"/>
        <w:rPr>
          <w:rFonts w:ascii="Times New Roman" w:eastAsia="Times New Roman" w:hAnsi="Times New Roman" w:cs="Times New Roman"/>
          <w:color w:val="231F20"/>
          <w:sz w:val="23"/>
          <w:szCs w:val="23"/>
        </w:rPr>
      </w:pPr>
    </w:p>
    <w:p w:rsidR="00CA5614" w:rsidRDefault="00542E8B">
      <w:pPr>
        <w:spacing w:after="0" w:line="251" w:lineRule="auto"/>
        <w:ind w:right="1033" w:firstLine="720"/>
        <w:jc w:val="center"/>
        <w:rPr>
          <w:rFonts w:ascii="Times New Roman" w:eastAsia="Times New Roman" w:hAnsi="Times New Roman" w:cs="Times New Roman"/>
          <w:color w:val="231F20"/>
          <w:sz w:val="23"/>
          <w:szCs w:val="23"/>
        </w:rPr>
      </w:pPr>
      <w:r>
        <w:rPr>
          <w:noProof/>
        </w:rPr>
        <w:drawing>
          <wp:inline distT="0" distB="0" distL="114300" distR="114300">
            <wp:extent cx="4584700" cy="27559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584700" cy="2755900"/>
                    </a:xfrm>
                    <a:prstGeom prst="rect">
                      <a:avLst/>
                    </a:prstGeom>
                    <a:ln/>
                  </pic:spPr>
                </pic:pic>
              </a:graphicData>
            </a:graphic>
          </wp:inline>
        </w:drawing>
      </w:r>
    </w:p>
    <w:p w:rsidR="00CA5614" w:rsidRDefault="00542E8B">
      <w:pPr>
        <w:spacing w:after="0" w:line="251" w:lineRule="auto"/>
        <w:ind w:right="1033"/>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sz w:val="20"/>
          <w:szCs w:val="20"/>
        </w:rPr>
        <w:tab/>
        <w:t>Fonte: dados básicos CEPAL</w:t>
      </w: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Na Venezuela a situação é diferente. O regime de bandas lá adotada desde meados dos anos 90 com controle de capitais foi alterado também no início do século (2002), passando para um regime de flutuação com tendências de desvalorização cambial. Porém existe</w:t>
      </w:r>
      <w:r>
        <w:rPr>
          <w:rFonts w:ascii="Times New Roman" w:eastAsia="Times New Roman" w:hAnsi="Times New Roman" w:cs="Times New Roman"/>
          <w:color w:val="231F20"/>
          <w:sz w:val="23"/>
          <w:szCs w:val="23"/>
        </w:rPr>
        <w:t xml:space="preserve"> uma alteração substancial nos anos subsequentes com a implementação de fortes controles sobre os fluxos de capital e o retorno a um regime de câmbio fixo. No final da década uma nova alteração impôs um regime de cambio múltiplo com uma parte das transaçõe</w:t>
      </w:r>
      <w:r>
        <w:rPr>
          <w:rFonts w:ascii="Times New Roman" w:eastAsia="Times New Roman" w:hAnsi="Times New Roman" w:cs="Times New Roman"/>
          <w:color w:val="231F20"/>
          <w:sz w:val="23"/>
          <w:szCs w:val="23"/>
        </w:rPr>
        <w:t>s ocorrendo em mercado com câmbio fixo (uma parte em um mercado com uma taxa mais valorizada e outras em outro mercado com taxas mais desvalorizadas) e outras transações ainda agindo num mercado de câmbio flutuante, com forte desvalorização cambial.</w:t>
      </w:r>
    </w:p>
    <w:p w:rsidR="00CA5614" w:rsidRDefault="00CA5614">
      <w:pPr>
        <w:spacing w:after="0" w:line="251" w:lineRule="auto"/>
        <w:ind w:right="1033"/>
        <w:jc w:val="both"/>
        <w:rPr>
          <w:rFonts w:ascii="Times New Roman" w:eastAsia="Times New Roman" w:hAnsi="Times New Roman" w:cs="Times New Roman"/>
          <w:color w:val="231F20"/>
          <w:sz w:val="23"/>
          <w:szCs w:val="23"/>
        </w:rPr>
      </w:pPr>
    </w:p>
    <w:p w:rsidR="00CA5614" w:rsidRDefault="00CA5614">
      <w:pPr>
        <w:spacing w:after="0" w:line="251" w:lineRule="auto"/>
        <w:ind w:right="1033"/>
        <w:jc w:val="both"/>
        <w:rPr>
          <w:rFonts w:ascii="Times New Roman" w:eastAsia="Times New Roman" w:hAnsi="Times New Roman" w:cs="Times New Roman"/>
          <w:color w:val="231F20"/>
          <w:sz w:val="23"/>
          <w:szCs w:val="23"/>
        </w:rPr>
      </w:pPr>
    </w:p>
    <w:p w:rsidR="00CA5614" w:rsidRDefault="00542E8B">
      <w:pPr>
        <w:spacing w:after="0" w:line="251" w:lineRule="auto"/>
        <w:ind w:left="374" w:right="1033" w:firstLine="720"/>
        <w:jc w:val="both"/>
        <w:rPr>
          <w:rFonts w:ascii="Times New Roman" w:eastAsia="Times New Roman" w:hAnsi="Times New Roman" w:cs="Times New Roman"/>
          <w:color w:val="231F20"/>
          <w:sz w:val="23"/>
          <w:szCs w:val="23"/>
        </w:rPr>
      </w:pPr>
      <w:r>
        <w:rPr>
          <w:rFonts w:ascii="Trebuchet MS" w:eastAsia="Trebuchet MS" w:hAnsi="Trebuchet MS" w:cs="Trebuchet MS"/>
          <w:b/>
          <w:color w:val="7E5439"/>
          <w:sz w:val="24"/>
          <w:szCs w:val="24"/>
        </w:rPr>
        <w:t>5.4. Considerações finais</w:t>
      </w:r>
    </w:p>
    <w:p w:rsidR="00CA5614" w:rsidRDefault="00CA5614">
      <w:pPr>
        <w:spacing w:after="0" w:line="251" w:lineRule="auto"/>
        <w:ind w:left="1094" w:right="1033" w:firstLine="510"/>
        <w:jc w:val="both"/>
        <w:rPr>
          <w:rFonts w:ascii="Times New Roman" w:eastAsia="Times New Roman" w:hAnsi="Times New Roman" w:cs="Times New Roman"/>
          <w:color w:val="231F20"/>
          <w:sz w:val="23"/>
          <w:szCs w:val="23"/>
        </w:rPr>
      </w:pP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Não existe um consenso em torno do melhor regime cambial. As opções são muitas e a escolha entre elas depende dos objetivos da própria política econômica e das condições tanto da economia nacional quanto da situação da economia i</w:t>
      </w:r>
      <w:r>
        <w:rPr>
          <w:rFonts w:ascii="Times New Roman" w:eastAsia="Times New Roman" w:hAnsi="Times New Roman" w:cs="Times New Roman"/>
          <w:color w:val="231F20"/>
          <w:sz w:val="23"/>
          <w:szCs w:val="23"/>
        </w:rPr>
        <w:t xml:space="preserve">nternacional. Pode-se observar que, nos últimos 25 anos, os países latino-americanos percorreram por quase todas estas possibilidades de regimes cambiais tanto em função da alternância dos objetivos – do combate à inflação à promoção do crescimento – como </w:t>
      </w:r>
      <w:r>
        <w:rPr>
          <w:rFonts w:ascii="Times New Roman" w:eastAsia="Times New Roman" w:hAnsi="Times New Roman" w:cs="Times New Roman"/>
          <w:color w:val="231F20"/>
          <w:sz w:val="23"/>
          <w:szCs w:val="23"/>
        </w:rPr>
        <w:t>de diferentes momentos políticos e econômicos em um mundo caracterizado por uma conjuntura de crises financeiras.</w:t>
      </w:r>
    </w:p>
    <w:p w:rsidR="00CA5614" w:rsidRDefault="00542E8B">
      <w:pPr>
        <w:spacing w:after="0" w:line="251" w:lineRule="auto"/>
        <w:ind w:left="1094" w:right="1033" w:firstLine="510"/>
        <w:jc w:val="both"/>
        <w:rPr>
          <w:rFonts w:ascii="Times New Roman" w:eastAsia="Times New Roman" w:hAnsi="Times New Roman" w:cs="Times New Roman"/>
          <w:color w:val="231F20"/>
          <w:sz w:val="23"/>
          <w:szCs w:val="23"/>
        </w:rPr>
      </w:pPr>
      <w:r>
        <w:rPr>
          <w:rFonts w:ascii="Times New Roman" w:eastAsia="Times New Roman" w:hAnsi="Times New Roman" w:cs="Times New Roman"/>
          <w:color w:val="231F20"/>
          <w:sz w:val="23"/>
          <w:szCs w:val="23"/>
        </w:rPr>
        <w:t>De uma forma geral se transitou de regimes mais fechados em termos da conversibilidade das moedas nacionais nas moedas internacionais para reg</w:t>
      </w:r>
      <w:r>
        <w:rPr>
          <w:rFonts w:ascii="Times New Roman" w:eastAsia="Times New Roman" w:hAnsi="Times New Roman" w:cs="Times New Roman"/>
          <w:color w:val="231F20"/>
          <w:sz w:val="23"/>
          <w:szCs w:val="23"/>
        </w:rPr>
        <w:t xml:space="preserve">imes mais abertos ao mesmo tempo se passou de regimes onde a formação da taxa de cambio era fixada pelo governo (regimes de câmbio fixo) para situações onde o mercado se tornou mais flutuante mesmo que neste mercado ainda houvesse uma forte intervenção do </w:t>
      </w:r>
      <w:r>
        <w:rPr>
          <w:rFonts w:ascii="Times New Roman" w:eastAsia="Times New Roman" w:hAnsi="Times New Roman" w:cs="Times New Roman"/>
          <w:color w:val="231F20"/>
          <w:sz w:val="23"/>
          <w:szCs w:val="23"/>
        </w:rPr>
        <w:t xml:space="preserve">governo. </w:t>
      </w:r>
    </w:p>
    <w:p w:rsidR="00CA5614" w:rsidRDefault="00CA5614">
      <w:pPr>
        <w:spacing w:after="0" w:line="251" w:lineRule="auto"/>
        <w:ind w:right="1033"/>
        <w:jc w:val="both"/>
        <w:rPr>
          <w:rFonts w:ascii="Times New Roman" w:eastAsia="Times New Roman" w:hAnsi="Times New Roman" w:cs="Times New Roman"/>
          <w:color w:val="231F20"/>
          <w:sz w:val="23"/>
          <w:szCs w:val="23"/>
        </w:rPr>
      </w:pPr>
    </w:p>
    <w:p w:rsidR="00CA5614" w:rsidRDefault="00CA5614">
      <w:pPr>
        <w:spacing w:after="0" w:line="251" w:lineRule="auto"/>
        <w:ind w:right="1033"/>
        <w:jc w:val="both"/>
        <w:rPr>
          <w:sz w:val="20"/>
          <w:szCs w:val="20"/>
        </w:rPr>
      </w:pPr>
    </w:p>
    <w:p w:rsidR="00CA5614" w:rsidRDefault="00CA5614">
      <w:pPr>
        <w:spacing w:after="0"/>
        <w:rPr>
          <w:sz w:val="20"/>
          <w:szCs w:val="20"/>
        </w:rPr>
      </w:pPr>
    </w:p>
    <w:p w:rsidR="00CA5614" w:rsidRDefault="00542E8B">
      <w:pPr>
        <w:spacing w:after="0" w:line="240" w:lineRule="auto"/>
        <w:ind w:left="1094" w:right="-20"/>
        <w:rPr>
          <w:rFonts w:ascii="Trebuchet MS" w:eastAsia="Trebuchet MS" w:hAnsi="Trebuchet MS" w:cs="Trebuchet MS"/>
          <w:sz w:val="24"/>
          <w:szCs w:val="24"/>
        </w:rPr>
      </w:pPr>
      <w:r>
        <w:rPr>
          <w:rFonts w:ascii="Trebuchet MS" w:eastAsia="Trebuchet MS" w:hAnsi="Trebuchet MS" w:cs="Trebuchet MS"/>
          <w:color w:val="7E5439"/>
          <w:sz w:val="24"/>
          <w:szCs w:val="24"/>
        </w:rPr>
        <w:t>Referências</w:t>
      </w:r>
    </w:p>
    <w:p w:rsidR="00CA5614" w:rsidRDefault="00CA5614">
      <w:pPr>
        <w:spacing w:before="2" w:after="0"/>
        <w:rPr>
          <w:sz w:val="12"/>
          <w:szCs w:val="12"/>
        </w:rPr>
      </w:pPr>
    </w:p>
    <w:p w:rsidR="00CA5614" w:rsidRDefault="00542E8B">
      <w:pPr>
        <w:spacing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AGENOR, P. R.; MONTIEL, P. J. </w:t>
      </w:r>
      <w:r>
        <w:rPr>
          <w:rFonts w:ascii="Times New Roman" w:eastAsia="Times New Roman" w:hAnsi="Times New Roman" w:cs="Times New Roman"/>
          <w:i/>
          <w:color w:val="231F20"/>
          <w:sz w:val="18"/>
          <w:szCs w:val="18"/>
        </w:rPr>
        <w:t>Development Macroeconomics</w:t>
      </w:r>
      <w:r>
        <w:rPr>
          <w:rFonts w:ascii="Times New Roman" w:eastAsia="Times New Roman" w:hAnsi="Times New Roman" w:cs="Times New Roman"/>
          <w:color w:val="231F20"/>
          <w:sz w:val="18"/>
          <w:szCs w:val="18"/>
        </w:rPr>
        <w:t>. Princeton: Princeton University Press,</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231F20"/>
          <w:sz w:val="18"/>
          <w:szCs w:val="18"/>
        </w:rPr>
        <w:t>1996.</w:t>
      </w:r>
    </w:p>
    <w:p w:rsidR="00CA5614" w:rsidRDefault="00542E8B">
      <w:pPr>
        <w:spacing w:before="23"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BALIñO, T.; ENOCH, C. Currency Board Arrangements: Issues and Experiences. </w:t>
      </w:r>
      <w:r>
        <w:rPr>
          <w:rFonts w:ascii="Times New Roman" w:eastAsia="Times New Roman" w:hAnsi="Times New Roman" w:cs="Times New Roman"/>
          <w:i/>
          <w:color w:val="231F20"/>
          <w:sz w:val="18"/>
          <w:szCs w:val="18"/>
        </w:rPr>
        <w:t>IMF Occasional</w:t>
      </w:r>
    </w:p>
    <w:p w:rsidR="00CA5614" w:rsidRDefault="00542E8B">
      <w:pPr>
        <w:spacing w:before="23"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i/>
          <w:color w:val="231F20"/>
          <w:sz w:val="18"/>
          <w:szCs w:val="18"/>
        </w:rPr>
        <w:t>Paper</w:t>
      </w:r>
      <w:r>
        <w:rPr>
          <w:rFonts w:ascii="Times New Roman" w:eastAsia="Times New Roman" w:hAnsi="Times New Roman" w:cs="Times New Roman"/>
          <w:color w:val="231F20"/>
          <w:sz w:val="18"/>
          <w:szCs w:val="18"/>
        </w:rPr>
        <w:t>, n. 151, Aug. 1997.</w:t>
      </w:r>
    </w:p>
    <w:p w:rsidR="00CA5614" w:rsidRDefault="00542E8B">
      <w:pPr>
        <w:spacing w:before="23"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BECKERMAN, P.; SOLIMANO, A. (Ed.). </w:t>
      </w:r>
      <w:r>
        <w:rPr>
          <w:rFonts w:ascii="Times New Roman" w:eastAsia="Times New Roman" w:hAnsi="Times New Roman" w:cs="Times New Roman"/>
          <w:i/>
          <w:color w:val="231F20"/>
          <w:sz w:val="18"/>
          <w:szCs w:val="18"/>
        </w:rPr>
        <w:t>Crisis and Dollarization in Ecuador</w:t>
      </w:r>
      <w:r>
        <w:rPr>
          <w:rFonts w:ascii="Times New Roman" w:eastAsia="Times New Roman" w:hAnsi="Times New Roman" w:cs="Times New Roman"/>
          <w:color w:val="231F20"/>
          <w:sz w:val="18"/>
          <w:szCs w:val="18"/>
        </w:rPr>
        <w:t>: Stability, Growth and</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231F20"/>
          <w:sz w:val="18"/>
          <w:szCs w:val="18"/>
        </w:rPr>
        <w:t>Social Equity. Washington: The Wold Bank, 2002.</w:t>
      </w:r>
    </w:p>
    <w:p w:rsidR="00CA5614" w:rsidRDefault="00542E8B">
      <w:pPr>
        <w:spacing w:before="23"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BANCO INTERNACIONAL DO DESENVOLVIMENTO. Além das fronteiras: o novo regionalismo na</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231F20"/>
          <w:sz w:val="18"/>
          <w:szCs w:val="18"/>
        </w:rPr>
        <w:t xml:space="preserve">América Latina. </w:t>
      </w:r>
      <w:r>
        <w:rPr>
          <w:rFonts w:ascii="Times New Roman" w:eastAsia="Times New Roman" w:hAnsi="Times New Roman" w:cs="Times New Roman"/>
          <w:i/>
          <w:color w:val="231F20"/>
          <w:sz w:val="18"/>
          <w:szCs w:val="18"/>
        </w:rPr>
        <w:t>Relatório obre</w:t>
      </w:r>
      <w:r>
        <w:rPr>
          <w:rFonts w:ascii="Times New Roman" w:eastAsia="Times New Roman" w:hAnsi="Times New Roman" w:cs="Times New Roman"/>
          <w:i/>
          <w:color w:val="231F20"/>
          <w:sz w:val="18"/>
          <w:szCs w:val="18"/>
        </w:rPr>
        <w:t xml:space="preserve"> o progresso econômico e social na América Latina</w:t>
      </w:r>
      <w:r>
        <w:rPr>
          <w:rFonts w:ascii="Times New Roman" w:eastAsia="Times New Roman" w:hAnsi="Times New Roman" w:cs="Times New Roman"/>
          <w:color w:val="231F20"/>
          <w:sz w:val="18"/>
          <w:szCs w:val="18"/>
        </w:rPr>
        <w:t>, 2002.</w:t>
      </w:r>
    </w:p>
    <w:p w:rsidR="00CA5614" w:rsidRDefault="00542E8B">
      <w:pPr>
        <w:spacing w:before="23"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BERG, A.; BORENSZTEIN,  E. The Pros e Cons of Full Dollarization. </w:t>
      </w:r>
      <w:r>
        <w:rPr>
          <w:rFonts w:ascii="Times New Roman" w:eastAsia="Times New Roman" w:hAnsi="Times New Roman" w:cs="Times New Roman"/>
          <w:i/>
          <w:color w:val="231F20"/>
          <w:sz w:val="18"/>
          <w:szCs w:val="18"/>
        </w:rPr>
        <w:t>IMF Working Paper WP/00/50</w:t>
      </w:r>
      <w:r>
        <w:rPr>
          <w:rFonts w:ascii="Times New Roman" w:eastAsia="Times New Roman" w:hAnsi="Times New Roman" w:cs="Times New Roman"/>
          <w:color w:val="231F20"/>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231F20"/>
          <w:sz w:val="18"/>
          <w:szCs w:val="18"/>
        </w:rPr>
        <w:t>2000.</w:t>
      </w:r>
    </w:p>
    <w:p w:rsidR="00CA5614" w:rsidRDefault="00542E8B">
      <w:pPr>
        <w:spacing w:before="23"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CORDEN, W. M. Regimes e políticas cambiais: uma visão geral. </w:t>
      </w:r>
      <w:r>
        <w:rPr>
          <w:rFonts w:ascii="Times New Roman" w:eastAsia="Times New Roman" w:hAnsi="Times New Roman" w:cs="Times New Roman"/>
          <w:i/>
          <w:color w:val="231F20"/>
          <w:sz w:val="18"/>
          <w:szCs w:val="18"/>
        </w:rPr>
        <w:t>Revista de Economia Política</w:t>
      </w:r>
      <w:r>
        <w:rPr>
          <w:rFonts w:ascii="Times New Roman" w:eastAsia="Times New Roman" w:hAnsi="Times New Roman" w:cs="Times New Roman"/>
          <w:color w:val="231F20"/>
          <w:sz w:val="18"/>
          <w:szCs w:val="18"/>
        </w:rPr>
        <w:t>, v. 1, n. 3 (83), julho-setembro, 2001.</w:t>
      </w:r>
    </w:p>
    <w:p w:rsidR="00CA5614" w:rsidRDefault="00542E8B">
      <w:pPr>
        <w:spacing w:before="1"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EICHENGREEN,  B. Does Mercoul Need a Single CUrrency? </w:t>
      </w:r>
      <w:r>
        <w:rPr>
          <w:rFonts w:ascii="Times New Roman" w:eastAsia="Times New Roman" w:hAnsi="Times New Roman" w:cs="Times New Roman"/>
          <w:i/>
          <w:color w:val="231F20"/>
          <w:sz w:val="18"/>
          <w:szCs w:val="18"/>
        </w:rPr>
        <w:t>NBER Working Paper</w:t>
      </w:r>
      <w:r>
        <w:rPr>
          <w:rFonts w:ascii="Times New Roman" w:eastAsia="Times New Roman" w:hAnsi="Times New Roman" w:cs="Times New Roman"/>
          <w:color w:val="231F20"/>
          <w:sz w:val="18"/>
          <w:szCs w:val="18"/>
        </w:rPr>
        <w:t>, n. 6821, Cambridge: NBER, December, 1998.</w:t>
      </w:r>
    </w:p>
    <w:p w:rsidR="00CA5614" w:rsidRDefault="00542E8B">
      <w:pPr>
        <w:spacing w:before="1"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FFRENCH-DAVIS, R.; GRIFFTH-JONES, S. (Comp.). </w:t>
      </w:r>
      <w:r>
        <w:rPr>
          <w:rFonts w:ascii="Times New Roman" w:eastAsia="Times New Roman" w:hAnsi="Times New Roman" w:cs="Times New Roman"/>
          <w:i/>
          <w:color w:val="231F20"/>
          <w:sz w:val="18"/>
          <w:szCs w:val="18"/>
        </w:rPr>
        <w:t>Las nuevas corrientes financieras hacia La América</w:t>
      </w:r>
      <w:r>
        <w:rPr>
          <w:rFonts w:ascii="Times New Roman" w:eastAsia="Times New Roman" w:hAnsi="Times New Roman" w:cs="Times New Roman"/>
          <w:sz w:val="18"/>
          <w:szCs w:val="18"/>
        </w:rPr>
        <w:t xml:space="preserve"> </w:t>
      </w:r>
      <w:r>
        <w:rPr>
          <w:rFonts w:ascii="Times New Roman" w:eastAsia="Times New Roman" w:hAnsi="Times New Roman" w:cs="Times New Roman"/>
          <w:i/>
          <w:color w:val="231F20"/>
          <w:sz w:val="18"/>
          <w:szCs w:val="18"/>
        </w:rPr>
        <w:t>La</w:t>
      </w:r>
      <w:r>
        <w:rPr>
          <w:rFonts w:ascii="Times New Roman" w:eastAsia="Times New Roman" w:hAnsi="Times New Roman" w:cs="Times New Roman"/>
          <w:i/>
          <w:color w:val="231F20"/>
          <w:sz w:val="18"/>
          <w:szCs w:val="18"/>
        </w:rPr>
        <w:t>tina</w:t>
      </w:r>
      <w:r>
        <w:rPr>
          <w:rFonts w:ascii="Times New Roman" w:eastAsia="Times New Roman" w:hAnsi="Times New Roman" w:cs="Times New Roman"/>
          <w:color w:val="231F20"/>
          <w:sz w:val="18"/>
          <w:szCs w:val="18"/>
        </w:rPr>
        <w:t>. México, D.F.: Fondo de Cultura Económica, 1995.</w:t>
      </w:r>
    </w:p>
    <w:p w:rsidR="00CA5614" w:rsidRDefault="00542E8B">
      <w:pPr>
        <w:spacing w:before="1" w:after="0" w:line="266" w:lineRule="auto"/>
        <w:ind w:left="1094" w:right="1055"/>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 xml:space="preserve">FRENKELL, R &amp; RAPETTI, M. Exchange Rate Regimes In The Major Latin American Countries Since The 1950s:  Lessons From History in: </w:t>
      </w:r>
      <w:r>
        <w:rPr>
          <w:rFonts w:ascii="Times New Roman" w:eastAsia="Times New Roman" w:hAnsi="Times New Roman" w:cs="Times New Roman"/>
          <w:i/>
          <w:color w:val="231F20"/>
          <w:sz w:val="18"/>
          <w:szCs w:val="18"/>
        </w:rPr>
        <w:t>Journal of lberian and Latin American Economic History</w:t>
      </w:r>
    </w:p>
    <w:p w:rsidR="00CA5614" w:rsidRDefault="00542E8B">
      <w:pPr>
        <w:spacing w:before="1" w:after="0" w:line="266" w:lineRule="auto"/>
        <w:ind w:left="1094" w:right="1055"/>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Vol. 30, No. 1, 20</w:t>
      </w:r>
      <w:r>
        <w:rPr>
          <w:rFonts w:ascii="Times New Roman" w:eastAsia="Times New Roman" w:hAnsi="Times New Roman" w:cs="Times New Roman"/>
          <w:color w:val="231F20"/>
          <w:sz w:val="18"/>
          <w:szCs w:val="18"/>
        </w:rPr>
        <w:t>12.</w:t>
      </w:r>
    </w:p>
    <w:p w:rsidR="00CA5614" w:rsidRDefault="00542E8B">
      <w:pPr>
        <w:spacing w:before="23"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FUNDO MONETÁRIO INTERNACIONAL. Exchange Arrangement and Foreign Exchange Markets: Development and Issues. </w:t>
      </w:r>
      <w:r>
        <w:rPr>
          <w:rFonts w:ascii="Times New Roman" w:eastAsia="Times New Roman" w:hAnsi="Times New Roman" w:cs="Times New Roman"/>
          <w:i/>
          <w:color w:val="231F20"/>
          <w:sz w:val="18"/>
          <w:szCs w:val="18"/>
        </w:rPr>
        <w:t>World Economic and Financial Surveys</w:t>
      </w:r>
      <w:r>
        <w:rPr>
          <w:rFonts w:ascii="Times New Roman" w:eastAsia="Times New Roman" w:hAnsi="Times New Roman" w:cs="Times New Roman"/>
          <w:color w:val="231F20"/>
          <w:sz w:val="18"/>
          <w:szCs w:val="18"/>
        </w:rPr>
        <w:t>, 2003.</w:t>
      </w:r>
    </w:p>
    <w:p w:rsidR="00CA5614" w:rsidRDefault="00542E8B">
      <w:pPr>
        <w:spacing w:before="1" w:after="0" w:line="266" w:lineRule="auto"/>
        <w:ind w:left="1094" w:right="1055"/>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______________ Annual report on Exchange rate arrangemet and Exchange restrictions. Washington: FMI, 2</w:t>
      </w:r>
      <w:r>
        <w:rPr>
          <w:rFonts w:ascii="Times New Roman" w:eastAsia="Times New Roman" w:hAnsi="Times New Roman" w:cs="Times New Roman"/>
          <w:color w:val="231F20"/>
          <w:sz w:val="18"/>
          <w:szCs w:val="18"/>
        </w:rPr>
        <w:t>014.</w:t>
      </w:r>
    </w:p>
    <w:p w:rsidR="00CA5614" w:rsidRDefault="00542E8B">
      <w:pPr>
        <w:spacing w:before="1"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GREMAUD, A.; TONETO  JR., R. A crise cambial brasileira. </w:t>
      </w:r>
      <w:r>
        <w:rPr>
          <w:rFonts w:ascii="Times New Roman" w:eastAsia="Times New Roman" w:hAnsi="Times New Roman" w:cs="Times New Roman"/>
          <w:i/>
          <w:color w:val="231F20"/>
          <w:sz w:val="18"/>
          <w:szCs w:val="18"/>
        </w:rPr>
        <w:t>Textos para discussão – FEA-RP</w:t>
      </w:r>
      <w:r>
        <w:rPr>
          <w:rFonts w:ascii="Times New Roman" w:eastAsia="Times New Roman" w:hAnsi="Times New Roman" w:cs="Times New Roman"/>
          <w:color w:val="231F20"/>
          <w:sz w:val="18"/>
          <w:szCs w:val="18"/>
        </w:rPr>
        <w:t xml:space="preserve">. Universidade de São Paulo, n. 20, 2001. Disponível em: </w:t>
      </w:r>
      <w:hyperlink r:id="rId11">
        <w:r>
          <w:rPr>
            <w:rFonts w:ascii="Times New Roman" w:eastAsia="Times New Roman" w:hAnsi="Times New Roman" w:cs="Times New Roman"/>
            <w:color w:val="231F20"/>
            <w:sz w:val="18"/>
            <w:szCs w:val="18"/>
          </w:rPr>
          <w:t>www.cpq.fearp.usp.br.</w:t>
        </w:r>
      </w:hyperlink>
    </w:p>
    <w:p w:rsidR="00CA5614" w:rsidRDefault="00542E8B">
      <w:pPr>
        <w:spacing w:before="1"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JÁCOME, L. I. The late 1990s Financia</w:t>
      </w:r>
      <w:r>
        <w:rPr>
          <w:rFonts w:ascii="Times New Roman" w:eastAsia="Times New Roman" w:hAnsi="Times New Roman" w:cs="Times New Roman"/>
          <w:color w:val="231F20"/>
          <w:sz w:val="18"/>
          <w:szCs w:val="18"/>
        </w:rPr>
        <w:t xml:space="preserve">l Crisis in Ecuador: Intitutional Weaknesses, Fiscal Rigidities and Financial Dollarization at work. </w:t>
      </w:r>
      <w:r>
        <w:rPr>
          <w:rFonts w:ascii="Times New Roman" w:eastAsia="Times New Roman" w:hAnsi="Times New Roman" w:cs="Times New Roman"/>
          <w:i/>
          <w:color w:val="231F20"/>
          <w:sz w:val="18"/>
          <w:szCs w:val="18"/>
        </w:rPr>
        <w:t>IMF Working Paper WP/04/12</w:t>
      </w:r>
      <w:r>
        <w:rPr>
          <w:rFonts w:ascii="Times New Roman" w:eastAsia="Times New Roman" w:hAnsi="Times New Roman" w:cs="Times New Roman"/>
          <w:color w:val="231F20"/>
          <w:sz w:val="18"/>
          <w:szCs w:val="18"/>
        </w:rPr>
        <w:t>. Jan., 2004.</w:t>
      </w:r>
    </w:p>
    <w:p w:rsidR="00CA5614" w:rsidRDefault="00542E8B">
      <w:pPr>
        <w:spacing w:before="1"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KRUGMAN, P. A Model of Balance of Payment Crisis. </w:t>
      </w:r>
      <w:r>
        <w:rPr>
          <w:rFonts w:ascii="Times New Roman" w:eastAsia="Times New Roman" w:hAnsi="Times New Roman" w:cs="Times New Roman"/>
          <w:i/>
          <w:color w:val="231F20"/>
          <w:sz w:val="18"/>
          <w:szCs w:val="18"/>
        </w:rPr>
        <w:t>Journal of Money, Credit and Baking</w:t>
      </w:r>
      <w:r>
        <w:rPr>
          <w:rFonts w:ascii="Times New Roman" w:eastAsia="Times New Roman" w:hAnsi="Times New Roman" w:cs="Times New Roman"/>
          <w:color w:val="231F20"/>
          <w:sz w:val="18"/>
          <w:szCs w:val="18"/>
        </w:rPr>
        <w:t>, v. 11, Aug., 1979.</w:t>
      </w:r>
    </w:p>
    <w:p w:rsidR="00CA5614" w:rsidRDefault="00542E8B">
      <w:pPr>
        <w:spacing w:before="1"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OBSTFELD, M. The Logic od Currency Crisis. </w:t>
      </w:r>
      <w:r>
        <w:rPr>
          <w:rFonts w:ascii="Times New Roman" w:eastAsia="Times New Roman" w:hAnsi="Times New Roman" w:cs="Times New Roman"/>
          <w:i/>
          <w:color w:val="231F20"/>
          <w:sz w:val="18"/>
          <w:szCs w:val="18"/>
        </w:rPr>
        <w:t>NBER Working Paper 4640</w:t>
      </w:r>
      <w:r>
        <w:rPr>
          <w:rFonts w:ascii="Times New Roman" w:eastAsia="Times New Roman" w:hAnsi="Times New Roman" w:cs="Times New Roman"/>
          <w:color w:val="231F20"/>
          <w:sz w:val="18"/>
          <w:szCs w:val="18"/>
        </w:rPr>
        <w:t>, February, 1994.</w:t>
      </w:r>
    </w:p>
    <w:p w:rsidR="00CA5614" w:rsidRDefault="00542E8B">
      <w:pPr>
        <w:spacing w:before="23" w:after="0" w:line="266" w:lineRule="auto"/>
        <w:ind w:left="1094" w:right="1055"/>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YI, G. Exchange Rate Arragement: Flexible and fixed exchange rate debate revisited. Washington, FMI, 2013</w:t>
      </w:r>
    </w:p>
    <w:p w:rsidR="00CA5614" w:rsidRDefault="00542E8B">
      <w:pPr>
        <w:spacing w:before="23" w:after="0" w:line="266"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 xml:space="preserve">WISE, C. </w:t>
      </w:r>
      <w:r>
        <w:rPr>
          <w:rFonts w:ascii="Times New Roman" w:eastAsia="Times New Roman" w:hAnsi="Times New Roman" w:cs="Times New Roman"/>
          <w:i/>
          <w:color w:val="231F20"/>
          <w:sz w:val="18"/>
          <w:szCs w:val="18"/>
        </w:rPr>
        <w:t xml:space="preserve">Currency Board </w:t>
      </w:r>
      <w:r>
        <w:rPr>
          <w:rFonts w:ascii="Times New Roman" w:eastAsia="Times New Roman" w:hAnsi="Times New Roman" w:cs="Times New Roman"/>
          <w:color w:val="231F20"/>
          <w:sz w:val="18"/>
          <w:szCs w:val="18"/>
        </w:rPr>
        <w:t xml:space="preserve">da Argentina: os laços que unem? </w:t>
      </w:r>
      <w:r>
        <w:rPr>
          <w:rFonts w:ascii="Times New Roman" w:eastAsia="Times New Roman" w:hAnsi="Times New Roman" w:cs="Times New Roman"/>
          <w:i/>
          <w:color w:val="231F20"/>
          <w:sz w:val="18"/>
          <w:szCs w:val="18"/>
        </w:rPr>
        <w:t>Revista d</w:t>
      </w:r>
      <w:r>
        <w:rPr>
          <w:rFonts w:ascii="Times New Roman" w:eastAsia="Times New Roman" w:hAnsi="Times New Roman" w:cs="Times New Roman"/>
          <w:i/>
          <w:color w:val="231F20"/>
          <w:sz w:val="18"/>
          <w:szCs w:val="18"/>
        </w:rPr>
        <w:t>e Economia Política</w:t>
      </w:r>
      <w:r>
        <w:rPr>
          <w:rFonts w:ascii="Times New Roman" w:eastAsia="Times New Roman" w:hAnsi="Times New Roman" w:cs="Times New Roman"/>
          <w:color w:val="231F20"/>
          <w:sz w:val="18"/>
          <w:szCs w:val="18"/>
        </w:rPr>
        <w:t>, v. 21, n. 3 (83), jul.-set., 2001.</w:t>
      </w:r>
    </w:p>
    <w:p w:rsidR="00CA5614" w:rsidRDefault="00542E8B">
      <w:pPr>
        <w:tabs>
          <w:tab w:val="left" w:pos="1620"/>
        </w:tabs>
        <w:spacing w:before="1" w:after="0" w:line="240" w:lineRule="auto"/>
        <w:ind w:left="1094" w:right="1055"/>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u w:val="single"/>
        </w:rPr>
        <w:t xml:space="preserve"> </w:t>
      </w:r>
      <w:r>
        <w:rPr>
          <w:rFonts w:ascii="Times New Roman" w:eastAsia="Times New Roman" w:hAnsi="Times New Roman" w:cs="Times New Roman"/>
          <w:color w:val="231F20"/>
          <w:sz w:val="18"/>
          <w:szCs w:val="18"/>
          <w:u w:val="single"/>
        </w:rPr>
        <w:tab/>
      </w:r>
      <w:r>
        <w:rPr>
          <w:rFonts w:ascii="Times New Roman" w:eastAsia="Times New Roman" w:hAnsi="Times New Roman" w:cs="Times New Roman"/>
          <w:color w:val="231F20"/>
          <w:sz w:val="18"/>
          <w:szCs w:val="18"/>
        </w:rPr>
        <w:t>. Política de câmbio na América Latina: debates, desempenho e as políticas de escolha política.</w:t>
      </w:r>
    </w:p>
    <w:p w:rsidR="00CA5614" w:rsidRDefault="00542E8B">
      <w:pPr>
        <w:spacing w:before="23" w:after="0" w:line="240" w:lineRule="auto"/>
        <w:ind w:left="1094" w:right="1055"/>
        <w:rPr>
          <w:rFonts w:ascii="Times New Roman" w:eastAsia="Times New Roman" w:hAnsi="Times New Roman" w:cs="Times New Roman"/>
          <w:color w:val="231F20"/>
          <w:sz w:val="18"/>
          <w:szCs w:val="18"/>
        </w:rPr>
      </w:pPr>
      <w:r>
        <w:rPr>
          <w:rFonts w:ascii="Times New Roman" w:eastAsia="Times New Roman" w:hAnsi="Times New Roman" w:cs="Times New Roman"/>
          <w:i/>
          <w:color w:val="231F20"/>
          <w:sz w:val="18"/>
          <w:szCs w:val="18"/>
        </w:rPr>
        <w:t>Revista de Economia Política</w:t>
      </w:r>
      <w:r>
        <w:rPr>
          <w:rFonts w:ascii="Times New Roman" w:eastAsia="Times New Roman" w:hAnsi="Times New Roman" w:cs="Times New Roman"/>
          <w:color w:val="231F20"/>
          <w:sz w:val="18"/>
          <w:szCs w:val="18"/>
        </w:rPr>
        <w:t>, v. 21, n. 3 (83), jul.-set., 2001a.</w:t>
      </w:r>
    </w:p>
    <w:p w:rsidR="00CA5614" w:rsidRDefault="00CA5614">
      <w:pPr>
        <w:spacing w:before="23" w:after="0" w:line="240" w:lineRule="auto"/>
        <w:ind w:left="1094" w:right="1055"/>
      </w:pPr>
    </w:p>
    <w:sectPr w:rsidR="00CA5614">
      <w:headerReference w:type="even" r:id="rId12"/>
      <w:pgSz w:w="9560" w:h="13540"/>
      <w:pgMar w:top="960" w:right="0" w:bottom="1135" w:left="0" w:header="644" w:footer="2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8B" w:rsidRDefault="00542E8B">
      <w:pPr>
        <w:spacing w:after="0" w:line="240" w:lineRule="auto"/>
      </w:pPr>
      <w:r>
        <w:separator/>
      </w:r>
    </w:p>
  </w:endnote>
  <w:endnote w:type="continuationSeparator" w:id="0">
    <w:p w:rsidR="00542E8B" w:rsidRDefault="0054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8B" w:rsidRDefault="00542E8B">
      <w:pPr>
        <w:spacing w:after="0" w:line="240" w:lineRule="auto"/>
      </w:pPr>
      <w:r>
        <w:separator/>
      </w:r>
    </w:p>
  </w:footnote>
  <w:footnote w:type="continuationSeparator" w:id="0">
    <w:p w:rsidR="00542E8B" w:rsidRDefault="00542E8B">
      <w:pPr>
        <w:spacing w:after="0" w:line="240" w:lineRule="auto"/>
      </w:pPr>
      <w:r>
        <w:continuationSeparator/>
      </w:r>
    </w:p>
  </w:footnote>
  <w:footnote w:id="1">
    <w:p w:rsidR="00CA5614" w:rsidRDefault="00542E8B">
      <w:pPr>
        <w:pBdr>
          <w:top w:val="nil"/>
          <w:left w:val="nil"/>
          <w:bottom w:val="nil"/>
          <w:right w:val="nil"/>
          <w:between w:val="nil"/>
        </w:pBdr>
        <w:spacing w:after="0" w:line="240" w:lineRule="auto"/>
        <w:ind w:left="1134" w:right="1196"/>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Ver os debates travados no início da década de 90 em Ffrench-Davis, R.; Griffth-Jones, S. (1995).</w:t>
      </w:r>
    </w:p>
  </w:footnote>
  <w:footnote w:id="2">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Temos aqui os chamados modelos canônicos ou de primeira geração para crises cambiais ou ataques especulativos contra políticas de manutenção de taxas de câmbio, ver, KRUGMANN, P. 1979.</w:t>
      </w:r>
    </w:p>
  </w:footnote>
  <w:footnote w:id="3">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Nesse caso, situam-se os chamados modelos de segunda geração de crise</w:t>
      </w:r>
      <w:r>
        <w:rPr>
          <w:rFonts w:ascii="Times New Roman" w:eastAsia="Times New Roman" w:hAnsi="Times New Roman" w:cs="Times New Roman"/>
          <w:color w:val="231F20"/>
          <w:sz w:val="18"/>
          <w:szCs w:val="18"/>
        </w:rPr>
        <w:t xml:space="preserve"> cambial, em que ataques especulativos contra moeda podem surgir quando existe uma antecipação por parte dos agentes de alterações nessas relações custo-benefício, ver OBSTFELD, M.  1994.</w:t>
      </w:r>
    </w:p>
  </w:footnote>
  <w:footnote w:id="4">
    <w:p w:rsidR="00CA5614" w:rsidRDefault="00542E8B">
      <w:pPr>
        <w:pBdr>
          <w:top w:val="nil"/>
          <w:left w:val="nil"/>
          <w:bottom w:val="nil"/>
          <w:right w:val="nil"/>
          <w:between w:val="nil"/>
        </w:pBdr>
        <w:spacing w:after="0" w:line="240" w:lineRule="auto"/>
        <w:ind w:left="1134" w:right="1055"/>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Operações de esterilização são as colocações de títulos públicos no mercado procurando enxugar a moeda colocada em circulação.</w:t>
      </w:r>
    </w:p>
  </w:footnote>
  <w:footnote w:id="5">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O principal sinal desta política é a elevação dos juros, que também sustenta o fluxo de capitais.</w:t>
      </w:r>
    </w:p>
  </w:footnote>
  <w:footnote w:id="6">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O grande dilema nesse ponto</w:t>
      </w:r>
      <w:r>
        <w:rPr>
          <w:rFonts w:ascii="Times New Roman" w:eastAsia="Times New Roman" w:hAnsi="Times New Roman" w:cs="Times New Roman"/>
          <w:color w:val="231F20"/>
          <w:sz w:val="18"/>
          <w:szCs w:val="18"/>
        </w:rPr>
        <w:t xml:space="preserve"> é até que ponto é possível obter tais ganhos sem um volume expressivo de investimentos nacionais, já que estão contidos pela taxa de juros.</w:t>
      </w:r>
    </w:p>
  </w:footnote>
  <w:footnote w:id="7">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Aqui podemos ter uma aparente contradição com os argumentos colocados na seção acerca da credibilidade: os govern</w:t>
      </w:r>
      <w:r>
        <w:rPr>
          <w:rFonts w:ascii="Times New Roman" w:eastAsia="Times New Roman" w:hAnsi="Times New Roman" w:cs="Times New Roman"/>
          <w:color w:val="231F20"/>
          <w:sz w:val="18"/>
          <w:szCs w:val="18"/>
        </w:rPr>
        <w:t>os são tentados a desvalorizar suas moedas para obter melhoras na balança comercial e no desempenho do PIB. Aqui, entretanto, a situação é bem diferente. Trata-se de uma situação posterior a uma hiperinflação. O fim desse processo tem, sem dúvida, um ganho</w:t>
      </w:r>
      <w:r>
        <w:rPr>
          <w:rFonts w:ascii="Times New Roman" w:eastAsia="Times New Roman" w:hAnsi="Times New Roman" w:cs="Times New Roman"/>
          <w:color w:val="231F20"/>
          <w:sz w:val="18"/>
          <w:szCs w:val="18"/>
        </w:rPr>
        <w:t xml:space="preserve"> político para o governo que sustentou o plano de estabilização.</w:t>
      </w:r>
    </w:p>
  </w:footnote>
  <w:footnote w:id="8">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Um outro exemplo na América Latina é o caso do Panamá; a adoção, nesse caso, segue questões diferentes das situações em análise.</w:t>
      </w:r>
    </w:p>
  </w:footnote>
  <w:footnote w:id="9">
    <w:p w:rsidR="00CA5614" w:rsidRDefault="00542E8B">
      <w:pPr>
        <w:pBdr>
          <w:top w:val="nil"/>
          <w:left w:val="nil"/>
          <w:bottom w:val="nil"/>
          <w:right w:val="nil"/>
          <w:between w:val="nil"/>
        </w:pBdr>
        <w:spacing w:after="0" w:line="240" w:lineRule="auto"/>
        <w:ind w:left="1134" w:right="1055"/>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Conflito com Peru, crises políticas internas e especialmen</w:t>
      </w:r>
      <w:r>
        <w:rPr>
          <w:rFonts w:ascii="Times New Roman" w:eastAsia="Times New Roman" w:hAnsi="Times New Roman" w:cs="Times New Roman"/>
          <w:color w:val="231F20"/>
          <w:sz w:val="18"/>
          <w:szCs w:val="18"/>
        </w:rPr>
        <w:t>te o chamado “efeito tequila”, ou seja, os reflexos da crise mexicana.</w:t>
      </w:r>
    </w:p>
  </w:footnote>
  <w:footnote w:id="10">
    <w:p w:rsidR="00CA5614" w:rsidRDefault="00542E8B">
      <w:pPr>
        <w:pBdr>
          <w:top w:val="nil"/>
          <w:left w:val="nil"/>
          <w:bottom w:val="nil"/>
          <w:right w:val="nil"/>
          <w:between w:val="nil"/>
        </w:pBdr>
        <w:spacing w:after="0" w:line="240" w:lineRule="auto"/>
        <w:ind w:left="1134" w:right="1055"/>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Referimo-nos à crise russa e à crise brasileira que atingiram o Equador especialmente no fluxo de recursos externos e nos níveis de confiança; a problemas relacionados ao “El Niño”, e</w:t>
      </w:r>
      <w:r>
        <w:rPr>
          <w:rFonts w:ascii="Times New Roman" w:eastAsia="Times New Roman" w:hAnsi="Times New Roman" w:cs="Times New Roman"/>
          <w:color w:val="231F20"/>
          <w:sz w:val="18"/>
          <w:szCs w:val="18"/>
        </w:rPr>
        <w:t>specialmente na produção agrícola; e à deterioração dos preços do petróleo, principal produto de exportação do Equador e a base das finanças públicas do país.</w:t>
      </w:r>
    </w:p>
  </w:footnote>
  <w:footnote w:id="11">
    <w:p w:rsidR="00CA5614" w:rsidRDefault="00542E8B">
      <w:pPr>
        <w:pBdr>
          <w:top w:val="nil"/>
          <w:left w:val="nil"/>
          <w:bottom w:val="nil"/>
          <w:right w:val="nil"/>
          <w:between w:val="nil"/>
        </w:pBdr>
        <w:spacing w:after="0" w:line="240" w:lineRule="auto"/>
        <w:ind w:left="1134"/>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A crise econômica também foi acompanhada por uma grande crise política no país.</w:t>
      </w:r>
    </w:p>
  </w:footnote>
  <w:footnote w:id="12">
    <w:p w:rsidR="00CA5614" w:rsidRDefault="00542E8B">
      <w:pPr>
        <w:pBdr>
          <w:top w:val="nil"/>
          <w:left w:val="nil"/>
          <w:bottom w:val="nil"/>
          <w:right w:val="nil"/>
          <w:between w:val="nil"/>
        </w:pBdr>
        <w:spacing w:after="0" w:line="240" w:lineRule="auto"/>
        <w:ind w:left="1134" w:right="913"/>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Ver, por exemplo, CORDEN, W. M., 2001, que defende a dolarização como opção para a instabilidade cambial em alguns países, como a Argentina.</w:t>
      </w:r>
    </w:p>
  </w:footnote>
  <w:footnote w:id="13">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Interessante notar que a remessa de recursos de equatorianos fora do país passou a se constituir em um importante</w:t>
      </w:r>
      <w:r>
        <w:rPr>
          <w:rFonts w:ascii="Times New Roman" w:eastAsia="Times New Roman" w:hAnsi="Times New Roman" w:cs="Times New Roman"/>
          <w:color w:val="231F20"/>
          <w:sz w:val="18"/>
          <w:szCs w:val="18"/>
        </w:rPr>
        <w:t xml:space="preserve"> componenete do balanço de pagamentos equatoriano.</w:t>
      </w:r>
    </w:p>
  </w:footnote>
  <w:footnote w:id="14">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 xml:space="preserve">Na verdade, durante o processo de inflação elevada na Argentina, o dólar teve uma forte penetração, tornando-se uma alternativa em termos de unidade conta, reserva de valor e mesmo de meio de pagamento, </w:t>
      </w:r>
      <w:r>
        <w:rPr>
          <w:rFonts w:ascii="Times New Roman" w:eastAsia="Times New Roman" w:hAnsi="Times New Roman" w:cs="Times New Roman"/>
          <w:color w:val="231F20"/>
          <w:sz w:val="18"/>
          <w:szCs w:val="18"/>
        </w:rPr>
        <w:t>diferentemente do Brasil, onde a introdução de práticas de correção monetária foram importantes na preservação da moeda nacional enquanto unidade de conta e meio de pagamento no processo hiperinflacionário, mesmo sabendo que essa correção reforçava esse me</w:t>
      </w:r>
      <w:r>
        <w:rPr>
          <w:rFonts w:ascii="Times New Roman" w:eastAsia="Times New Roman" w:hAnsi="Times New Roman" w:cs="Times New Roman"/>
          <w:color w:val="231F20"/>
          <w:sz w:val="18"/>
          <w:szCs w:val="18"/>
        </w:rPr>
        <w:t>smo processo.</w:t>
      </w:r>
    </w:p>
  </w:footnote>
  <w:footnote w:id="15">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Num primeiro momento, o piso é mais importante, já que evita a continuidade da valorização cambial, porém, o teto passa a ser a referência importante quando a pressão do mercado é pela desvalorização.</w:t>
      </w:r>
    </w:p>
  </w:footnote>
  <w:footnote w:id="16">
    <w:p w:rsidR="00CA5614" w:rsidRDefault="00542E8B">
      <w:pPr>
        <w:pBdr>
          <w:top w:val="nil"/>
          <w:left w:val="nil"/>
          <w:bottom w:val="nil"/>
          <w:right w:val="nil"/>
          <w:between w:val="nil"/>
        </w:pBdr>
        <w:spacing w:after="0" w:line="240" w:lineRule="auto"/>
        <w:ind w:left="1134" w:right="1055"/>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231F20"/>
          <w:sz w:val="18"/>
          <w:szCs w:val="18"/>
        </w:rPr>
        <w:t>Em vários momentos, testou-se a capac</w:t>
      </w:r>
      <w:r>
        <w:rPr>
          <w:rFonts w:ascii="Times New Roman" w:eastAsia="Times New Roman" w:hAnsi="Times New Roman" w:cs="Times New Roman"/>
          <w:color w:val="231F20"/>
          <w:sz w:val="18"/>
          <w:szCs w:val="18"/>
        </w:rPr>
        <w:t>idade (e a disposição) do governo em manter tal âncora, a qual foi mantida, valendo-se da justificativa de que o seu rompimento poderia levar à volta do processo inflacionário.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14" w:rsidRDefault="00CA5614">
    <w:pPr>
      <w:spacing w:after="0"/>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47F6"/>
    <w:multiLevelType w:val="multilevel"/>
    <w:tmpl w:val="D110DAC6"/>
    <w:lvl w:ilvl="0">
      <w:start w:val="1"/>
      <w:numFmt w:val="bullet"/>
      <w:lvlText w:val="●"/>
      <w:lvlJc w:val="left"/>
      <w:pPr>
        <w:ind w:left="2324" w:hanging="360"/>
      </w:pPr>
      <w:rPr>
        <w:rFonts w:ascii="Noto Sans Symbols" w:eastAsia="Noto Sans Symbols" w:hAnsi="Noto Sans Symbols" w:cs="Noto Sans Symbols"/>
        <w:vertAlign w:val="baseline"/>
      </w:rPr>
    </w:lvl>
    <w:lvl w:ilvl="1">
      <w:start w:val="1"/>
      <w:numFmt w:val="bullet"/>
      <w:lvlText w:val="o"/>
      <w:lvlJc w:val="left"/>
      <w:pPr>
        <w:ind w:left="3044" w:hanging="360"/>
      </w:pPr>
      <w:rPr>
        <w:rFonts w:ascii="Courier New" w:eastAsia="Courier New" w:hAnsi="Courier New" w:cs="Courier New"/>
        <w:vertAlign w:val="baseline"/>
      </w:rPr>
    </w:lvl>
    <w:lvl w:ilvl="2">
      <w:start w:val="1"/>
      <w:numFmt w:val="bullet"/>
      <w:lvlText w:val="▪"/>
      <w:lvlJc w:val="left"/>
      <w:pPr>
        <w:ind w:left="3764" w:hanging="360"/>
      </w:pPr>
      <w:rPr>
        <w:rFonts w:ascii="Noto Sans Symbols" w:eastAsia="Noto Sans Symbols" w:hAnsi="Noto Sans Symbols" w:cs="Noto Sans Symbols"/>
        <w:vertAlign w:val="baseline"/>
      </w:rPr>
    </w:lvl>
    <w:lvl w:ilvl="3">
      <w:start w:val="1"/>
      <w:numFmt w:val="bullet"/>
      <w:lvlText w:val="●"/>
      <w:lvlJc w:val="left"/>
      <w:pPr>
        <w:ind w:left="4484" w:hanging="360"/>
      </w:pPr>
      <w:rPr>
        <w:rFonts w:ascii="Noto Sans Symbols" w:eastAsia="Noto Sans Symbols" w:hAnsi="Noto Sans Symbols" w:cs="Noto Sans Symbols"/>
        <w:vertAlign w:val="baseline"/>
      </w:rPr>
    </w:lvl>
    <w:lvl w:ilvl="4">
      <w:start w:val="1"/>
      <w:numFmt w:val="bullet"/>
      <w:lvlText w:val="o"/>
      <w:lvlJc w:val="left"/>
      <w:pPr>
        <w:ind w:left="5204" w:hanging="360"/>
      </w:pPr>
      <w:rPr>
        <w:rFonts w:ascii="Courier New" w:eastAsia="Courier New" w:hAnsi="Courier New" w:cs="Courier New"/>
        <w:vertAlign w:val="baseline"/>
      </w:rPr>
    </w:lvl>
    <w:lvl w:ilvl="5">
      <w:start w:val="1"/>
      <w:numFmt w:val="bullet"/>
      <w:lvlText w:val="▪"/>
      <w:lvlJc w:val="left"/>
      <w:pPr>
        <w:ind w:left="5924" w:hanging="360"/>
      </w:pPr>
      <w:rPr>
        <w:rFonts w:ascii="Noto Sans Symbols" w:eastAsia="Noto Sans Symbols" w:hAnsi="Noto Sans Symbols" w:cs="Noto Sans Symbols"/>
        <w:vertAlign w:val="baseline"/>
      </w:rPr>
    </w:lvl>
    <w:lvl w:ilvl="6">
      <w:start w:val="1"/>
      <w:numFmt w:val="bullet"/>
      <w:lvlText w:val="●"/>
      <w:lvlJc w:val="left"/>
      <w:pPr>
        <w:ind w:left="6644" w:hanging="360"/>
      </w:pPr>
      <w:rPr>
        <w:rFonts w:ascii="Noto Sans Symbols" w:eastAsia="Noto Sans Symbols" w:hAnsi="Noto Sans Symbols" w:cs="Noto Sans Symbols"/>
        <w:vertAlign w:val="baseline"/>
      </w:rPr>
    </w:lvl>
    <w:lvl w:ilvl="7">
      <w:start w:val="1"/>
      <w:numFmt w:val="bullet"/>
      <w:lvlText w:val="o"/>
      <w:lvlJc w:val="left"/>
      <w:pPr>
        <w:ind w:left="7364" w:hanging="360"/>
      </w:pPr>
      <w:rPr>
        <w:rFonts w:ascii="Courier New" w:eastAsia="Courier New" w:hAnsi="Courier New" w:cs="Courier New"/>
        <w:vertAlign w:val="baseline"/>
      </w:rPr>
    </w:lvl>
    <w:lvl w:ilvl="8">
      <w:start w:val="1"/>
      <w:numFmt w:val="bullet"/>
      <w:lvlText w:val="▪"/>
      <w:lvlJc w:val="left"/>
      <w:pPr>
        <w:ind w:left="8084" w:hanging="360"/>
      </w:pPr>
      <w:rPr>
        <w:rFonts w:ascii="Noto Sans Symbols" w:eastAsia="Noto Sans Symbols" w:hAnsi="Noto Sans Symbols" w:cs="Noto Sans Symbols"/>
        <w:vertAlign w:val="baseline"/>
      </w:rPr>
    </w:lvl>
  </w:abstractNum>
  <w:abstractNum w:abstractNumId="1" w15:restartNumberingAfterBreak="0">
    <w:nsid w:val="54267A5C"/>
    <w:multiLevelType w:val="multilevel"/>
    <w:tmpl w:val="D5FCE4B4"/>
    <w:lvl w:ilvl="0">
      <w:start w:val="1"/>
      <w:numFmt w:val="bullet"/>
      <w:lvlText w:val="●"/>
      <w:lvlJc w:val="left"/>
      <w:pPr>
        <w:ind w:left="2324" w:hanging="360"/>
      </w:pPr>
      <w:rPr>
        <w:rFonts w:ascii="Noto Sans Symbols" w:eastAsia="Noto Sans Symbols" w:hAnsi="Noto Sans Symbols" w:cs="Noto Sans Symbols"/>
        <w:vertAlign w:val="baseline"/>
      </w:rPr>
    </w:lvl>
    <w:lvl w:ilvl="1">
      <w:start w:val="1"/>
      <w:numFmt w:val="bullet"/>
      <w:lvlText w:val="o"/>
      <w:lvlJc w:val="left"/>
      <w:pPr>
        <w:ind w:left="3044" w:hanging="360"/>
      </w:pPr>
      <w:rPr>
        <w:rFonts w:ascii="Courier New" w:eastAsia="Courier New" w:hAnsi="Courier New" w:cs="Courier New"/>
        <w:vertAlign w:val="baseline"/>
      </w:rPr>
    </w:lvl>
    <w:lvl w:ilvl="2">
      <w:start w:val="1"/>
      <w:numFmt w:val="bullet"/>
      <w:lvlText w:val="▪"/>
      <w:lvlJc w:val="left"/>
      <w:pPr>
        <w:ind w:left="3764" w:hanging="360"/>
      </w:pPr>
      <w:rPr>
        <w:rFonts w:ascii="Noto Sans Symbols" w:eastAsia="Noto Sans Symbols" w:hAnsi="Noto Sans Symbols" w:cs="Noto Sans Symbols"/>
        <w:vertAlign w:val="baseline"/>
      </w:rPr>
    </w:lvl>
    <w:lvl w:ilvl="3">
      <w:start w:val="1"/>
      <w:numFmt w:val="bullet"/>
      <w:lvlText w:val="●"/>
      <w:lvlJc w:val="left"/>
      <w:pPr>
        <w:ind w:left="4484" w:hanging="360"/>
      </w:pPr>
      <w:rPr>
        <w:rFonts w:ascii="Noto Sans Symbols" w:eastAsia="Noto Sans Symbols" w:hAnsi="Noto Sans Symbols" w:cs="Noto Sans Symbols"/>
        <w:vertAlign w:val="baseline"/>
      </w:rPr>
    </w:lvl>
    <w:lvl w:ilvl="4">
      <w:start w:val="1"/>
      <w:numFmt w:val="bullet"/>
      <w:lvlText w:val="o"/>
      <w:lvlJc w:val="left"/>
      <w:pPr>
        <w:ind w:left="5204" w:hanging="360"/>
      </w:pPr>
      <w:rPr>
        <w:rFonts w:ascii="Courier New" w:eastAsia="Courier New" w:hAnsi="Courier New" w:cs="Courier New"/>
        <w:vertAlign w:val="baseline"/>
      </w:rPr>
    </w:lvl>
    <w:lvl w:ilvl="5">
      <w:start w:val="1"/>
      <w:numFmt w:val="bullet"/>
      <w:lvlText w:val="▪"/>
      <w:lvlJc w:val="left"/>
      <w:pPr>
        <w:ind w:left="5924" w:hanging="360"/>
      </w:pPr>
      <w:rPr>
        <w:rFonts w:ascii="Noto Sans Symbols" w:eastAsia="Noto Sans Symbols" w:hAnsi="Noto Sans Symbols" w:cs="Noto Sans Symbols"/>
        <w:vertAlign w:val="baseline"/>
      </w:rPr>
    </w:lvl>
    <w:lvl w:ilvl="6">
      <w:start w:val="1"/>
      <w:numFmt w:val="bullet"/>
      <w:lvlText w:val="●"/>
      <w:lvlJc w:val="left"/>
      <w:pPr>
        <w:ind w:left="6644" w:hanging="360"/>
      </w:pPr>
      <w:rPr>
        <w:rFonts w:ascii="Noto Sans Symbols" w:eastAsia="Noto Sans Symbols" w:hAnsi="Noto Sans Symbols" w:cs="Noto Sans Symbols"/>
        <w:vertAlign w:val="baseline"/>
      </w:rPr>
    </w:lvl>
    <w:lvl w:ilvl="7">
      <w:start w:val="1"/>
      <w:numFmt w:val="bullet"/>
      <w:lvlText w:val="o"/>
      <w:lvlJc w:val="left"/>
      <w:pPr>
        <w:ind w:left="7364" w:hanging="360"/>
      </w:pPr>
      <w:rPr>
        <w:rFonts w:ascii="Courier New" w:eastAsia="Courier New" w:hAnsi="Courier New" w:cs="Courier New"/>
        <w:vertAlign w:val="baseline"/>
      </w:rPr>
    </w:lvl>
    <w:lvl w:ilvl="8">
      <w:start w:val="1"/>
      <w:numFmt w:val="bullet"/>
      <w:lvlText w:val="▪"/>
      <w:lvlJc w:val="left"/>
      <w:pPr>
        <w:ind w:left="8084" w:hanging="360"/>
      </w:pPr>
      <w:rPr>
        <w:rFonts w:ascii="Noto Sans Symbols" w:eastAsia="Noto Sans Symbols" w:hAnsi="Noto Sans Symbols" w:cs="Noto Sans Symbols"/>
        <w:vertAlign w:val="baseline"/>
      </w:rPr>
    </w:lvl>
  </w:abstractNum>
  <w:abstractNum w:abstractNumId="2" w15:restartNumberingAfterBreak="0">
    <w:nsid w:val="56B76C83"/>
    <w:multiLevelType w:val="multilevel"/>
    <w:tmpl w:val="7E0E4446"/>
    <w:lvl w:ilvl="0">
      <w:start w:val="1"/>
      <w:numFmt w:val="bullet"/>
      <w:lvlText w:val="●"/>
      <w:lvlJc w:val="left"/>
      <w:pPr>
        <w:ind w:left="2324" w:hanging="360"/>
      </w:pPr>
      <w:rPr>
        <w:rFonts w:ascii="Noto Sans Symbols" w:eastAsia="Noto Sans Symbols" w:hAnsi="Noto Sans Symbols" w:cs="Noto Sans Symbols"/>
        <w:vertAlign w:val="baseline"/>
      </w:rPr>
    </w:lvl>
    <w:lvl w:ilvl="1">
      <w:start w:val="1"/>
      <w:numFmt w:val="bullet"/>
      <w:lvlText w:val="o"/>
      <w:lvlJc w:val="left"/>
      <w:pPr>
        <w:ind w:left="3044" w:hanging="360"/>
      </w:pPr>
      <w:rPr>
        <w:rFonts w:ascii="Courier New" w:eastAsia="Courier New" w:hAnsi="Courier New" w:cs="Courier New"/>
        <w:vertAlign w:val="baseline"/>
      </w:rPr>
    </w:lvl>
    <w:lvl w:ilvl="2">
      <w:start w:val="1"/>
      <w:numFmt w:val="bullet"/>
      <w:lvlText w:val="▪"/>
      <w:lvlJc w:val="left"/>
      <w:pPr>
        <w:ind w:left="3764" w:hanging="360"/>
      </w:pPr>
      <w:rPr>
        <w:rFonts w:ascii="Noto Sans Symbols" w:eastAsia="Noto Sans Symbols" w:hAnsi="Noto Sans Symbols" w:cs="Noto Sans Symbols"/>
        <w:vertAlign w:val="baseline"/>
      </w:rPr>
    </w:lvl>
    <w:lvl w:ilvl="3">
      <w:start w:val="1"/>
      <w:numFmt w:val="bullet"/>
      <w:lvlText w:val="●"/>
      <w:lvlJc w:val="left"/>
      <w:pPr>
        <w:ind w:left="4484" w:hanging="360"/>
      </w:pPr>
      <w:rPr>
        <w:rFonts w:ascii="Noto Sans Symbols" w:eastAsia="Noto Sans Symbols" w:hAnsi="Noto Sans Symbols" w:cs="Noto Sans Symbols"/>
        <w:vertAlign w:val="baseline"/>
      </w:rPr>
    </w:lvl>
    <w:lvl w:ilvl="4">
      <w:start w:val="1"/>
      <w:numFmt w:val="bullet"/>
      <w:lvlText w:val="o"/>
      <w:lvlJc w:val="left"/>
      <w:pPr>
        <w:ind w:left="5204" w:hanging="360"/>
      </w:pPr>
      <w:rPr>
        <w:rFonts w:ascii="Courier New" w:eastAsia="Courier New" w:hAnsi="Courier New" w:cs="Courier New"/>
        <w:vertAlign w:val="baseline"/>
      </w:rPr>
    </w:lvl>
    <w:lvl w:ilvl="5">
      <w:start w:val="1"/>
      <w:numFmt w:val="bullet"/>
      <w:lvlText w:val="▪"/>
      <w:lvlJc w:val="left"/>
      <w:pPr>
        <w:ind w:left="5924" w:hanging="360"/>
      </w:pPr>
      <w:rPr>
        <w:rFonts w:ascii="Noto Sans Symbols" w:eastAsia="Noto Sans Symbols" w:hAnsi="Noto Sans Symbols" w:cs="Noto Sans Symbols"/>
        <w:vertAlign w:val="baseline"/>
      </w:rPr>
    </w:lvl>
    <w:lvl w:ilvl="6">
      <w:start w:val="1"/>
      <w:numFmt w:val="bullet"/>
      <w:lvlText w:val="●"/>
      <w:lvlJc w:val="left"/>
      <w:pPr>
        <w:ind w:left="6644" w:hanging="360"/>
      </w:pPr>
      <w:rPr>
        <w:rFonts w:ascii="Noto Sans Symbols" w:eastAsia="Noto Sans Symbols" w:hAnsi="Noto Sans Symbols" w:cs="Noto Sans Symbols"/>
        <w:vertAlign w:val="baseline"/>
      </w:rPr>
    </w:lvl>
    <w:lvl w:ilvl="7">
      <w:start w:val="1"/>
      <w:numFmt w:val="bullet"/>
      <w:lvlText w:val="o"/>
      <w:lvlJc w:val="left"/>
      <w:pPr>
        <w:ind w:left="7364" w:hanging="360"/>
      </w:pPr>
      <w:rPr>
        <w:rFonts w:ascii="Courier New" w:eastAsia="Courier New" w:hAnsi="Courier New" w:cs="Courier New"/>
        <w:vertAlign w:val="baseline"/>
      </w:rPr>
    </w:lvl>
    <w:lvl w:ilvl="8">
      <w:start w:val="1"/>
      <w:numFmt w:val="bullet"/>
      <w:lvlText w:val="▪"/>
      <w:lvlJc w:val="left"/>
      <w:pPr>
        <w:ind w:left="8084" w:hanging="360"/>
      </w:pPr>
      <w:rPr>
        <w:rFonts w:ascii="Noto Sans Symbols" w:eastAsia="Noto Sans Symbols" w:hAnsi="Noto Sans Symbols" w:cs="Noto Sans Symbols"/>
        <w:vertAlign w:val="baseline"/>
      </w:rPr>
    </w:lvl>
  </w:abstractNum>
  <w:abstractNum w:abstractNumId="3" w15:restartNumberingAfterBreak="0">
    <w:nsid w:val="57DC4DA6"/>
    <w:multiLevelType w:val="multilevel"/>
    <w:tmpl w:val="2FC02562"/>
    <w:lvl w:ilvl="0">
      <w:start w:val="1"/>
      <w:numFmt w:val="bullet"/>
      <w:lvlText w:val="●"/>
      <w:lvlJc w:val="left"/>
      <w:pPr>
        <w:ind w:left="2324" w:hanging="360"/>
      </w:pPr>
      <w:rPr>
        <w:rFonts w:ascii="Noto Sans Symbols" w:eastAsia="Noto Sans Symbols" w:hAnsi="Noto Sans Symbols" w:cs="Noto Sans Symbols"/>
        <w:vertAlign w:val="baseline"/>
      </w:rPr>
    </w:lvl>
    <w:lvl w:ilvl="1">
      <w:start w:val="1"/>
      <w:numFmt w:val="bullet"/>
      <w:lvlText w:val="o"/>
      <w:lvlJc w:val="left"/>
      <w:pPr>
        <w:ind w:left="3044" w:hanging="360"/>
      </w:pPr>
      <w:rPr>
        <w:rFonts w:ascii="Courier New" w:eastAsia="Courier New" w:hAnsi="Courier New" w:cs="Courier New"/>
        <w:vertAlign w:val="baseline"/>
      </w:rPr>
    </w:lvl>
    <w:lvl w:ilvl="2">
      <w:start w:val="1"/>
      <w:numFmt w:val="bullet"/>
      <w:lvlText w:val="▪"/>
      <w:lvlJc w:val="left"/>
      <w:pPr>
        <w:ind w:left="3764" w:hanging="360"/>
      </w:pPr>
      <w:rPr>
        <w:rFonts w:ascii="Noto Sans Symbols" w:eastAsia="Noto Sans Symbols" w:hAnsi="Noto Sans Symbols" w:cs="Noto Sans Symbols"/>
        <w:vertAlign w:val="baseline"/>
      </w:rPr>
    </w:lvl>
    <w:lvl w:ilvl="3">
      <w:start w:val="1"/>
      <w:numFmt w:val="bullet"/>
      <w:lvlText w:val="●"/>
      <w:lvlJc w:val="left"/>
      <w:pPr>
        <w:ind w:left="4484" w:hanging="360"/>
      </w:pPr>
      <w:rPr>
        <w:rFonts w:ascii="Noto Sans Symbols" w:eastAsia="Noto Sans Symbols" w:hAnsi="Noto Sans Symbols" w:cs="Noto Sans Symbols"/>
        <w:vertAlign w:val="baseline"/>
      </w:rPr>
    </w:lvl>
    <w:lvl w:ilvl="4">
      <w:start w:val="1"/>
      <w:numFmt w:val="bullet"/>
      <w:lvlText w:val="o"/>
      <w:lvlJc w:val="left"/>
      <w:pPr>
        <w:ind w:left="5204" w:hanging="360"/>
      </w:pPr>
      <w:rPr>
        <w:rFonts w:ascii="Courier New" w:eastAsia="Courier New" w:hAnsi="Courier New" w:cs="Courier New"/>
        <w:vertAlign w:val="baseline"/>
      </w:rPr>
    </w:lvl>
    <w:lvl w:ilvl="5">
      <w:start w:val="1"/>
      <w:numFmt w:val="bullet"/>
      <w:lvlText w:val="▪"/>
      <w:lvlJc w:val="left"/>
      <w:pPr>
        <w:ind w:left="5924" w:hanging="360"/>
      </w:pPr>
      <w:rPr>
        <w:rFonts w:ascii="Noto Sans Symbols" w:eastAsia="Noto Sans Symbols" w:hAnsi="Noto Sans Symbols" w:cs="Noto Sans Symbols"/>
        <w:vertAlign w:val="baseline"/>
      </w:rPr>
    </w:lvl>
    <w:lvl w:ilvl="6">
      <w:start w:val="1"/>
      <w:numFmt w:val="bullet"/>
      <w:lvlText w:val="●"/>
      <w:lvlJc w:val="left"/>
      <w:pPr>
        <w:ind w:left="6644" w:hanging="360"/>
      </w:pPr>
      <w:rPr>
        <w:rFonts w:ascii="Noto Sans Symbols" w:eastAsia="Noto Sans Symbols" w:hAnsi="Noto Sans Symbols" w:cs="Noto Sans Symbols"/>
        <w:vertAlign w:val="baseline"/>
      </w:rPr>
    </w:lvl>
    <w:lvl w:ilvl="7">
      <w:start w:val="1"/>
      <w:numFmt w:val="bullet"/>
      <w:lvlText w:val="o"/>
      <w:lvlJc w:val="left"/>
      <w:pPr>
        <w:ind w:left="7364" w:hanging="360"/>
      </w:pPr>
      <w:rPr>
        <w:rFonts w:ascii="Courier New" w:eastAsia="Courier New" w:hAnsi="Courier New" w:cs="Courier New"/>
        <w:vertAlign w:val="baseline"/>
      </w:rPr>
    </w:lvl>
    <w:lvl w:ilvl="8">
      <w:start w:val="1"/>
      <w:numFmt w:val="bullet"/>
      <w:lvlText w:val="▪"/>
      <w:lvlJc w:val="left"/>
      <w:pPr>
        <w:ind w:left="8084"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14"/>
    <w:rsid w:val="00542E8B"/>
    <w:rsid w:val="006A0988"/>
    <w:rsid w:val="00CA56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37292-9581-482C-BB0A-3CD8FFD4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q.fearp.usp.br/"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9750</Words>
  <Characters>52652</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2020-04-20T14:53:00Z</dcterms:created>
  <dcterms:modified xsi:type="dcterms:W3CDTF">2020-04-20T14:53:00Z</dcterms:modified>
</cp:coreProperties>
</file>