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9A82" w14:textId="683D2FEC" w:rsidR="008E6AB9" w:rsidRPr="008E6AB9" w:rsidRDefault="008E6AB9" w:rsidP="008E6AB9">
      <w:pPr>
        <w:spacing w:line="360" w:lineRule="auto"/>
        <w:ind w:firstLine="709"/>
        <w:contextualSpacing/>
        <w:jc w:val="center"/>
        <w:outlineLvl w:val="0"/>
        <w:rPr>
          <w:rFonts w:ascii="Times New Roman" w:hAnsi="Times New Roman"/>
          <w:sz w:val="24"/>
          <w:szCs w:val="24"/>
        </w:rPr>
      </w:pPr>
      <w:r>
        <w:rPr>
          <w:rFonts w:ascii="Times New Roman" w:hAnsi="Times New Roman"/>
          <w:sz w:val="24"/>
          <w:szCs w:val="24"/>
        </w:rPr>
        <w:t>Guilherme Assis de Almeida</w:t>
      </w:r>
    </w:p>
    <w:p w14:paraId="1E18941F" w14:textId="77777777" w:rsidR="008E6AB9" w:rsidRDefault="008E6AB9" w:rsidP="008E6AB9">
      <w:pPr>
        <w:spacing w:line="360" w:lineRule="auto"/>
        <w:ind w:firstLine="709"/>
        <w:contextualSpacing/>
        <w:outlineLvl w:val="0"/>
        <w:rPr>
          <w:rFonts w:ascii="Times New Roman" w:hAnsi="Times New Roman"/>
          <w:b/>
          <w:sz w:val="28"/>
          <w:szCs w:val="28"/>
        </w:rPr>
      </w:pPr>
    </w:p>
    <w:p w14:paraId="6436335F" w14:textId="77777777" w:rsidR="008E6AB9" w:rsidRDefault="008E6AB9" w:rsidP="003D7DAB">
      <w:pPr>
        <w:spacing w:line="360" w:lineRule="auto"/>
        <w:ind w:firstLine="709"/>
        <w:contextualSpacing/>
        <w:jc w:val="center"/>
        <w:outlineLvl w:val="0"/>
        <w:rPr>
          <w:rFonts w:ascii="Times New Roman" w:hAnsi="Times New Roman"/>
          <w:b/>
          <w:sz w:val="28"/>
          <w:szCs w:val="28"/>
        </w:rPr>
      </w:pPr>
    </w:p>
    <w:p w14:paraId="36203B20" w14:textId="77777777" w:rsidR="008E6AB9" w:rsidRDefault="008E6AB9" w:rsidP="003D7DAB">
      <w:pPr>
        <w:spacing w:line="360" w:lineRule="auto"/>
        <w:ind w:firstLine="709"/>
        <w:contextualSpacing/>
        <w:jc w:val="center"/>
        <w:outlineLvl w:val="0"/>
        <w:rPr>
          <w:rFonts w:ascii="Times New Roman" w:hAnsi="Times New Roman"/>
          <w:b/>
          <w:sz w:val="28"/>
          <w:szCs w:val="28"/>
        </w:rPr>
      </w:pPr>
    </w:p>
    <w:p w14:paraId="6F165729" w14:textId="77777777" w:rsidR="008E6AB9" w:rsidRDefault="008E6AB9" w:rsidP="003D7DAB">
      <w:pPr>
        <w:spacing w:line="360" w:lineRule="auto"/>
        <w:ind w:firstLine="709"/>
        <w:contextualSpacing/>
        <w:jc w:val="center"/>
        <w:outlineLvl w:val="0"/>
        <w:rPr>
          <w:rFonts w:ascii="Times New Roman" w:hAnsi="Times New Roman"/>
          <w:b/>
          <w:sz w:val="28"/>
          <w:szCs w:val="28"/>
        </w:rPr>
      </w:pPr>
    </w:p>
    <w:p w14:paraId="2393D0C9" w14:textId="77777777" w:rsidR="008E6AB9" w:rsidRDefault="008E6AB9" w:rsidP="003D7DAB">
      <w:pPr>
        <w:spacing w:line="360" w:lineRule="auto"/>
        <w:ind w:firstLine="709"/>
        <w:contextualSpacing/>
        <w:jc w:val="center"/>
        <w:outlineLvl w:val="0"/>
        <w:rPr>
          <w:rFonts w:ascii="Times New Roman" w:hAnsi="Times New Roman"/>
          <w:b/>
          <w:sz w:val="28"/>
          <w:szCs w:val="28"/>
        </w:rPr>
      </w:pPr>
    </w:p>
    <w:p w14:paraId="66CB6A04" w14:textId="77777777" w:rsidR="008E6AB9" w:rsidRDefault="008E6AB9" w:rsidP="003D7DAB">
      <w:pPr>
        <w:spacing w:line="360" w:lineRule="auto"/>
        <w:ind w:firstLine="709"/>
        <w:contextualSpacing/>
        <w:jc w:val="center"/>
        <w:outlineLvl w:val="0"/>
        <w:rPr>
          <w:rFonts w:ascii="Times New Roman" w:hAnsi="Times New Roman"/>
          <w:b/>
          <w:sz w:val="28"/>
          <w:szCs w:val="28"/>
        </w:rPr>
      </w:pPr>
    </w:p>
    <w:p w14:paraId="11CDFC55" w14:textId="77777777" w:rsidR="008E6AB9" w:rsidRDefault="008E6AB9" w:rsidP="003D7DAB">
      <w:pPr>
        <w:spacing w:line="360" w:lineRule="auto"/>
        <w:ind w:firstLine="709"/>
        <w:contextualSpacing/>
        <w:jc w:val="center"/>
        <w:outlineLvl w:val="0"/>
        <w:rPr>
          <w:rFonts w:ascii="Times New Roman" w:hAnsi="Times New Roman"/>
          <w:b/>
          <w:sz w:val="28"/>
          <w:szCs w:val="28"/>
        </w:rPr>
      </w:pPr>
    </w:p>
    <w:p w14:paraId="64C6C64B" w14:textId="467BADF9" w:rsidR="003D7DAB" w:rsidRPr="008E6AB9" w:rsidRDefault="003D7DAB" w:rsidP="003D7DAB">
      <w:pPr>
        <w:spacing w:line="360" w:lineRule="auto"/>
        <w:ind w:firstLine="709"/>
        <w:contextualSpacing/>
        <w:jc w:val="center"/>
        <w:outlineLvl w:val="0"/>
        <w:rPr>
          <w:rFonts w:ascii="Times New Roman" w:hAnsi="Times New Roman"/>
          <w:b/>
          <w:sz w:val="28"/>
          <w:szCs w:val="28"/>
        </w:rPr>
      </w:pPr>
      <w:r w:rsidRPr="008E6AB9">
        <w:rPr>
          <w:rFonts w:ascii="Times New Roman" w:hAnsi="Times New Roman"/>
          <w:b/>
          <w:sz w:val="28"/>
          <w:szCs w:val="28"/>
        </w:rPr>
        <w:t>O sujeito de Direitos Humanos:</w:t>
      </w:r>
    </w:p>
    <w:p w14:paraId="38B2223C" w14:textId="10173035" w:rsidR="003D7DAB" w:rsidRDefault="003D7DAB" w:rsidP="003D7DAB">
      <w:pPr>
        <w:spacing w:line="360" w:lineRule="auto"/>
        <w:ind w:firstLine="709"/>
        <w:contextualSpacing/>
        <w:jc w:val="center"/>
        <w:rPr>
          <w:rFonts w:ascii="Times New Roman" w:hAnsi="Times New Roman"/>
          <w:b/>
          <w:sz w:val="24"/>
          <w:szCs w:val="24"/>
        </w:rPr>
      </w:pPr>
      <w:r w:rsidRPr="008E6AB9">
        <w:rPr>
          <w:rFonts w:ascii="Times New Roman" w:hAnsi="Times New Roman"/>
          <w:b/>
          <w:sz w:val="28"/>
          <w:szCs w:val="28"/>
        </w:rPr>
        <w:t>A proteção da pessoa humana no Direito Internacional</w:t>
      </w:r>
      <w:r w:rsidRPr="002C1356">
        <w:rPr>
          <w:rFonts w:ascii="Times New Roman" w:hAnsi="Times New Roman"/>
          <w:b/>
          <w:sz w:val="24"/>
          <w:szCs w:val="24"/>
        </w:rPr>
        <w:t xml:space="preserve"> </w:t>
      </w:r>
    </w:p>
    <w:p w14:paraId="64A11F71" w14:textId="54F1B99E" w:rsidR="008E6AB9" w:rsidRDefault="008E6AB9" w:rsidP="003D7DAB">
      <w:pPr>
        <w:spacing w:line="360" w:lineRule="auto"/>
        <w:ind w:firstLine="709"/>
        <w:contextualSpacing/>
        <w:jc w:val="center"/>
        <w:rPr>
          <w:rFonts w:ascii="Times New Roman" w:hAnsi="Times New Roman"/>
          <w:b/>
          <w:sz w:val="24"/>
          <w:szCs w:val="24"/>
        </w:rPr>
      </w:pPr>
    </w:p>
    <w:p w14:paraId="586ABE7C" w14:textId="04DADCAD" w:rsidR="008E6AB9" w:rsidRDefault="008E6AB9" w:rsidP="003D7DAB">
      <w:pPr>
        <w:spacing w:line="360" w:lineRule="auto"/>
        <w:ind w:firstLine="709"/>
        <w:contextualSpacing/>
        <w:jc w:val="center"/>
        <w:rPr>
          <w:rFonts w:ascii="Times New Roman" w:hAnsi="Times New Roman"/>
          <w:b/>
          <w:sz w:val="24"/>
          <w:szCs w:val="24"/>
        </w:rPr>
      </w:pPr>
    </w:p>
    <w:p w14:paraId="5B507ED6" w14:textId="197DC6B0" w:rsidR="008E6AB9" w:rsidRDefault="008E6AB9" w:rsidP="003D7DAB">
      <w:pPr>
        <w:spacing w:line="360" w:lineRule="auto"/>
        <w:ind w:firstLine="709"/>
        <w:contextualSpacing/>
        <w:jc w:val="center"/>
        <w:rPr>
          <w:rFonts w:ascii="Times New Roman" w:hAnsi="Times New Roman"/>
          <w:b/>
          <w:sz w:val="24"/>
          <w:szCs w:val="24"/>
        </w:rPr>
      </w:pPr>
    </w:p>
    <w:p w14:paraId="093C108D" w14:textId="7BAFE73C" w:rsidR="008E6AB9" w:rsidRDefault="008E6AB9" w:rsidP="003D7DAB">
      <w:pPr>
        <w:spacing w:line="360" w:lineRule="auto"/>
        <w:ind w:firstLine="709"/>
        <w:contextualSpacing/>
        <w:jc w:val="center"/>
        <w:rPr>
          <w:rFonts w:ascii="Times New Roman" w:hAnsi="Times New Roman"/>
          <w:b/>
          <w:sz w:val="24"/>
          <w:szCs w:val="24"/>
        </w:rPr>
      </w:pPr>
    </w:p>
    <w:p w14:paraId="2646EACD" w14:textId="2BB700DC" w:rsidR="008E6AB9" w:rsidRDefault="008E6AB9" w:rsidP="008E6AB9">
      <w:pPr>
        <w:spacing w:before="160" w:line="240" w:lineRule="auto"/>
        <w:ind w:left="709" w:hanging="709"/>
        <w:contextualSpacing/>
        <w:jc w:val="right"/>
        <w:rPr>
          <w:rFonts w:ascii="Times New Roman" w:hAnsi="Times New Roman"/>
          <w:sz w:val="24"/>
          <w:szCs w:val="24"/>
        </w:rPr>
      </w:pPr>
      <w:r>
        <w:rPr>
          <w:rFonts w:ascii="Times New Roman" w:hAnsi="Times New Roman"/>
          <w:sz w:val="24"/>
          <w:szCs w:val="24"/>
        </w:rPr>
        <w:t>Tese apresentada ao Instituto de Relações Internacionais da Universidade de São Paulo como requisito parcial para a obtenção do título de Livre Docente</w:t>
      </w:r>
    </w:p>
    <w:p w14:paraId="26A8CA1F" w14:textId="4137CEE2" w:rsidR="008E6AB9" w:rsidRDefault="008E6AB9" w:rsidP="008E6AB9">
      <w:pPr>
        <w:spacing w:before="160" w:line="240" w:lineRule="auto"/>
        <w:ind w:left="709" w:hanging="709"/>
        <w:contextualSpacing/>
        <w:jc w:val="right"/>
        <w:rPr>
          <w:rFonts w:ascii="Times New Roman" w:hAnsi="Times New Roman"/>
          <w:sz w:val="24"/>
          <w:szCs w:val="24"/>
        </w:rPr>
      </w:pPr>
    </w:p>
    <w:p w14:paraId="15089609" w14:textId="387C0023" w:rsidR="008E6AB9" w:rsidRDefault="008E6AB9" w:rsidP="008E6AB9">
      <w:pPr>
        <w:spacing w:before="160" w:line="240" w:lineRule="auto"/>
        <w:ind w:left="709" w:hanging="709"/>
        <w:contextualSpacing/>
        <w:jc w:val="right"/>
        <w:rPr>
          <w:rFonts w:ascii="Times New Roman" w:hAnsi="Times New Roman"/>
          <w:sz w:val="24"/>
          <w:szCs w:val="24"/>
        </w:rPr>
      </w:pPr>
    </w:p>
    <w:p w14:paraId="081E0DFE" w14:textId="59721EA8" w:rsidR="008E6AB9" w:rsidRDefault="008E6AB9" w:rsidP="008E6AB9">
      <w:pPr>
        <w:spacing w:before="160" w:line="240" w:lineRule="auto"/>
        <w:ind w:left="709" w:hanging="709"/>
        <w:contextualSpacing/>
        <w:jc w:val="right"/>
        <w:rPr>
          <w:rFonts w:ascii="Times New Roman" w:hAnsi="Times New Roman"/>
          <w:sz w:val="24"/>
          <w:szCs w:val="24"/>
        </w:rPr>
      </w:pPr>
    </w:p>
    <w:p w14:paraId="2602966E" w14:textId="5027D52C" w:rsidR="008E6AB9" w:rsidRDefault="008E6AB9" w:rsidP="008E6AB9">
      <w:pPr>
        <w:spacing w:before="160" w:line="240" w:lineRule="auto"/>
        <w:contextualSpacing/>
        <w:rPr>
          <w:rFonts w:ascii="Times New Roman" w:hAnsi="Times New Roman"/>
          <w:sz w:val="24"/>
          <w:szCs w:val="24"/>
        </w:rPr>
      </w:pPr>
    </w:p>
    <w:p w14:paraId="2329E3D6" w14:textId="18C945A7" w:rsidR="008E6AB9" w:rsidRDefault="008E6AB9" w:rsidP="008E6AB9">
      <w:pPr>
        <w:spacing w:before="160" w:line="240" w:lineRule="auto"/>
        <w:contextualSpacing/>
        <w:rPr>
          <w:rFonts w:ascii="Times New Roman" w:hAnsi="Times New Roman"/>
          <w:sz w:val="24"/>
          <w:szCs w:val="24"/>
        </w:rPr>
      </w:pPr>
    </w:p>
    <w:p w14:paraId="7C81DE52" w14:textId="6B0A2BE9" w:rsidR="008E6AB9" w:rsidRDefault="008E6AB9" w:rsidP="008E6AB9">
      <w:pPr>
        <w:spacing w:before="160" w:line="240" w:lineRule="auto"/>
        <w:contextualSpacing/>
        <w:rPr>
          <w:rFonts w:ascii="Times New Roman" w:hAnsi="Times New Roman"/>
          <w:sz w:val="24"/>
          <w:szCs w:val="24"/>
        </w:rPr>
      </w:pPr>
    </w:p>
    <w:p w14:paraId="00436A88" w14:textId="3ED03FF7" w:rsidR="008E6AB9" w:rsidRDefault="008E6AB9" w:rsidP="008E6AB9">
      <w:pPr>
        <w:spacing w:before="160" w:line="240" w:lineRule="auto"/>
        <w:contextualSpacing/>
        <w:rPr>
          <w:rFonts w:ascii="Times New Roman" w:hAnsi="Times New Roman"/>
          <w:sz w:val="24"/>
          <w:szCs w:val="24"/>
        </w:rPr>
      </w:pPr>
    </w:p>
    <w:p w14:paraId="5632B6AE" w14:textId="6E0A28CB" w:rsidR="008E6AB9" w:rsidRDefault="008E6AB9" w:rsidP="008E6AB9">
      <w:pPr>
        <w:spacing w:before="160" w:line="240" w:lineRule="auto"/>
        <w:contextualSpacing/>
        <w:rPr>
          <w:rFonts w:ascii="Times New Roman" w:hAnsi="Times New Roman"/>
          <w:sz w:val="24"/>
          <w:szCs w:val="24"/>
        </w:rPr>
      </w:pPr>
    </w:p>
    <w:p w14:paraId="16CBDFB8" w14:textId="75BCDAC7" w:rsidR="008E6AB9" w:rsidRDefault="008E6AB9" w:rsidP="008E6AB9">
      <w:pPr>
        <w:spacing w:before="160" w:line="240" w:lineRule="auto"/>
        <w:contextualSpacing/>
        <w:rPr>
          <w:rFonts w:ascii="Times New Roman" w:hAnsi="Times New Roman"/>
          <w:sz w:val="24"/>
          <w:szCs w:val="24"/>
        </w:rPr>
      </w:pPr>
    </w:p>
    <w:p w14:paraId="6921E9D2" w14:textId="2A860727" w:rsidR="008E6AB9" w:rsidRDefault="008E6AB9" w:rsidP="008E6AB9">
      <w:pPr>
        <w:spacing w:before="160" w:line="240" w:lineRule="auto"/>
        <w:contextualSpacing/>
        <w:rPr>
          <w:rFonts w:ascii="Times New Roman" w:hAnsi="Times New Roman"/>
          <w:sz w:val="24"/>
          <w:szCs w:val="24"/>
        </w:rPr>
      </w:pPr>
    </w:p>
    <w:p w14:paraId="72CD228E" w14:textId="05D0F617" w:rsidR="008E6AB9" w:rsidRDefault="008E6AB9" w:rsidP="008E6AB9">
      <w:pPr>
        <w:spacing w:before="160" w:line="240" w:lineRule="auto"/>
        <w:contextualSpacing/>
        <w:rPr>
          <w:rFonts w:ascii="Times New Roman" w:hAnsi="Times New Roman"/>
          <w:sz w:val="24"/>
          <w:szCs w:val="24"/>
        </w:rPr>
      </w:pPr>
    </w:p>
    <w:p w14:paraId="3C7D7E49" w14:textId="4C96161E" w:rsidR="008E6AB9" w:rsidRDefault="008E6AB9" w:rsidP="008E6AB9">
      <w:pPr>
        <w:spacing w:before="160" w:line="240" w:lineRule="auto"/>
        <w:contextualSpacing/>
        <w:rPr>
          <w:rFonts w:ascii="Times New Roman" w:hAnsi="Times New Roman"/>
          <w:sz w:val="24"/>
          <w:szCs w:val="24"/>
        </w:rPr>
      </w:pPr>
    </w:p>
    <w:p w14:paraId="34DB6C9E" w14:textId="66385EA8" w:rsidR="008E6AB9" w:rsidRDefault="008E6AB9" w:rsidP="008E6AB9">
      <w:pPr>
        <w:spacing w:before="160" w:line="240" w:lineRule="auto"/>
        <w:contextualSpacing/>
        <w:rPr>
          <w:rFonts w:ascii="Times New Roman" w:hAnsi="Times New Roman"/>
          <w:sz w:val="24"/>
          <w:szCs w:val="24"/>
        </w:rPr>
      </w:pPr>
    </w:p>
    <w:p w14:paraId="1B943DCE" w14:textId="3F565462" w:rsidR="008E6AB9" w:rsidRDefault="008E6AB9" w:rsidP="008E6AB9">
      <w:pPr>
        <w:spacing w:before="160" w:line="240" w:lineRule="auto"/>
        <w:contextualSpacing/>
        <w:rPr>
          <w:rFonts w:ascii="Times New Roman" w:hAnsi="Times New Roman"/>
          <w:sz w:val="24"/>
          <w:szCs w:val="24"/>
        </w:rPr>
      </w:pPr>
    </w:p>
    <w:p w14:paraId="6DF01CCC" w14:textId="3F7B0662" w:rsidR="008E6AB9" w:rsidRDefault="008E6AB9" w:rsidP="008E6AB9">
      <w:pPr>
        <w:spacing w:before="160" w:line="240" w:lineRule="auto"/>
        <w:contextualSpacing/>
        <w:rPr>
          <w:rFonts w:ascii="Times New Roman" w:hAnsi="Times New Roman"/>
          <w:sz w:val="24"/>
          <w:szCs w:val="24"/>
        </w:rPr>
      </w:pPr>
    </w:p>
    <w:p w14:paraId="6DB0B318" w14:textId="294F9C0C" w:rsidR="008E6AB9" w:rsidRDefault="008E6AB9" w:rsidP="008E6AB9">
      <w:pPr>
        <w:spacing w:before="160" w:line="240" w:lineRule="auto"/>
        <w:contextualSpacing/>
        <w:rPr>
          <w:rFonts w:ascii="Times New Roman" w:hAnsi="Times New Roman"/>
          <w:sz w:val="24"/>
          <w:szCs w:val="24"/>
        </w:rPr>
      </w:pPr>
    </w:p>
    <w:p w14:paraId="6E223952" w14:textId="12BC7CB5" w:rsidR="008E6AB9" w:rsidRDefault="008E6AB9" w:rsidP="008E6AB9">
      <w:pPr>
        <w:spacing w:before="160" w:line="240" w:lineRule="auto"/>
        <w:contextualSpacing/>
        <w:rPr>
          <w:rFonts w:ascii="Times New Roman" w:hAnsi="Times New Roman"/>
          <w:sz w:val="24"/>
          <w:szCs w:val="24"/>
        </w:rPr>
      </w:pPr>
    </w:p>
    <w:p w14:paraId="6408F46F" w14:textId="6F43C871" w:rsidR="008E6AB9" w:rsidRDefault="008E6AB9" w:rsidP="008E6AB9">
      <w:pPr>
        <w:spacing w:before="160" w:line="240" w:lineRule="auto"/>
        <w:contextualSpacing/>
        <w:rPr>
          <w:rFonts w:ascii="Times New Roman" w:hAnsi="Times New Roman"/>
          <w:sz w:val="24"/>
          <w:szCs w:val="24"/>
        </w:rPr>
      </w:pPr>
    </w:p>
    <w:p w14:paraId="166D95AF" w14:textId="3DA7FB00" w:rsidR="008E6AB9" w:rsidRDefault="008E6AB9" w:rsidP="008E6AB9">
      <w:pPr>
        <w:spacing w:before="160" w:line="240" w:lineRule="auto"/>
        <w:contextualSpacing/>
        <w:rPr>
          <w:rFonts w:ascii="Times New Roman" w:hAnsi="Times New Roman"/>
          <w:sz w:val="24"/>
          <w:szCs w:val="24"/>
        </w:rPr>
      </w:pPr>
    </w:p>
    <w:p w14:paraId="70550C0F" w14:textId="78258C74" w:rsidR="008E6AB9" w:rsidRDefault="008E6AB9" w:rsidP="008E6AB9">
      <w:pPr>
        <w:spacing w:before="160" w:line="240" w:lineRule="auto"/>
        <w:contextualSpacing/>
        <w:rPr>
          <w:rFonts w:ascii="Times New Roman" w:hAnsi="Times New Roman"/>
          <w:sz w:val="24"/>
          <w:szCs w:val="24"/>
        </w:rPr>
      </w:pPr>
    </w:p>
    <w:p w14:paraId="538A4024" w14:textId="008C972A" w:rsidR="008E6AB9" w:rsidRDefault="008E6AB9" w:rsidP="008E6AB9">
      <w:pPr>
        <w:spacing w:before="160" w:line="240" w:lineRule="auto"/>
        <w:contextualSpacing/>
        <w:rPr>
          <w:rFonts w:ascii="Times New Roman" w:hAnsi="Times New Roman"/>
          <w:sz w:val="24"/>
          <w:szCs w:val="24"/>
        </w:rPr>
      </w:pPr>
    </w:p>
    <w:p w14:paraId="2C8FE367" w14:textId="55929FF3" w:rsidR="008E6AB9" w:rsidRDefault="008E6AB9" w:rsidP="008E6AB9">
      <w:pPr>
        <w:spacing w:before="160" w:line="240" w:lineRule="auto"/>
        <w:contextualSpacing/>
        <w:rPr>
          <w:rFonts w:ascii="Times New Roman" w:hAnsi="Times New Roman"/>
          <w:sz w:val="24"/>
          <w:szCs w:val="24"/>
        </w:rPr>
      </w:pPr>
    </w:p>
    <w:p w14:paraId="750F10C7" w14:textId="72501450" w:rsidR="008E6AB9" w:rsidRDefault="008E6AB9" w:rsidP="008E6AB9">
      <w:pPr>
        <w:spacing w:before="160" w:line="240" w:lineRule="auto"/>
        <w:contextualSpacing/>
        <w:rPr>
          <w:rFonts w:ascii="Times New Roman" w:hAnsi="Times New Roman"/>
          <w:sz w:val="24"/>
          <w:szCs w:val="24"/>
        </w:rPr>
      </w:pPr>
    </w:p>
    <w:p w14:paraId="4298E35D" w14:textId="358D38A2" w:rsidR="008E6AB9" w:rsidRDefault="008E6AB9" w:rsidP="008E6AB9">
      <w:pPr>
        <w:spacing w:before="160" w:line="240" w:lineRule="auto"/>
        <w:contextualSpacing/>
        <w:jc w:val="center"/>
        <w:rPr>
          <w:rFonts w:ascii="Times New Roman" w:hAnsi="Times New Roman"/>
          <w:sz w:val="24"/>
          <w:szCs w:val="24"/>
        </w:rPr>
      </w:pPr>
      <w:r>
        <w:rPr>
          <w:rFonts w:ascii="Times New Roman" w:hAnsi="Times New Roman"/>
          <w:sz w:val="24"/>
          <w:szCs w:val="24"/>
        </w:rPr>
        <w:t>São Paulo</w:t>
      </w:r>
    </w:p>
    <w:p w14:paraId="179F7ADA" w14:textId="669D611B" w:rsidR="008E6AB9" w:rsidRPr="008E6AB9" w:rsidRDefault="008E6AB9" w:rsidP="008E6AB9">
      <w:pPr>
        <w:spacing w:before="160" w:line="240" w:lineRule="auto"/>
        <w:contextualSpacing/>
        <w:jc w:val="center"/>
        <w:rPr>
          <w:rFonts w:ascii="Times New Roman" w:hAnsi="Times New Roman"/>
          <w:sz w:val="24"/>
          <w:szCs w:val="24"/>
        </w:rPr>
      </w:pPr>
      <w:r>
        <w:rPr>
          <w:rFonts w:ascii="Times New Roman" w:hAnsi="Times New Roman"/>
          <w:sz w:val="24"/>
          <w:szCs w:val="24"/>
        </w:rPr>
        <w:t>2017</w:t>
      </w:r>
    </w:p>
    <w:p w14:paraId="075B3687" w14:textId="6C3C6A0C" w:rsidR="008E6AB9" w:rsidRPr="002C1356" w:rsidRDefault="003D7DAB">
      <w:pPr>
        <w:rPr>
          <w:rFonts w:ascii="Times New Roman" w:hAnsi="Times New Roman"/>
          <w:b/>
          <w:sz w:val="24"/>
          <w:szCs w:val="24"/>
        </w:rPr>
      </w:pPr>
      <w:r w:rsidRPr="002C1356">
        <w:rPr>
          <w:rFonts w:ascii="Times New Roman" w:hAnsi="Times New Roman"/>
          <w:b/>
          <w:sz w:val="24"/>
          <w:szCs w:val="24"/>
        </w:rPr>
        <w:lastRenderedPageBreak/>
        <w:br w:type="page"/>
      </w:r>
    </w:p>
    <w:p w14:paraId="3DD29369" w14:textId="122BF0AD" w:rsidR="003D7DAB" w:rsidRPr="00A931C3" w:rsidRDefault="003D7DAB" w:rsidP="003D7DAB">
      <w:pPr>
        <w:shd w:val="clear" w:color="auto" w:fill="FFFFFF"/>
        <w:spacing w:after="0" w:line="240" w:lineRule="auto"/>
        <w:rPr>
          <w:rFonts w:ascii="Times New Roman" w:hAnsi="Times New Roman"/>
          <w:color w:val="222222"/>
          <w:sz w:val="24"/>
        </w:rPr>
      </w:pPr>
      <w:r w:rsidRPr="001D40F4">
        <w:rPr>
          <w:rFonts w:ascii="Times New Roman" w:eastAsia="Times New Roman" w:hAnsi="Times New Roman"/>
          <w:color w:val="222222"/>
          <w:sz w:val="24"/>
          <w:szCs w:val="24"/>
        </w:rPr>
        <w:lastRenderedPageBreak/>
        <w:t xml:space="preserve">À </w:t>
      </w:r>
      <w:r w:rsidRPr="00A931C3">
        <w:rPr>
          <w:rFonts w:ascii="Times New Roman" w:hAnsi="Times New Roman"/>
          <w:color w:val="222222"/>
          <w:sz w:val="24"/>
        </w:rPr>
        <w:t>Fundação de Amparo à Pesquisa do Estado de São Paulo (FAPESP) pela bolsa de pesquisa no exterior</w:t>
      </w:r>
      <w:r w:rsidR="008E6AB9" w:rsidRPr="00A931C3">
        <w:rPr>
          <w:rFonts w:ascii="Times New Roman" w:hAnsi="Times New Roman"/>
          <w:color w:val="222222"/>
          <w:sz w:val="24"/>
        </w:rPr>
        <w:t>, a</w:t>
      </w:r>
      <w:r w:rsidRPr="00A931C3">
        <w:rPr>
          <w:rFonts w:ascii="Times New Roman" w:hAnsi="Times New Roman"/>
          <w:color w:val="222222"/>
          <w:sz w:val="24"/>
        </w:rPr>
        <w:t xml:space="preserve"> Hans Joas pelo diálogo fraterno e inspirador e ao FRIAS (Freiburg Institute for Advanced Studies) pelo acolhimento.</w:t>
      </w:r>
    </w:p>
    <w:p w14:paraId="526DE71B" w14:textId="77777777" w:rsidR="003D7DAB" w:rsidRPr="002C1356" w:rsidRDefault="003D7DAB" w:rsidP="003D7DAB">
      <w:pPr>
        <w:rPr>
          <w:rFonts w:ascii="Times New Roman" w:hAnsi="Times New Roman"/>
          <w:b/>
          <w:sz w:val="24"/>
          <w:szCs w:val="24"/>
          <w:u w:val="single"/>
        </w:rPr>
      </w:pPr>
      <w:r w:rsidRPr="002C1356">
        <w:rPr>
          <w:rFonts w:ascii="Times New Roman" w:hAnsi="Times New Roman"/>
          <w:b/>
          <w:sz w:val="24"/>
          <w:szCs w:val="24"/>
          <w:u w:val="single"/>
        </w:rPr>
        <w:br w:type="page"/>
      </w:r>
    </w:p>
    <w:p w14:paraId="4903AF88" w14:textId="77777777" w:rsidR="00C44339" w:rsidRPr="002C1356" w:rsidRDefault="00C44339" w:rsidP="00C44339">
      <w:pPr>
        <w:spacing w:after="0" w:line="360" w:lineRule="auto"/>
        <w:ind w:firstLine="709"/>
        <w:contextualSpacing/>
        <w:jc w:val="both"/>
        <w:outlineLvl w:val="0"/>
        <w:rPr>
          <w:rFonts w:ascii="Times New Roman" w:hAnsi="Times New Roman"/>
          <w:b/>
          <w:sz w:val="24"/>
          <w:szCs w:val="24"/>
        </w:rPr>
      </w:pPr>
      <w:bookmarkStart w:id="0" w:name="_Hlk487574406"/>
      <w:r>
        <w:rPr>
          <w:rFonts w:ascii="Times New Roman" w:hAnsi="Times New Roman"/>
          <w:b/>
          <w:sz w:val="24"/>
          <w:szCs w:val="24"/>
        </w:rPr>
        <w:lastRenderedPageBreak/>
        <w:t>Sumário</w:t>
      </w:r>
    </w:p>
    <w:p w14:paraId="2D71CB53" w14:textId="77777777" w:rsidR="00C44339" w:rsidRPr="002C1356" w:rsidRDefault="00C44339" w:rsidP="00C44339">
      <w:pPr>
        <w:spacing w:after="0" w:line="360" w:lineRule="auto"/>
        <w:ind w:left="709" w:firstLine="425"/>
        <w:contextualSpacing/>
        <w:jc w:val="both"/>
        <w:rPr>
          <w:rFonts w:ascii="Times New Roman" w:hAnsi="Times New Roman"/>
          <w:b/>
          <w:sz w:val="24"/>
          <w:szCs w:val="24"/>
        </w:rPr>
      </w:pPr>
    </w:p>
    <w:p w14:paraId="58BADD9A" w14:textId="7F1763E1" w:rsidR="00C44339" w:rsidRPr="002C1356" w:rsidRDefault="00C44339" w:rsidP="009D7E8B">
      <w:pPr>
        <w:spacing w:after="0" w:line="360" w:lineRule="auto"/>
        <w:ind w:left="709"/>
        <w:contextualSpacing/>
        <w:jc w:val="both"/>
        <w:outlineLvl w:val="0"/>
        <w:rPr>
          <w:rFonts w:ascii="Times New Roman" w:hAnsi="Times New Roman"/>
          <w:sz w:val="24"/>
          <w:szCs w:val="24"/>
        </w:rPr>
      </w:pPr>
      <w:r w:rsidRPr="009D7E8B">
        <w:rPr>
          <w:rFonts w:ascii="Times New Roman" w:hAnsi="Times New Roman"/>
          <w:b/>
          <w:sz w:val="24"/>
          <w:szCs w:val="24"/>
        </w:rPr>
        <w:t xml:space="preserve">Introdução </w:t>
      </w:r>
      <w:r>
        <w:rPr>
          <w:rFonts w:ascii="Times New Roman" w:hAnsi="Times New Roman"/>
          <w:sz w:val="24"/>
          <w:szCs w:val="24"/>
        </w:rPr>
        <w:t>.........................................</w:t>
      </w:r>
      <w:r w:rsidR="00EE6EF5">
        <w:rPr>
          <w:rFonts w:ascii="Times New Roman" w:hAnsi="Times New Roman"/>
          <w:sz w:val="24"/>
          <w:szCs w:val="24"/>
        </w:rPr>
        <w:t>..</w:t>
      </w:r>
      <w:r>
        <w:rPr>
          <w:rFonts w:ascii="Times New Roman" w:hAnsi="Times New Roman"/>
          <w:sz w:val="24"/>
          <w:szCs w:val="24"/>
        </w:rPr>
        <w:t xml:space="preserve">.......................................................... 9 </w:t>
      </w:r>
    </w:p>
    <w:p w14:paraId="13D442ED" w14:textId="6F654957" w:rsidR="00C44339" w:rsidRPr="00BD3282" w:rsidRDefault="00C44339" w:rsidP="00C44339">
      <w:pPr>
        <w:spacing w:after="0" w:line="360" w:lineRule="auto"/>
        <w:ind w:left="708"/>
        <w:contextualSpacing/>
        <w:jc w:val="both"/>
        <w:outlineLvl w:val="0"/>
        <w:rPr>
          <w:rFonts w:ascii="Times New Roman" w:hAnsi="Times New Roman"/>
          <w:sz w:val="24"/>
          <w:szCs w:val="24"/>
        </w:rPr>
      </w:pPr>
      <w:r w:rsidRPr="002C1356">
        <w:rPr>
          <w:rFonts w:ascii="Times New Roman" w:hAnsi="Times New Roman"/>
          <w:b/>
          <w:sz w:val="24"/>
          <w:szCs w:val="24"/>
        </w:rPr>
        <w:t>Parte I Narrativas do Sagrado: Antecedentes dos Direitos Humanos</w:t>
      </w:r>
      <w:r>
        <w:rPr>
          <w:rFonts w:ascii="Times New Roman" w:hAnsi="Times New Roman"/>
          <w:b/>
          <w:sz w:val="24"/>
          <w:szCs w:val="24"/>
        </w:rPr>
        <w:t xml:space="preserve"> </w:t>
      </w:r>
      <w:r>
        <w:rPr>
          <w:rFonts w:ascii="Times New Roman" w:hAnsi="Times New Roman"/>
          <w:sz w:val="24"/>
          <w:szCs w:val="24"/>
        </w:rPr>
        <w:t>........ 12</w:t>
      </w:r>
    </w:p>
    <w:p w14:paraId="51184534" w14:textId="020F933B" w:rsidR="00C44339" w:rsidRPr="00B05CCC" w:rsidRDefault="00C44339" w:rsidP="00C44339">
      <w:pPr>
        <w:numPr>
          <w:ilvl w:val="1"/>
          <w:numId w:val="14"/>
        </w:numPr>
        <w:spacing w:after="0" w:line="360" w:lineRule="auto"/>
        <w:contextualSpacing/>
        <w:jc w:val="both"/>
        <w:rPr>
          <w:rFonts w:ascii="Times New Roman" w:hAnsi="Times New Roman"/>
          <w:sz w:val="24"/>
          <w:szCs w:val="24"/>
        </w:rPr>
      </w:pPr>
      <w:r w:rsidRPr="00B05CCC">
        <w:rPr>
          <w:rFonts w:ascii="Times New Roman" w:hAnsi="Times New Roman"/>
          <w:sz w:val="24"/>
          <w:szCs w:val="24"/>
        </w:rPr>
        <w:t>A Sacralidade da Pessoa</w:t>
      </w:r>
      <w:r>
        <w:rPr>
          <w:rFonts w:ascii="Times New Roman" w:hAnsi="Times New Roman"/>
          <w:sz w:val="24"/>
          <w:szCs w:val="24"/>
        </w:rPr>
        <w:t xml:space="preserve"> ........................................................................ 1</w:t>
      </w:r>
      <w:r w:rsidR="009D7E8B">
        <w:rPr>
          <w:rFonts w:ascii="Times New Roman" w:hAnsi="Times New Roman"/>
          <w:sz w:val="24"/>
          <w:szCs w:val="24"/>
        </w:rPr>
        <w:t>3</w:t>
      </w:r>
    </w:p>
    <w:p w14:paraId="2B23C431" w14:textId="6F0F6B84"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1.1.1) A Sacralidade da Pessoa e os “Direitos do Homem e do cidadão”(1898)</w:t>
      </w:r>
      <w:r>
        <w:rPr>
          <w:rFonts w:ascii="Times New Roman" w:hAnsi="Times New Roman"/>
          <w:sz w:val="24"/>
          <w:szCs w:val="24"/>
        </w:rPr>
        <w:t xml:space="preserve"> ........................................................................................... 15</w:t>
      </w:r>
    </w:p>
    <w:p w14:paraId="162A5FA6" w14:textId="77777777"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1.1.2) Indivíduo, Pessoa, Sujeito de Direito</w:t>
      </w:r>
      <w:r>
        <w:rPr>
          <w:rFonts w:ascii="Times New Roman" w:hAnsi="Times New Roman"/>
          <w:sz w:val="24"/>
          <w:szCs w:val="24"/>
        </w:rPr>
        <w:t xml:space="preserve"> ............................................... 22 </w:t>
      </w:r>
    </w:p>
    <w:p w14:paraId="72A42098" w14:textId="70C08F0F"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1.1.3) O Juízo Reflexivo em Émile Durkheim</w:t>
      </w:r>
      <w:r>
        <w:rPr>
          <w:rFonts w:ascii="Times New Roman" w:hAnsi="Times New Roman"/>
          <w:sz w:val="24"/>
          <w:szCs w:val="24"/>
        </w:rPr>
        <w:t xml:space="preserve"> ........................................... 2</w:t>
      </w:r>
      <w:r w:rsidR="009D7E8B">
        <w:rPr>
          <w:rFonts w:ascii="Times New Roman" w:hAnsi="Times New Roman"/>
          <w:sz w:val="24"/>
          <w:szCs w:val="24"/>
        </w:rPr>
        <w:t>4</w:t>
      </w:r>
    </w:p>
    <w:p w14:paraId="1D835764" w14:textId="77777777" w:rsidR="00C44339" w:rsidRPr="002C1356" w:rsidRDefault="00C44339" w:rsidP="00A931C3">
      <w:pPr>
        <w:numPr>
          <w:ilvl w:val="1"/>
          <w:numId w:val="14"/>
        </w:num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 xml:space="preserve">A Missão Sagrada da Civilização </w:t>
      </w:r>
      <w:r>
        <w:rPr>
          <w:rFonts w:ascii="Times New Roman" w:hAnsi="Times New Roman"/>
          <w:sz w:val="24"/>
          <w:szCs w:val="24"/>
        </w:rPr>
        <w:t>............................................................... 33</w:t>
      </w:r>
    </w:p>
    <w:p w14:paraId="52BC47A8" w14:textId="141ACA70"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1.2.1) Direito Internacional das Nações Civilizadas (1815-1919) e Direito Internacional da Humanidade (1919-em diante)</w:t>
      </w:r>
      <w:r>
        <w:rPr>
          <w:rFonts w:ascii="Times New Roman" w:hAnsi="Times New Roman"/>
          <w:sz w:val="24"/>
          <w:szCs w:val="24"/>
        </w:rPr>
        <w:t xml:space="preserve"> ........................................ 3</w:t>
      </w:r>
      <w:r w:rsidR="009D7E8B">
        <w:rPr>
          <w:rFonts w:ascii="Times New Roman" w:hAnsi="Times New Roman"/>
          <w:sz w:val="24"/>
          <w:szCs w:val="24"/>
        </w:rPr>
        <w:t>5</w:t>
      </w:r>
    </w:p>
    <w:p w14:paraId="1C15D7F1" w14:textId="77777777"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1.2.2) Roger Casement (1864-1916) em Nome da Civilização e da Humanidade</w:t>
      </w:r>
      <w:r>
        <w:rPr>
          <w:rFonts w:ascii="Times New Roman" w:hAnsi="Times New Roman"/>
          <w:sz w:val="24"/>
          <w:szCs w:val="24"/>
        </w:rPr>
        <w:t xml:space="preserve"> ................................................................................................ 39</w:t>
      </w:r>
    </w:p>
    <w:p w14:paraId="56E38CFC" w14:textId="72A47869" w:rsidR="009D7E8B" w:rsidRPr="002C1356" w:rsidRDefault="00C44339" w:rsidP="009D7E8B">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1.2.3) Sociedade das Nações (SDN) e os Direitos Humanos</w:t>
      </w:r>
      <w:r>
        <w:rPr>
          <w:rFonts w:ascii="Times New Roman" w:hAnsi="Times New Roman"/>
          <w:sz w:val="24"/>
          <w:szCs w:val="24"/>
        </w:rPr>
        <w:t xml:space="preserve"> ..................... 43</w:t>
      </w:r>
    </w:p>
    <w:p w14:paraId="6882ED61" w14:textId="77777777" w:rsidR="00C44339" w:rsidRPr="002C1356" w:rsidRDefault="00C44339" w:rsidP="00C44339">
      <w:pPr>
        <w:spacing w:line="360" w:lineRule="auto"/>
        <w:ind w:left="708"/>
        <w:contextualSpacing/>
        <w:jc w:val="both"/>
        <w:rPr>
          <w:rFonts w:ascii="Times New Roman" w:hAnsi="Times New Roman"/>
          <w:b/>
          <w:sz w:val="24"/>
          <w:szCs w:val="24"/>
        </w:rPr>
      </w:pPr>
      <w:r w:rsidRPr="002C1356">
        <w:rPr>
          <w:rFonts w:ascii="Times New Roman" w:hAnsi="Times New Roman"/>
          <w:b/>
          <w:sz w:val="24"/>
          <w:szCs w:val="24"/>
        </w:rPr>
        <w:t xml:space="preserve">Parte II Emergência do Sujeito de Direito nas três vertentes da Proteção Internacional dos Direitos da Pessoa Humana </w:t>
      </w:r>
      <w:r w:rsidRPr="00841221">
        <w:rPr>
          <w:rFonts w:ascii="Times New Roman" w:hAnsi="Times New Roman"/>
          <w:sz w:val="24"/>
          <w:szCs w:val="24"/>
        </w:rPr>
        <w:t>...............</w:t>
      </w:r>
      <w:r>
        <w:rPr>
          <w:rFonts w:ascii="Times New Roman" w:hAnsi="Times New Roman"/>
          <w:sz w:val="24"/>
          <w:szCs w:val="24"/>
        </w:rPr>
        <w:t xml:space="preserve">............................... </w:t>
      </w:r>
      <w:r w:rsidRPr="00841221">
        <w:rPr>
          <w:rFonts w:ascii="Times New Roman" w:hAnsi="Times New Roman"/>
          <w:sz w:val="24"/>
          <w:szCs w:val="24"/>
        </w:rPr>
        <w:t>5</w:t>
      </w:r>
      <w:r>
        <w:rPr>
          <w:rFonts w:ascii="Times New Roman" w:hAnsi="Times New Roman"/>
          <w:sz w:val="24"/>
          <w:szCs w:val="24"/>
        </w:rPr>
        <w:t>1</w:t>
      </w:r>
    </w:p>
    <w:p w14:paraId="01D983A6" w14:textId="77777777" w:rsidR="00C44339" w:rsidRPr="002C1356" w:rsidRDefault="00C44339" w:rsidP="00C44339">
      <w:pPr>
        <w:spacing w:after="0" w:line="360" w:lineRule="auto"/>
        <w:ind w:left="708"/>
        <w:contextualSpacing/>
        <w:jc w:val="both"/>
        <w:rPr>
          <w:rFonts w:ascii="Times New Roman" w:hAnsi="Times New Roman"/>
          <w:sz w:val="24"/>
          <w:szCs w:val="24"/>
        </w:rPr>
      </w:pPr>
      <w:r w:rsidRPr="002C1356">
        <w:rPr>
          <w:rFonts w:ascii="Times New Roman" w:hAnsi="Times New Roman"/>
          <w:sz w:val="24"/>
          <w:szCs w:val="24"/>
        </w:rPr>
        <w:t>2.1) Histórico da Proteção Internacional da Pessoa Humana no Direito Internacional</w:t>
      </w:r>
      <w:r>
        <w:rPr>
          <w:rFonts w:ascii="Times New Roman" w:hAnsi="Times New Roman"/>
          <w:sz w:val="24"/>
          <w:szCs w:val="24"/>
        </w:rPr>
        <w:t xml:space="preserve"> ...................................................................................................... 52</w:t>
      </w:r>
    </w:p>
    <w:p w14:paraId="109C2FE1" w14:textId="23A42C72" w:rsidR="00C44339" w:rsidRPr="00841221"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 xml:space="preserve">2.1.1) </w:t>
      </w:r>
      <w:r w:rsidRPr="00841221">
        <w:rPr>
          <w:rFonts w:ascii="Times New Roman" w:hAnsi="Times New Roman"/>
          <w:sz w:val="24"/>
          <w:szCs w:val="24"/>
        </w:rPr>
        <w:t>Declaração dos Direitos Internacionais do Homem (1929), o caso Franz Bernhei</w:t>
      </w:r>
      <w:r>
        <w:rPr>
          <w:rFonts w:ascii="Times New Roman" w:hAnsi="Times New Roman"/>
          <w:sz w:val="24"/>
          <w:szCs w:val="24"/>
        </w:rPr>
        <w:t xml:space="preserve">m (1933) </w:t>
      </w:r>
      <w:r w:rsidRPr="00841221">
        <w:rPr>
          <w:rFonts w:ascii="Times New Roman" w:hAnsi="Times New Roman"/>
          <w:sz w:val="24"/>
          <w:szCs w:val="24"/>
        </w:rPr>
        <w:t>e a proteção universal dos Direitos Humanos</w:t>
      </w:r>
      <w:r>
        <w:rPr>
          <w:rFonts w:ascii="Times New Roman" w:hAnsi="Times New Roman"/>
          <w:sz w:val="24"/>
          <w:szCs w:val="24"/>
        </w:rPr>
        <w:t xml:space="preserve"> ...... 54</w:t>
      </w:r>
    </w:p>
    <w:p w14:paraId="52E58389" w14:textId="77777777"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2.1.2) A Declaração Universal dos Direitos Humanos (1948) e a Proteção Internacional dos Direitos Humanos</w:t>
      </w:r>
      <w:r>
        <w:rPr>
          <w:rFonts w:ascii="Times New Roman" w:hAnsi="Times New Roman"/>
          <w:sz w:val="24"/>
          <w:szCs w:val="24"/>
        </w:rPr>
        <w:t xml:space="preserve"> .......................................................... 59</w:t>
      </w:r>
    </w:p>
    <w:p w14:paraId="49F40379" w14:textId="2F939538"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2.1.3) A Dignidade da Pessoa Humana e o personalismo na DUDH</w:t>
      </w:r>
      <w:r w:rsidR="00265580">
        <w:rPr>
          <w:rFonts w:ascii="Times New Roman" w:hAnsi="Times New Roman"/>
          <w:sz w:val="24"/>
          <w:szCs w:val="24"/>
        </w:rPr>
        <w:t>.......... 63</w:t>
      </w:r>
    </w:p>
    <w:p w14:paraId="31361798" w14:textId="61FD7633" w:rsidR="00C44339" w:rsidRPr="002C1356" w:rsidRDefault="00C44339" w:rsidP="00A931C3">
      <w:pPr>
        <w:spacing w:after="0" w:line="360" w:lineRule="auto"/>
        <w:contextualSpacing/>
        <w:jc w:val="both"/>
        <w:rPr>
          <w:rFonts w:ascii="Times New Roman" w:hAnsi="Times New Roman"/>
          <w:sz w:val="24"/>
          <w:szCs w:val="24"/>
        </w:rPr>
      </w:pPr>
      <w:r w:rsidRPr="002C1356">
        <w:rPr>
          <w:rFonts w:ascii="Times New Roman" w:hAnsi="Times New Roman"/>
          <w:sz w:val="24"/>
          <w:szCs w:val="24"/>
        </w:rPr>
        <w:t>2.2) Sujeitos de Direito nas três vertentes da Proteção Internacional dos Direitos da Pessoa Humana</w:t>
      </w:r>
      <w:r>
        <w:rPr>
          <w:rFonts w:ascii="Times New Roman" w:hAnsi="Times New Roman"/>
          <w:sz w:val="24"/>
          <w:szCs w:val="24"/>
        </w:rPr>
        <w:t xml:space="preserve"> .................................................................................</w:t>
      </w:r>
      <w:r w:rsidR="0086711A">
        <w:rPr>
          <w:rFonts w:ascii="Times New Roman" w:hAnsi="Times New Roman"/>
          <w:sz w:val="24"/>
          <w:szCs w:val="24"/>
        </w:rPr>
        <w:t>............................. 67</w:t>
      </w:r>
    </w:p>
    <w:p w14:paraId="0333E582" w14:textId="6C49CBDB"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2.2.1) Sujeito de Direito no Direito Internacional Humanitário</w:t>
      </w:r>
      <w:r>
        <w:rPr>
          <w:rFonts w:ascii="Times New Roman" w:hAnsi="Times New Roman"/>
          <w:sz w:val="24"/>
          <w:szCs w:val="24"/>
        </w:rPr>
        <w:t xml:space="preserve"> (DIH) ...... </w:t>
      </w:r>
      <w:r w:rsidR="00EC4B6F">
        <w:rPr>
          <w:rFonts w:ascii="Times New Roman" w:hAnsi="Times New Roman"/>
          <w:sz w:val="24"/>
          <w:szCs w:val="24"/>
        </w:rPr>
        <w:t>71</w:t>
      </w:r>
    </w:p>
    <w:p w14:paraId="78F8640C" w14:textId="7BFA700B"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 xml:space="preserve">2.2.2) </w:t>
      </w:r>
      <w:r w:rsidRPr="009E4FD7">
        <w:rPr>
          <w:rFonts w:ascii="Times New Roman" w:hAnsi="Times New Roman"/>
          <w:sz w:val="24"/>
          <w:szCs w:val="24"/>
        </w:rPr>
        <w:t>Sujeito de Direito e o DIR</w:t>
      </w:r>
      <w:r>
        <w:rPr>
          <w:rFonts w:ascii="Times New Roman" w:hAnsi="Times New Roman"/>
          <w:sz w:val="24"/>
          <w:szCs w:val="24"/>
        </w:rPr>
        <w:t xml:space="preserve"> ...................................</w:t>
      </w:r>
      <w:r w:rsidR="006E61C7">
        <w:rPr>
          <w:rFonts w:ascii="Times New Roman" w:hAnsi="Times New Roman"/>
          <w:sz w:val="24"/>
          <w:szCs w:val="24"/>
        </w:rPr>
        <w:t>............................. 76</w:t>
      </w:r>
    </w:p>
    <w:p w14:paraId="6C230690" w14:textId="1A61AE2F" w:rsidR="00C44339" w:rsidRPr="002C1356" w:rsidRDefault="00C44339" w:rsidP="00A931C3">
      <w:pPr>
        <w:spacing w:after="0" w:line="360" w:lineRule="auto"/>
        <w:ind w:left="1134"/>
        <w:contextualSpacing/>
        <w:jc w:val="both"/>
        <w:rPr>
          <w:rFonts w:ascii="Times New Roman" w:hAnsi="Times New Roman"/>
          <w:sz w:val="24"/>
          <w:szCs w:val="24"/>
        </w:rPr>
      </w:pPr>
      <w:r w:rsidRPr="002C1356">
        <w:rPr>
          <w:rFonts w:ascii="Times New Roman" w:hAnsi="Times New Roman"/>
          <w:sz w:val="24"/>
          <w:szCs w:val="24"/>
        </w:rPr>
        <w:t>2.2.3) Sujeito de Direito no Direito Internacional dos Direitos Humanos</w:t>
      </w:r>
      <w:r>
        <w:rPr>
          <w:rFonts w:ascii="Times New Roman" w:hAnsi="Times New Roman"/>
          <w:sz w:val="24"/>
          <w:szCs w:val="24"/>
        </w:rPr>
        <w:t xml:space="preserve"> (DIDH) ........................................................................................................ 8</w:t>
      </w:r>
      <w:r w:rsidR="009D7E8B">
        <w:rPr>
          <w:rFonts w:ascii="Times New Roman" w:hAnsi="Times New Roman"/>
          <w:sz w:val="24"/>
          <w:szCs w:val="24"/>
        </w:rPr>
        <w:t>7</w:t>
      </w:r>
    </w:p>
    <w:p w14:paraId="51E73E1E" w14:textId="2AAC3E52" w:rsidR="00C44339" w:rsidRPr="002C1356" w:rsidRDefault="00C44339" w:rsidP="00C44339">
      <w:pPr>
        <w:rPr>
          <w:rFonts w:ascii="Times New Roman" w:hAnsi="Times New Roman"/>
          <w:sz w:val="24"/>
          <w:szCs w:val="24"/>
        </w:rPr>
      </w:pPr>
      <w:r w:rsidRPr="009D7E8B">
        <w:rPr>
          <w:rFonts w:ascii="Times New Roman" w:hAnsi="Times New Roman"/>
          <w:b/>
          <w:sz w:val="24"/>
          <w:szCs w:val="24"/>
        </w:rPr>
        <w:t xml:space="preserve">Conclusão </w:t>
      </w:r>
      <w:r>
        <w:rPr>
          <w:rFonts w:ascii="Times New Roman" w:hAnsi="Times New Roman"/>
          <w:sz w:val="24"/>
          <w:szCs w:val="24"/>
        </w:rPr>
        <w:t>........................................................................................</w:t>
      </w:r>
      <w:r w:rsidR="001E79B6">
        <w:rPr>
          <w:rFonts w:ascii="Times New Roman" w:hAnsi="Times New Roman"/>
          <w:sz w:val="24"/>
          <w:szCs w:val="24"/>
        </w:rPr>
        <w:t>............................. 9</w:t>
      </w:r>
      <w:r w:rsidR="009D7E8B">
        <w:rPr>
          <w:rFonts w:ascii="Times New Roman" w:hAnsi="Times New Roman"/>
          <w:sz w:val="24"/>
          <w:szCs w:val="24"/>
        </w:rPr>
        <w:t>7</w:t>
      </w:r>
    </w:p>
    <w:p w14:paraId="2CDF921A" w14:textId="072214CD" w:rsidR="009D7E8B" w:rsidRPr="009D7E8B" w:rsidRDefault="009D7E8B" w:rsidP="009D7E8B">
      <w:pPr>
        <w:spacing w:after="0" w:line="240" w:lineRule="auto"/>
        <w:rPr>
          <w:rFonts w:ascii="Times New Roman" w:hAnsi="Times New Roman"/>
          <w:b/>
          <w:sz w:val="24"/>
          <w:szCs w:val="24"/>
        </w:rPr>
      </w:pPr>
      <w:r w:rsidRPr="009D7E8B">
        <w:rPr>
          <w:rFonts w:ascii="Times New Roman" w:hAnsi="Times New Roman"/>
          <w:b/>
          <w:sz w:val="24"/>
          <w:szCs w:val="24"/>
        </w:rPr>
        <w:t>Bibligrafia</w:t>
      </w:r>
      <w:r>
        <w:rPr>
          <w:rFonts w:ascii="Times New Roman" w:hAnsi="Times New Roman"/>
          <w:sz w:val="24"/>
          <w:szCs w:val="24"/>
        </w:rPr>
        <w:t>.................................................................................................................... 102</w:t>
      </w:r>
    </w:p>
    <w:p w14:paraId="17F4BFC5" w14:textId="77777777" w:rsidR="009D7E8B" w:rsidRDefault="009D7E8B" w:rsidP="009D7E8B">
      <w:pPr>
        <w:spacing w:after="0" w:line="240" w:lineRule="auto"/>
        <w:rPr>
          <w:rFonts w:ascii="Times New Roman" w:hAnsi="Times New Roman"/>
          <w:i/>
          <w:sz w:val="24"/>
          <w:szCs w:val="24"/>
        </w:rPr>
      </w:pPr>
    </w:p>
    <w:p w14:paraId="325E1913" w14:textId="64BD30BD" w:rsidR="003D7DAB" w:rsidRPr="002C1356" w:rsidRDefault="003D7DAB" w:rsidP="00A931C3">
      <w:pPr>
        <w:spacing w:after="0" w:line="240" w:lineRule="auto"/>
        <w:rPr>
          <w:rFonts w:ascii="Times New Roman" w:hAnsi="Times New Roman"/>
          <w:sz w:val="24"/>
          <w:szCs w:val="24"/>
        </w:rPr>
      </w:pPr>
      <w:r w:rsidRPr="002C1356">
        <w:rPr>
          <w:rFonts w:ascii="Times New Roman" w:hAnsi="Times New Roman"/>
          <w:i/>
          <w:sz w:val="24"/>
          <w:szCs w:val="24"/>
        </w:rPr>
        <w:lastRenderedPageBreak/>
        <w:t xml:space="preserve">A função política do que conta a história, na medida em que está preocupado com a verdade factual, é ensinar a aceitação das coisas tais como elas são. </w:t>
      </w:r>
      <w:r w:rsidRPr="002C1356">
        <w:rPr>
          <w:rFonts w:ascii="Times New Roman" w:hAnsi="Times New Roman"/>
          <w:i/>
          <w:sz w:val="24"/>
          <w:szCs w:val="24"/>
        </w:rPr>
        <w:br/>
      </w:r>
      <w:r w:rsidRPr="002C1356">
        <w:rPr>
          <w:rFonts w:ascii="Times New Roman" w:hAnsi="Times New Roman"/>
          <w:sz w:val="24"/>
          <w:szCs w:val="24"/>
        </w:rPr>
        <w:t>— Celso Lafer</w:t>
      </w:r>
    </w:p>
    <w:bookmarkEnd w:id="0"/>
    <w:p w14:paraId="5EF4BEC0" w14:textId="77777777" w:rsidR="003D7DAB" w:rsidRPr="002C1356" w:rsidRDefault="003D7DAB" w:rsidP="003D7DAB">
      <w:pPr>
        <w:rPr>
          <w:rFonts w:ascii="Times New Roman" w:hAnsi="Times New Roman"/>
        </w:rPr>
      </w:pPr>
    </w:p>
    <w:p w14:paraId="659A1FE7" w14:textId="77777777" w:rsidR="003D7DAB" w:rsidRPr="001D40F4" w:rsidRDefault="003D7DAB">
      <w:pPr>
        <w:rPr>
          <w:rFonts w:ascii="Times New Roman" w:eastAsia="Times New Roman" w:hAnsi="Times New Roman"/>
          <w:color w:val="222222"/>
          <w:sz w:val="19"/>
          <w:szCs w:val="19"/>
        </w:rPr>
      </w:pPr>
      <w:r w:rsidRPr="001D40F4">
        <w:rPr>
          <w:rFonts w:ascii="Times New Roman" w:eastAsia="Times New Roman" w:hAnsi="Times New Roman"/>
          <w:color w:val="222222"/>
          <w:sz w:val="19"/>
          <w:szCs w:val="19"/>
        </w:rPr>
        <w:br w:type="page"/>
      </w:r>
    </w:p>
    <w:p w14:paraId="159BE844" w14:textId="51A94A95" w:rsidR="00DB56D2" w:rsidRPr="00DB56D2" w:rsidRDefault="00DB56D2" w:rsidP="00DB56D2">
      <w:pPr>
        <w:spacing w:after="0" w:line="360" w:lineRule="auto"/>
        <w:ind w:left="708" w:firstLine="1"/>
        <w:contextualSpacing/>
        <w:jc w:val="both"/>
        <w:rPr>
          <w:rFonts w:ascii="Times New Roman" w:hAnsi="Times New Roman"/>
          <w:sz w:val="24"/>
          <w:szCs w:val="24"/>
        </w:rPr>
      </w:pPr>
      <w:r>
        <w:rPr>
          <w:rFonts w:ascii="Times" w:hAnsi="Times"/>
          <w:sz w:val="24"/>
          <w:szCs w:val="24"/>
          <w:lang w:val="fr-FR"/>
        </w:rPr>
        <w:lastRenderedPageBreak/>
        <w:t xml:space="preserve">ALMEIDA, G.A </w:t>
      </w:r>
      <w:r>
        <w:rPr>
          <w:rFonts w:ascii="Times" w:hAnsi="Times"/>
          <w:i/>
          <w:sz w:val="24"/>
          <w:szCs w:val="24"/>
          <w:lang w:val="fr-FR"/>
        </w:rPr>
        <w:t>Sujeito de Direitos Humanos :</w:t>
      </w:r>
      <w:r w:rsidRPr="00DB56D2">
        <w:rPr>
          <w:rFonts w:ascii="Times New Roman" w:hAnsi="Times New Roman"/>
          <w:b/>
          <w:sz w:val="28"/>
          <w:szCs w:val="28"/>
        </w:rPr>
        <w:t xml:space="preserve"> </w:t>
      </w:r>
      <w:r w:rsidRPr="00DB56D2">
        <w:rPr>
          <w:rFonts w:ascii="Times New Roman" w:hAnsi="Times New Roman"/>
          <w:sz w:val="24"/>
          <w:szCs w:val="24"/>
        </w:rPr>
        <w:t xml:space="preserve">A proteção da pessoa humana no Direito Internacional </w:t>
      </w:r>
      <w:r>
        <w:rPr>
          <w:rFonts w:ascii="Times New Roman" w:hAnsi="Times New Roman"/>
          <w:sz w:val="24"/>
          <w:szCs w:val="24"/>
        </w:rPr>
        <w:t xml:space="preserve">, São Paulo, 2017. </w:t>
      </w:r>
      <w:r w:rsidRPr="00BD3282">
        <w:rPr>
          <w:rFonts w:ascii="Times New Roman" w:hAnsi="Times New Roman"/>
          <w:sz w:val="24"/>
          <w:szCs w:val="24"/>
        </w:rPr>
        <w:t>11</w:t>
      </w:r>
      <w:r w:rsidR="005B476A">
        <w:rPr>
          <w:rFonts w:ascii="Times New Roman" w:hAnsi="Times New Roman"/>
          <w:sz w:val="24"/>
          <w:szCs w:val="24"/>
        </w:rPr>
        <w:t>0</w:t>
      </w:r>
      <w:r w:rsidR="00BD3282" w:rsidRPr="00BD3282">
        <w:rPr>
          <w:rFonts w:ascii="Times New Roman" w:hAnsi="Times New Roman"/>
          <w:sz w:val="24"/>
          <w:szCs w:val="24"/>
        </w:rPr>
        <w:t xml:space="preserve"> </w:t>
      </w:r>
      <w:r w:rsidRPr="00BD3282">
        <w:rPr>
          <w:rFonts w:ascii="Times New Roman" w:hAnsi="Times New Roman"/>
          <w:sz w:val="24"/>
          <w:szCs w:val="24"/>
        </w:rPr>
        <w:t>p</w:t>
      </w:r>
      <w:r w:rsidR="00BD3282" w:rsidRPr="00BD3282">
        <w:rPr>
          <w:rFonts w:ascii="Times New Roman" w:hAnsi="Times New Roman"/>
          <w:sz w:val="24"/>
          <w:szCs w:val="24"/>
        </w:rPr>
        <w:t>p.</w:t>
      </w:r>
      <w:r w:rsidRPr="00BD3282">
        <w:rPr>
          <w:rFonts w:ascii="Times New Roman" w:hAnsi="Times New Roman"/>
          <w:sz w:val="24"/>
          <w:szCs w:val="24"/>
        </w:rPr>
        <w:t xml:space="preserve"> Tese</w:t>
      </w:r>
      <w:r>
        <w:rPr>
          <w:rFonts w:ascii="Times New Roman" w:hAnsi="Times New Roman"/>
          <w:sz w:val="24"/>
          <w:szCs w:val="24"/>
        </w:rPr>
        <w:t xml:space="preserve"> de Livre Docência IRI-USP</w:t>
      </w:r>
    </w:p>
    <w:p w14:paraId="3C819131" w14:textId="57B88537" w:rsidR="00DB56D2" w:rsidRPr="00DB56D2" w:rsidRDefault="00DB56D2" w:rsidP="002C1356">
      <w:pPr>
        <w:rPr>
          <w:rFonts w:ascii="Times" w:hAnsi="Times"/>
          <w:i/>
          <w:sz w:val="24"/>
          <w:szCs w:val="24"/>
          <w:lang w:val="fr-FR"/>
        </w:rPr>
      </w:pPr>
    </w:p>
    <w:p w14:paraId="6F72EB91" w14:textId="669F283E" w:rsidR="002C1356" w:rsidRDefault="00220533" w:rsidP="002C1356">
      <w:pPr>
        <w:rPr>
          <w:rFonts w:ascii="Times" w:hAnsi="Times"/>
          <w:sz w:val="24"/>
          <w:szCs w:val="24"/>
          <w:lang w:val="fr-FR"/>
        </w:rPr>
      </w:pPr>
      <w:r>
        <w:rPr>
          <w:rFonts w:ascii="Times" w:hAnsi="Times"/>
          <w:sz w:val="24"/>
          <w:szCs w:val="24"/>
          <w:lang w:val="fr-FR"/>
        </w:rPr>
        <w:t>Resumo</w:t>
      </w:r>
      <w:r w:rsidR="002C1356">
        <w:rPr>
          <w:rFonts w:ascii="Times" w:hAnsi="Times"/>
          <w:sz w:val="24"/>
          <w:szCs w:val="24"/>
          <w:lang w:val="fr-FR"/>
        </w:rPr>
        <w:t xml:space="preserve">: </w:t>
      </w:r>
    </w:p>
    <w:p w14:paraId="0C1958F2" w14:textId="5AD8C060" w:rsidR="002C1356" w:rsidRDefault="002C1356" w:rsidP="002C1356">
      <w:pPr>
        <w:rPr>
          <w:rFonts w:ascii="Times New Roman" w:hAnsi="Times New Roman"/>
          <w:sz w:val="24"/>
          <w:szCs w:val="24"/>
        </w:rPr>
      </w:pPr>
      <w:r w:rsidRPr="00453C0C">
        <w:rPr>
          <w:rFonts w:ascii="Times New Roman" w:hAnsi="Times New Roman"/>
          <w:sz w:val="24"/>
          <w:szCs w:val="24"/>
        </w:rPr>
        <w:t xml:space="preserve">Esta tese é constituída de duas partes. A primeira parte são apresentadas as narrativas do sagrado, vale dizer: Sacralidade da Pessoa e a Missão Sagrada da Civilização. Tais narrativas são consideradas antecedentes do posterior surgimento do Direito Internacional dos Direitos Humanos. O texto </w:t>
      </w:r>
      <w:r w:rsidRPr="00453C0C">
        <w:rPr>
          <w:rFonts w:ascii="Times New Roman" w:hAnsi="Times New Roman"/>
          <w:i/>
          <w:sz w:val="24"/>
          <w:szCs w:val="24"/>
        </w:rPr>
        <w:t xml:space="preserve">Os intelectuais e o individualismo </w:t>
      </w:r>
      <w:r w:rsidRPr="00453C0C">
        <w:rPr>
          <w:rFonts w:ascii="Times New Roman" w:hAnsi="Times New Roman"/>
          <w:sz w:val="24"/>
          <w:szCs w:val="24"/>
        </w:rPr>
        <w:t>(1898) de Emile Durkheim, escrito durante as discussões intelectuais que tiveram lugar no decorrer do caso Dreyfus, constitui se em uma narrativa inicial para o aparecimento do conceito de “sacralidade da pessoa”. O artigo vinte e dois do Pacto da Sociedade das Nações é a narrativa a qual estabelece o termo “missão sagrada da civilização”. No tocante ao conceito de civilização é analisado o Direito Internacional das Nações Civilizadas (1815-1919) e posteriormente o Direito Internacional da Humanidade (1919 até o presente). O personagem histórico de Roger Casement está presente como exemplo da possiblidade da missão civilizacional conjugada com a preocupação pela humanidade. A SDN, como primeira organização internacional, acolhe temas relacionados aos direitos humanos: proteção das minorias, sistema de mandatos, questão dos refugiados e luta contra a escravidão. A segunda parte é dedicada ao estudo de dois antecedentes históricos da Declaração Universal dos Direitos Humanos, vale dizer: A Declaração Internacional dos Direitos do Homem, que tem como um de seus principais teóricos o internacionalista russo André N. Mandelstan</w:t>
      </w:r>
      <w:r w:rsidR="008E6AB9">
        <w:rPr>
          <w:rFonts w:ascii="Times New Roman" w:hAnsi="Times New Roman"/>
          <w:sz w:val="24"/>
          <w:szCs w:val="24"/>
        </w:rPr>
        <w:t xml:space="preserve"> e</w:t>
      </w:r>
      <w:r w:rsidRPr="00453C0C">
        <w:rPr>
          <w:rFonts w:ascii="Times New Roman" w:hAnsi="Times New Roman"/>
          <w:sz w:val="24"/>
          <w:szCs w:val="24"/>
        </w:rPr>
        <w:t xml:space="preserve"> </w:t>
      </w:r>
      <w:r w:rsidR="008E6AB9">
        <w:rPr>
          <w:rFonts w:ascii="Times New Roman" w:hAnsi="Times New Roman"/>
          <w:sz w:val="24"/>
          <w:szCs w:val="24"/>
        </w:rPr>
        <w:t>o</w:t>
      </w:r>
      <w:r w:rsidRPr="00453C0C">
        <w:rPr>
          <w:rFonts w:ascii="Times New Roman" w:hAnsi="Times New Roman"/>
          <w:sz w:val="24"/>
          <w:szCs w:val="24"/>
        </w:rPr>
        <w:t xml:space="preserve"> personalismo, enquanto opção ao capitalismo e comunismo, figura como a principal corrente teórica para fundamentação da Declaração Universal dos Direitos Humanos (1948). Logo após é analisado</w:t>
      </w:r>
      <w:r w:rsidR="008E6AB9">
        <w:rPr>
          <w:rFonts w:ascii="Times New Roman" w:hAnsi="Times New Roman"/>
          <w:sz w:val="24"/>
          <w:szCs w:val="24"/>
        </w:rPr>
        <w:t xml:space="preserve"> o</w:t>
      </w:r>
      <w:r w:rsidRPr="00453C0C">
        <w:rPr>
          <w:rFonts w:ascii="Times New Roman" w:hAnsi="Times New Roman"/>
          <w:sz w:val="24"/>
          <w:szCs w:val="24"/>
        </w:rPr>
        <w:t xml:space="preserve"> contexto histórico social da elaboração de três tratados internacionais: 1) A Convenção para melhorar a condição dos feridos nos exércitos em campanha (1864) primeiro tratado do Direito Internacional Humanitário; 2) A Convenção de Genebra do Estatuto do Refugiado (1951) primeiro tratado do Direito Internacional dos Refugiados e 3) A Convenção Internacional para Eliminação de todas as formas de discriminação Racial (1965) primeiro tratado do Direito Internacional </w:t>
      </w:r>
      <w:r w:rsidR="008E6AB9">
        <w:rPr>
          <w:rFonts w:ascii="Times New Roman" w:hAnsi="Times New Roman"/>
          <w:sz w:val="24"/>
          <w:szCs w:val="24"/>
        </w:rPr>
        <w:t>dos Direitos Humanos.</w:t>
      </w:r>
      <w:r w:rsidRPr="00453C0C">
        <w:rPr>
          <w:rFonts w:ascii="Times New Roman" w:hAnsi="Times New Roman"/>
          <w:sz w:val="24"/>
          <w:szCs w:val="24"/>
        </w:rPr>
        <w:t>Na conclusão apresento o conceito de sujeito de direitos humanos e proponho uma interlocução constante entre Direito Cosmopolita e Proteção Internacional dos Direitos Humanos da Pessoa. Essa interlocução deve ser norteada</w:t>
      </w:r>
      <w:r>
        <w:rPr>
          <w:rFonts w:ascii="Times New Roman" w:hAnsi="Times New Roman"/>
          <w:sz w:val="24"/>
          <w:szCs w:val="24"/>
        </w:rPr>
        <w:t xml:space="preserve"> pela ideia de liberdade como agir conjunto de Hannah Arendt</w:t>
      </w:r>
      <w:r w:rsidR="008E6AB9">
        <w:rPr>
          <w:rFonts w:ascii="Times New Roman" w:hAnsi="Times New Roman"/>
          <w:sz w:val="24"/>
          <w:szCs w:val="24"/>
        </w:rPr>
        <w:t>.</w:t>
      </w:r>
      <w:r w:rsidRPr="002C1356">
        <w:rPr>
          <w:rFonts w:ascii="Times New Roman" w:hAnsi="Times New Roman"/>
          <w:sz w:val="24"/>
          <w:szCs w:val="24"/>
        </w:rPr>
        <w:t xml:space="preserve"> </w:t>
      </w:r>
    </w:p>
    <w:p w14:paraId="1DD547DB" w14:textId="77777777" w:rsidR="002C1356" w:rsidRDefault="002C1356" w:rsidP="002C1356">
      <w:pPr>
        <w:rPr>
          <w:rFonts w:ascii="Times New Roman" w:hAnsi="Times New Roman"/>
          <w:sz w:val="24"/>
          <w:szCs w:val="24"/>
        </w:rPr>
      </w:pPr>
    </w:p>
    <w:p w14:paraId="2880E0D4" w14:textId="77777777" w:rsidR="00204620" w:rsidRPr="001D40F4" w:rsidRDefault="00204620">
      <w:pPr>
        <w:rPr>
          <w:rFonts w:ascii="Times New Roman" w:hAnsi="Times New Roman"/>
          <w:sz w:val="24"/>
          <w:szCs w:val="24"/>
        </w:rPr>
      </w:pPr>
      <w:r w:rsidRPr="001D40F4">
        <w:rPr>
          <w:rFonts w:ascii="Times New Roman" w:hAnsi="Times New Roman"/>
          <w:sz w:val="24"/>
          <w:szCs w:val="24"/>
        </w:rPr>
        <w:br w:type="page"/>
      </w:r>
    </w:p>
    <w:p w14:paraId="16BC3452" w14:textId="02D7C4DE" w:rsidR="00DB56D2" w:rsidRDefault="00DB56D2" w:rsidP="002C1356">
      <w:pPr>
        <w:rPr>
          <w:rFonts w:ascii="Times New Roman" w:hAnsi="Times New Roman"/>
          <w:sz w:val="24"/>
          <w:szCs w:val="24"/>
          <w:lang w:val="en-US"/>
        </w:rPr>
      </w:pPr>
      <w:r>
        <w:rPr>
          <w:rFonts w:ascii="Times New Roman" w:hAnsi="Times New Roman"/>
          <w:sz w:val="24"/>
          <w:szCs w:val="24"/>
          <w:lang w:val="en-US"/>
        </w:rPr>
        <w:lastRenderedPageBreak/>
        <w:t xml:space="preserve">ALMEIDA, G.A </w:t>
      </w:r>
      <w:r w:rsidRPr="00DB56D2">
        <w:rPr>
          <w:rFonts w:ascii="Times New Roman" w:hAnsi="Times New Roman"/>
          <w:i/>
          <w:sz w:val="24"/>
          <w:szCs w:val="24"/>
          <w:lang w:val="en-US"/>
        </w:rPr>
        <w:t>Subject of Human Rights: Protection of the human person in International Law,</w:t>
      </w:r>
      <w:r w:rsidRPr="00DB56D2">
        <w:rPr>
          <w:rFonts w:ascii="Times New Roman" w:hAnsi="Times New Roman"/>
          <w:sz w:val="24"/>
          <w:szCs w:val="24"/>
          <w:lang w:val="en-US"/>
        </w:rPr>
        <w:t xml:space="preserve"> São Paulo, 2017. 11</w:t>
      </w:r>
      <w:r w:rsidR="005B476A">
        <w:rPr>
          <w:rFonts w:ascii="Times New Roman" w:hAnsi="Times New Roman"/>
          <w:sz w:val="24"/>
          <w:szCs w:val="24"/>
          <w:lang w:val="en-US"/>
        </w:rPr>
        <w:t>0</w:t>
      </w:r>
      <w:r w:rsidR="00220533">
        <w:rPr>
          <w:rFonts w:ascii="Times New Roman" w:hAnsi="Times New Roman"/>
          <w:sz w:val="24"/>
          <w:szCs w:val="24"/>
          <w:lang w:val="en-US"/>
        </w:rPr>
        <w:t xml:space="preserve"> </w:t>
      </w:r>
      <w:r w:rsidRPr="00DB56D2">
        <w:rPr>
          <w:rFonts w:ascii="Times New Roman" w:hAnsi="Times New Roman"/>
          <w:sz w:val="24"/>
          <w:szCs w:val="24"/>
          <w:lang w:val="en-US"/>
        </w:rPr>
        <w:t>p</w:t>
      </w:r>
      <w:r w:rsidR="00220533">
        <w:rPr>
          <w:rFonts w:ascii="Times New Roman" w:hAnsi="Times New Roman"/>
          <w:sz w:val="24"/>
          <w:szCs w:val="24"/>
          <w:lang w:val="en-US"/>
        </w:rPr>
        <w:t>p.</w:t>
      </w:r>
      <w:r w:rsidRPr="00DB56D2">
        <w:rPr>
          <w:rFonts w:ascii="Times New Roman" w:hAnsi="Times New Roman"/>
          <w:sz w:val="24"/>
          <w:szCs w:val="24"/>
          <w:lang w:val="en-US"/>
        </w:rPr>
        <w:t xml:space="preserve"> Habilitation Thesis IRI-USP</w:t>
      </w:r>
    </w:p>
    <w:p w14:paraId="6297619C" w14:textId="77777777" w:rsidR="00DB56D2" w:rsidRDefault="00DB56D2" w:rsidP="002C1356">
      <w:pPr>
        <w:rPr>
          <w:rFonts w:ascii="Times New Roman" w:hAnsi="Times New Roman"/>
          <w:sz w:val="24"/>
          <w:szCs w:val="24"/>
          <w:lang w:val="en-US"/>
        </w:rPr>
      </w:pPr>
    </w:p>
    <w:p w14:paraId="651A15EA" w14:textId="3A6C2A16" w:rsidR="003E0342" w:rsidRDefault="003E0342" w:rsidP="002C1356">
      <w:pPr>
        <w:rPr>
          <w:rFonts w:ascii="Times New Roman" w:hAnsi="Times New Roman"/>
          <w:sz w:val="24"/>
          <w:szCs w:val="24"/>
          <w:lang w:val="en-US"/>
        </w:rPr>
      </w:pPr>
      <w:r>
        <w:rPr>
          <w:rFonts w:ascii="Times New Roman" w:hAnsi="Times New Roman"/>
          <w:sz w:val="24"/>
          <w:szCs w:val="24"/>
          <w:lang w:val="en-US"/>
        </w:rPr>
        <w:t xml:space="preserve">Abstract: </w:t>
      </w:r>
    </w:p>
    <w:p w14:paraId="14D17617" w14:textId="712B19C2" w:rsidR="003E0342" w:rsidRPr="00B95391" w:rsidRDefault="003E0342" w:rsidP="003E0342">
      <w:pPr>
        <w:rPr>
          <w:lang w:val="en-US"/>
        </w:rPr>
      </w:pPr>
      <w:r w:rsidRPr="00204620">
        <w:rPr>
          <w:rFonts w:ascii="Times New Roman" w:hAnsi="Times New Roman"/>
          <w:sz w:val="24"/>
          <w:szCs w:val="24"/>
          <w:lang w:val="en-US"/>
        </w:rPr>
        <w:t xml:space="preserve">This thesis is </w:t>
      </w:r>
      <w:r>
        <w:rPr>
          <w:rFonts w:ascii="Times New Roman" w:hAnsi="Times New Roman"/>
          <w:sz w:val="24"/>
          <w:szCs w:val="24"/>
          <w:lang w:val="en-US"/>
        </w:rPr>
        <w:t xml:space="preserve">comprised of two parts. In the first, the narratives of the sacred are introduced, that is: the Sacrality of the Person and the Scred Mission of Civilization. Such narratives are precedent to the later arising of the International Law of the Human Rights. The text </w:t>
      </w:r>
      <w:r w:rsidRPr="00B95391">
        <w:rPr>
          <w:rFonts w:ascii="Times New Roman" w:hAnsi="Times New Roman"/>
          <w:i/>
          <w:sz w:val="24"/>
          <w:szCs w:val="24"/>
          <w:lang w:val="en-US"/>
        </w:rPr>
        <w:t xml:space="preserve">Os intelectuais e o individualismo </w:t>
      </w:r>
      <w:r w:rsidRPr="00B95391">
        <w:rPr>
          <w:rFonts w:ascii="Times New Roman" w:hAnsi="Times New Roman"/>
          <w:sz w:val="24"/>
          <w:szCs w:val="24"/>
          <w:lang w:val="en-US"/>
        </w:rPr>
        <w:t>(1898)</w:t>
      </w:r>
      <w:r>
        <w:rPr>
          <w:rFonts w:ascii="Times New Roman" w:hAnsi="Times New Roman"/>
          <w:sz w:val="24"/>
          <w:szCs w:val="24"/>
          <w:lang w:val="en-US"/>
        </w:rPr>
        <w:t xml:space="preserve">, by </w:t>
      </w:r>
      <w:r w:rsidRPr="00B95391">
        <w:rPr>
          <w:rFonts w:ascii="Times New Roman" w:hAnsi="Times New Roman"/>
          <w:sz w:val="24"/>
          <w:szCs w:val="24"/>
          <w:lang w:val="en-US"/>
        </w:rPr>
        <w:t xml:space="preserve">Emile Durkheim, </w:t>
      </w:r>
      <w:r>
        <w:rPr>
          <w:rFonts w:ascii="Times New Roman" w:hAnsi="Times New Roman"/>
          <w:sz w:val="24"/>
          <w:szCs w:val="24"/>
          <w:lang w:val="en-US"/>
        </w:rPr>
        <w:t xml:space="preserve">written during the intellectual discussions that took place throughout the </w:t>
      </w:r>
      <w:r w:rsidRPr="00B95391">
        <w:rPr>
          <w:rFonts w:ascii="Times New Roman" w:hAnsi="Times New Roman"/>
          <w:sz w:val="24"/>
          <w:szCs w:val="24"/>
          <w:lang w:val="en-US"/>
        </w:rPr>
        <w:t>Dreyfus</w:t>
      </w:r>
      <w:r>
        <w:rPr>
          <w:rFonts w:ascii="Times New Roman" w:hAnsi="Times New Roman"/>
          <w:sz w:val="24"/>
          <w:szCs w:val="24"/>
          <w:lang w:val="en-US"/>
        </w:rPr>
        <w:t xml:space="preserve"> case</w:t>
      </w:r>
      <w:r w:rsidRPr="00B95391">
        <w:rPr>
          <w:rFonts w:ascii="Times New Roman" w:hAnsi="Times New Roman"/>
          <w:sz w:val="24"/>
          <w:szCs w:val="24"/>
          <w:lang w:val="en-US"/>
        </w:rPr>
        <w:t xml:space="preserve">, </w:t>
      </w:r>
      <w:r>
        <w:rPr>
          <w:rFonts w:ascii="Times New Roman" w:hAnsi="Times New Roman"/>
          <w:sz w:val="24"/>
          <w:szCs w:val="24"/>
          <w:lang w:val="en-US"/>
        </w:rPr>
        <w:t xml:space="preserve">is an initial narrative for the emergence of the concept “sacrality of the person”. Article 22 of the League of Nation Society is the narrative that establishes the term “sacred mission of society”. Regarding the concept of civilization, the International Law of Civilized Nations </w:t>
      </w:r>
      <w:r w:rsidRPr="00B95391">
        <w:rPr>
          <w:rFonts w:ascii="Times New Roman" w:hAnsi="Times New Roman"/>
          <w:sz w:val="24"/>
          <w:szCs w:val="24"/>
          <w:lang w:val="en-US"/>
        </w:rPr>
        <w:t>(1815-1919)</w:t>
      </w:r>
      <w:r>
        <w:rPr>
          <w:rFonts w:ascii="Times New Roman" w:hAnsi="Times New Roman"/>
          <w:sz w:val="24"/>
          <w:szCs w:val="24"/>
          <w:lang w:val="en-US"/>
        </w:rPr>
        <w:t xml:space="preserve"> is analyzed and subsequently the International Law of Humanity </w:t>
      </w:r>
      <w:r w:rsidRPr="00B95391">
        <w:rPr>
          <w:rFonts w:ascii="Times New Roman" w:hAnsi="Times New Roman"/>
          <w:sz w:val="24"/>
          <w:szCs w:val="24"/>
          <w:lang w:val="en-US"/>
        </w:rPr>
        <w:t xml:space="preserve">(1919 </w:t>
      </w:r>
      <w:r>
        <w:rPr>
          <w:rFonts w:ascii="Times New Roman" w:hAnsi="Times New Roman"/>
          <w:sz w:val="24"/>
          <w:szCs w:val="24"/>
          <w:lang w:val="en-US"/>
        </w:rPr>
        <w:t>onwards</w:t>
      </w:r>
      <w:r w:rsidRPr="00B95391">
        <w:rPr>
          <w:rFonts w:ascii="Times New Roman" w:hAnsi="Times New Roman"/>
          <w:sz w:val="24"/>
          <w:szCs w:val="24"/>
          <w:lang w:val="en-US"/>
        </w:rPr>
        <w:t xml:space="preserve">). </w:t>
      </w:r>
      <w:r>
        <w:rPr>
          <w:rFonts w:ascii="Times New Roman" w:hAnsi="Times New Roman"/>
          <w:sz w:val="24"/>
          <w:szCs w:val="24"/>
          <w:lang w:val="en-US"/>
        </w:rPr>
        <w:t xml:space="preserve">Historical character </w:t>
      </w:r>
      <w:r w:rsidRPr="00B95391">
        <w:rPr>
          <w:rFonts w:ascii="Times New Roman" w:hAnsi="Times New Roman"/>
          <w:sz w:val="24"/>
          <w:szCs w:val="24"/>
          <w:lang w:val="en-US"/>
        </w:rPr>
        <w:t xml:space="preserve">Roger Casement </w:t>
      </w:r>
      <w:r>
        <w:rPr>
          <w:rFonts w:ascii="Times New Roman" w:hAnsi="Times New Roman"/>
          <w:sz w:val="24"/>
          <w:szCs w:val="24"/>
          <w:lang w:val="en-US"/>
        </w:rPr>
        <w:t xml:space="preserve">is present as an example of the possibility of the civilizational conjugated with the preoccupation for humanity. SDN, as the first international organization, gathers themes related to human rights: protection for minorities, mandate system, the issue of the refuges and the struggle against slavery. The second part is dedicated to the study of </w:t>
      </w:r>
      <w:r w:rsidRPr="008D6FA6">
        <w:rPr>
          <w:rFonts w:ascii="Times New Roman" w:hAnsi="Times New Roman"/>
          <w:sz w:val="24"/>
          <w:szCs w:val="24"/>
          <w:lang w:val="en-US"/>
        </w:rPr>
        <w:t>two historical precedents</w:t>
      </w:r>
      <w:r>
        <w:rPr>
          <w:rFonts w:ascii="Times New Roman" w:hAnsi="Times New Roman"/>
          <w:sz w:val="24"/>
          <w:szCs w:val="24"/>
          <w:lang w:val="en-US"/>
        </w:rPr>
        <w:t xml:space="preserve"> of the Universal Declaration of Human Rights, that is: the International Declaration of the Rights of Man, which has as one of its main </w:t>
      </w:r>
      <w:r w:rsidRPr="008D6FA6">
        <w:rPr>
          <w:rFonts w:ascii="Times New Roman" w:hAnsi="Times New Roman"/>
          <w:sz w:val="24"/>
          <w:szCs w:val="24"/>
          <w:lang w:val="en-US"/>
        </w:rPr>
        <w:t>scholars the Russian inter</w:t>
      </w:r>
      <w:r w:rsidR="008D6FA6" w:rsidRPr="008D6FA6">
        <w:rPr>
          <w:rFonts w:ascii="Times New Roman" w:hAnsi="Times New Roman"/>
          <w:sz w:val="24"/>
          <w:szCs w:val="24"/>
          <w:lang w:val="en-US"/>
        </w:rPr>
        <w:t>nationalist André N. Mandelstan</w:t>
      </w:r>
      <w:r w:rsidR="008D6FA6">
        <w:rPr>
          <w:rFonts w:ascii="Times New Roman" w:hAnsi="Times New Roman"/>
          <w:sz w:val="24"/>
          <w:szCs w:val="24"/>
          <w:lang w:val="en-US"/>
        </w:rPr>
        <w:t>, and t</w:t>
      </w:r>
      <w:r>
        <w:rPr>
          <w:rFonts w:ascii="Times New Roman" w:hAnsi="Times New Roman"/>
          <w:sz w:val="24"/>
          <w:szCs w:val="24"/>
          <w:lang w:val="en-US"/>
        </w:rPr>
        <w:t xml:space="preserve">he personalism, as an option to capitalism and communism, stands as the main theoretical framework to anchor the Universal Declaration of Human Rights </w:t>
      </w:r>
      <w:r w:rsidRPr="00B95391">
        <w:rPr>
          <w:rFonts w:ascii="Times New Roman" w:hAnsi="Times New Roman"/>
          <w:sz w:val="24"/>
          <w:szCs w:val="24"/>
          <w:lang w:val="en-US"/>
        </w:rPr>
        <w:t xml:space="preserve">(1948). </w:t>
      </w:r>
      <w:r>
        <w:rPr>
          <w:rFonts w:ascii="Times New Roman" w:hAnsi="Times New Roman"/>
          <w:sz w:val="24"/>
          <w:szCs w:val="24"/>
          <w:lang w:val="en-US"/>
        </w:rPr>
        <w:t xml:space="preserve">Immediately after that, we analyze the social and historical context of the writing of the three international treaties: </w:t>
      </w:r>
      <w:r w:rsidRPr="00B95391">
        <w:rPr>
          <w:rFonts w:ascii="Times New Roman" w:hAnsi="Times New Roman"/>
          <w:sz w:val="24"/>
          <w:szCs w:val="24"/>
          <w:lang w:val="en-US"/>
        </w:rPr>
        <w:t xml:space="preserve">1) </w:t>
      </w:r>
      <w:r>
        <w:rPr>
          <w:rFonts w:ascii="Times New Roman" w:hAnsi="Times New Roman"/>
          <w:sz w:val="24"/>
          <w:szCs w:val="24"/>
          <w:lang w:val="en-US"/>
        </w:rPr>
        <w:t xml:space="preserve">The </w:t>
      </w:r>
      <w:r w:rsidRPr="00B95391">
        <w:rPr>
          <w:rFonts w:ascii="Times New Roman" w:hAnsi="Times New Roman"/>
          <w:sz w:val="24"/>
          <w:szCs w:val="24"/>
          <w:lang w:val="en-US"/>
        </w:rPr>
        <w:t>Conven</w:t>
      </w:r>
      <w:r>
        <w:rPr>
          <w:rFonts w:ascii="Times New Roman" w:hAnsi="Times New Roman"/>
          <w:sz w:val="24"/>
          <w:szCs w:val="24"/>
          <w:lang w:val="en-US"/>
        </w:rPr>
        <w:t xml:space="preserve">tion to improve the condition for those wounded in war </w:t>
      </w:r>
      <w:r w:rsidRPr="00B95391">
        <w:rPr>
          <w:rFonts w:ascii="Times New Roman" w:hAnsi="Times New Roman"/>
          <w:sz w:val="24"/>
          <w:szCs w:val="24"/>
          <w:lang w:val="en-US"/>
        </w:rPr>
        <w:t>(1864)</w:t>
      </w:r>
      <w:r>
        <w:rPr>
          <w:rFonts w:ascii="Times New Roman" w:hAnsi="Times New Roman"/>
          <w:sz w:val="24"/>
          <w:szCs w:val="24"/>
          <w:lang w:val="en-US"/>
        </w:rPr>
        <w:t>, first treaty of the International Humanitarian Law</w:t>
      </w:r>
      <w:r w:rsidRPr="00B95391">
        <w:rPr>
          <w:rFonts w:ascii="Times New Roman" w:hAnsi="Times New Roman"/>
          <w:sz w:val="24"/>
          <w:szCs w:val="24"/>
          <w:lang w:val="en-US"/>
        </w:rPr>
        <w:t xml:space="preserve">; 2) </w:t>
      </w:r>
      <w:r>
        <w:rPr>
          <w:rFonts w:ascii="Times New Roman" w:hAnsi="Times New Roman"/>
          <w:sz w:val="24"/>
          <w:szCs w:val="24"/>
          <w:lang w:val="en-US"/>
        </w:rPr>
        <w:t xml:space="preserve">the Geneva Convention of the Refugee Statute </w:t>
      </w:r>
      <w:r w:rsidRPr="00B95391">
        <w:rPr>
          <w:rFonts w:ascii="Times New Roman" w:hAnsi="Times New Roman"/>
          <w:sz w:val="24"/>
          <w:szCs w:val="24"/>
          <w:lang w:val="en-US"/>
        </w:rPr>
        <w:t>(1951)</w:t>
      </w:r>
      <w:r>
        <w:rPr>
          <w:rFonts w:ascii="Times New Roman" w:hAnsi="Times New Roman"/>
          <w:sz w:val="24"/>
          <w:szCs w:val="24"/>
          <w:lang w:val="en-US"/>
        </w:rPr>
        <w:t xml:space="preserve">, the first treaty of the International Law for Refugees; and </w:t>
      </w:r>
      <w:r w:rsidRPr="00B95391">
        <w:rPr>
          <w:rFonts w:ascii="Times New Roman" w:hAnsi="Times New Roman"/>
          <w:sz w:val="24"/>
          <w:szCs w:val="24"/>
          <w:lang w:val="en-US"/>
        </w:rPr>
        <w:t xml:space="preserve">3) </w:t>
      </w:r>
      <w:r w:rsidR="008D6FA6">
        <w:rPr>
          <w:rFonts w:ascii="Times New Roman" w:hAnsi="Times New Roman"/>
          <w:sz w:val="24"/>
          <w:szCs w:val="24"/>
          <w:lang w:val="en-US"/>
        </w:rPr>
        <w:t>the International Convention on</w:t>
      </w:r>
      <w:r>
        <w:rPr>
          <w:rFonts w:ascii="Times New Roman" w:hAnsi="Times New Roman"/>
          <w:sz w:val="24"/>
          <w:szCs w:val="24"/>
          <w:lang w:val="en-US"/>
        </w:rPr>
        <w:t xml:space="preserve"> </w:t>
      </w:r>
      <w:r w:rsidR="008D6FA6">
        <w:rPr>
          <w:rFonts w:ascii="Times New Roman" w:hAnsi="Times New Roman"/>
          <w:sz w:val="24"/>
          <w:szCs w:val="24"/>
          <w:lang w:val="en-US"/>
        </w:rPr>
        <w:t>the Elimination</w:t>
      </w:r>
      <w:r>
        <w:rPr>
          <w:rFonts w:ascii="Times New Roman" w:hAnsi="Times New Roman"/>
          <w:sz w:val="24"/>
          <w:szCs w:val="24"/>
          <w:lang w:val="en-US"/>
        </w:rPr>
        <w:t xml:space="preserve"> </w:t>
      </w:r>
      <w:r w:rsidR="008D6FA6">
        <w:rPr>
          <w:rFonts w:ascii="Times New Roman" w:hAnsi="Times New Roman"/>
          <w:sz w:val="24"/>
          <w:szCs w:val="24"/>
          <w:lang w:val="en-US"/>
        </w:rPr>
        <w:t xml:space="preserve">of </w:t>
      </w:r>
      <w:r>
        <w:rPr>
          <w:rFonts w:ascii="Times New Roman" w:hAnsi="Times New Roman"/>
          <w:sz w:val="24"/>
          <w:szCs w:val="24"/>
          <w:lang w:val="en-US"/>
        </w:rPr>
        <w:t xml:space="preserve">All Forms of Racial Discrimination </w:t>
      </w:r>
      <w:r w:rsidRPr="00B95391">
        <w:rPr>
          <w:rFonts w:ascii="Times New Roman" w:hAnsi="Times New Roman"/>
          <w:sz w:val="24"/>
          <w:szCs w:val="24"/>
          <w:lang w:val="en-US"/>
        </w:rPr>
        <w:t>(1965)</w:t>
      </w:r>
      <w:r>
        <w:rPr>
          <w:rFonts w:ascii="Times New Roman" w:hAnsi="Times New Roman"/>
          <w:sz w:val="24"/>
          <w:szCs w:val="24"/>
          <w:lang w:val="en-US"/>
        </w:rPr>
        <w:t>,</w:t>
      </w:r>
      <w:r w:rsidRPr="00B95391">
        <w:rPr>
          <w:rFonts w:ascii="Times New Roman" w:hAnsi="Times New Roman"/>
          <w:sz w:val="24"/>
          <w:szCs w:val="24"/>
          <w:lang w:val="en-US"/>
        </w:rPr>
        <w:t xml:space="preserve"> </w:t>
      </w:r>
      <w:r>
        <w:rPr>
          <w:rFonts w:ascii="Times New Roman" w:hAnsi="Times New Roman"/>
          <w:sz w:val="24"/>
          <w:szCs w:val="24"/>
          <w:lang w:val="en-US"/>
        </w:rPr>
        <w:t xml:space="preserve">the </w:t>
      </w:r>
      <w:r w:rsidRPr="008D6FA6">
        <w:rPr>
          <w:rFonts w:ascii="Times New Roman" w:hAnsi="Times New Roman"/>
          <w:sz w:val="24"/>
          <w:szCs w:val="24"/>
          <w:lang w:val="en-US"/>
        </w:rPr>
        <w:t>first</w:t>
      </w:r>
      <w:r>
        <w:rPr>
          <w:rFonts w:ascii="Times New Roman" w:hAnsi="Times New Roman"/>
          <w:sz w:val="24"/>
          <w:szCs w:val="24"/>
          <w:lang w:val="en-US"/>
        </w:rPr>
        <w:t xml:space="preserve"> treaty of the International Law</w:t>
      </w:r>
      <w:r w:rsidR="008D6FA6">
        <w:rPr>
          <w:rFonts w:ascii="Times New Roman" w:hAnsi="Times New Roman"/>
          <w:sz w:val="24"/>
          <w:szCs w:val="24"/>
          <w:lang w:val="en-US"/>
        </w:rPr>
        <w:t xml:space="preserve"> of Human Rights</w:t>
      </w:r>
      <w:r>
        <w:rPr>
          <w:rFonts w:ascii="Times New Roman" w:hAnsi="Times New Roman"/>
          <w:sz w:val="24"/>
          <w:szCs w:val="24"/>
          <w:lang w:val="en-US"/>
        </w:rPr>
        <w:t xml:space="preserve"> </w:t>
      </w:r>
      <w:r w:rsidR="008D6FA6">
        <w:rPr>
          <w:rFonts w:ascii="Times" w:hAnsi="Times"/>
          <w:sz w:val="24"/>
          <w:szCs w:val="24"/>
          <w:lang w:val="en-US"/>
        </w:rPr>
        <w:t>.</w:t>
      </w:r>
      <w:r>
        <w:rPr>
          <w:rFonts w:ascii="Times New Roman" w:hAnsi="Times New Roman"/>
          <w:sz w:val="24"/>
          <w:szCs w:val="24"/>
          <w:lang w:val="en-US"/>
        </w:rPr>
        <w:t xml:space="preserve">In the conclusion, I present the concept of subject of human rights and advance a constant dialogue between Cosmopolitan Law and the International Protection of the Human Rights. This dialogue should be guided by the idea of freedom as a collective act in </w:t>
      </w:r>
      <w:r w:rsidRPr="00B95391">
        <w:rPr>
          <w:rFonts w:ascii="Times New Roman" w:hAnsi="Times New Roman"/>
          <w:sz w:val="24"/>
          <w:szCs w:val="24"/>
          <w:lang w:val="en-US"/>
        </w:rPr>
        <w:t xml:space="preserve">Hannah Arendt. </w:t>
      </w:r>
    </w:p>
    <w:p w14:paraId="6D652186" w14:textId="77777777" w:rsidR="003E0342" w:rsidRDefault="003E0342">
      <w:pPr>
        <w:rPr>
          <w:rFonts w:ascii="Times" w:hAnsi="Times"/>
          <w:sz w:val="24"/>
          <w:szCs w:val="24"/>
          <w:lang w:val="en-US"/>
        </w:rPr>
      </w:pPr>
      <w:r>
        <w:rPr>
          <w:rFonts w:ascii="Times" w:hAnsi="Times"/>
          <w:sz w:val="24"/>
          <w:szCs w:val="24"/>
          <w:lang w:val="en-US"/>
        </w:rPr>
        <w:br w:type="page"/>
      </w:r>
    </w:p>
    <w:p w14:paraId="4AEE7B74" w14:textId="2AA8332B" w:rsidR="00DB56D2" w:rsidRDefault="00DB56D2" w:rsidP="002C1356">
      <w:pPr>
        <w:rPr>
          <w:rFonts w:ascii="Times" w:hAnsi="Times"/>
          <w:sz w:val="24"/>
          <w:szCs w:val="24"/>
          <w:lang w:val="en-US"/>
        </w:rPr>
      </w:pPr>
      <w:r>
        <w:rPr>
          <w:rFonts w:ascii="Times" w:hAnsi="Times"/>
          <w:sz w:val="24"/>
          <w:szCs w:val="24"/>
          <w:lang w:val="en-US"/>
        </w:rPr>
        <w:lastRenderedPageBreak/>
        <w:t xml:space="preserve">ALMEIDA, G.A </w:t>
      </w:r>
      <w:r w:rsidRPr="00DB56D2">
        <w:rPr>
          <w:rFonts w:ascii="Times" w:hAnsi="Times"/>
          <w:i/>
          <w:sz w:val="24"/>
          <w:szCs w:val="24"/>
          <w:lang w:val="en-US"/>
        </w:rPr>
        <w:t>Sujet des droits de l'homme: Protection de la personne humaine en droit international,</w:t>
      </w:r>
      <w:r w:rsidRPr="00DB56D2">
        <w:rPr>
          <w:rFonts w:ascii="Times" w:hAnsi="Times"/>
          <w:sz w:val="24"/>
          <w:szCs w:val="24"/>
          <w:lang w:val="en-US"/>
        </w:rPr>
        <w:t xml:space="preserve"> São Paulo, 2017. 11</w:t>
      </w:r>
      <w:r w:rsidR="005B476A">
        <w:rPr>
          <w:rFonts w:ascii="Times" w:hAnsi="Times"/>
          <w:sz w:val="24"/>
          <w:szCs w:val="24"/>
          <w:lang w:val="en-US"/>
        </w:rPr>
        <w:t>0</w:t>
      </w:r>
      <w:r w:rsidR="00220533">
        <w:rPr>
          <w:rFonts w:ascii="Times" w:hAnsi="Times"/>
          <w:sz w:val="24"/>
          <w:szCs w:val="24"/>
          <w:lang w:val="en-US"/>
        </w:rPr>
        <w:t xml:space="preserve"> </w:t>
      </w:r>
      <w:r w:rsidRPr="00DB56D2">
        <w:rPr>
          <w:rFonts w:ascii="Times" w:hAnsi="Times"/>
          <w:sz w:val="24"/>
          <w:szCs w:val="24"/>
          <w:lang w:val="en-US"/>
        </w:rPr>
        <w:t>p</w:t>
      </w:r>
      <w:r w:rsidR="00220533">
        <w:rPr>
          <w:rFonts w:ascii="Times" w:hAnsi="Times"/>
          <w:sz w:val="24"/>
          <w:szCs w:val="24"/>
          <w:lang w:val="en-US"/>
        </w:rPr>
        <w:t>p.</w:t>
      </w:r>
      <w:r w:rsidRPr="00DB56D2">
        <w:rPr>
          <w:rFonts w:ascii="Times" w:hAnsi="Times"/>
          <w:sz w:val="24"/>
          <w:szCs w:val="24"/>
          <w:lang w:val="en-US"/>
        </w:rPr>
        <w:t xml:space="preserve"> Thèse IRI-USP</w:t>
      </w:r>
    </w:p>
    <w:p w14:paraId="63FF2C5D" w14:textId="77777777" w:rsidR="00DB56D2" w:rsidRDefault="00DB56D2" w:rsidP="002C1356">
      <w:pPr>
        <w:rPr>
          <w:rFonts w:ascii="Times" w:hAnsi="Times"/>
          <w:sz w:val="24"/>
          <w:szCs w:val="24"/>
          <w:lang w:val="en-US"/>
        </w:rPr>
      </w:pPr>
    </w:p>
    <w:p w14:paraId="47F16ECC" w14:textId="0E5B6A06" w:rsidR="002C1356" w:rsidRPr="001D40F4" w:rsidRDefault="008D6FA6" w:rsidP="002C1356">
      <w:pPr>
        <w:rPr>
          <w:rFonts w:ascii="Times" w:hAnsi="Times"/>
          <w:sz w:val="24"/>
          <w:szCs w:val="24"/>
        </w:rPr>
      </w:pPr>
      <w:r w:rsidRPr="001D40F4">
        <w:rPr>
          <w:rFonts w:ascii="Times" w:hAnsi="Times"/>
          <w:sz w:val="24"/>
          <w:szCs w:val="24"/>
        </w:rPr>
        <w:t>Résumé</w:t>
      </w:r>
      <w:r w:rsidR="003E0342" w:rsidRPr="001D40F4">
        <w:rPr>
          <w:rFonts w:ascii="Times" w:hAnsi="Times"/>
          <w:sz w:val="24"/>
          <w:szCs w:val="24"/>
        </w:rPr>
        <w:t xml:space="preserve">: </w:t>
      </w:r>
    </w:p>
    <w:p w14:paraId="73462B57" w14:textId="24A30683" w:rsidR="002C1356" w:rsidRPr="009E5A6E" w:rsidRDefault="002C1356" w:rsidP="002C1356">
      <w:pPr>
        <w:rPr>
          <w:rFonts w:ascii="Times New Roman" w:hAnsi="Times New Roman"/>
          <w:sz w:val="24"/>
          <w:szCs w:val="24"/>
          <w:lang w:val="fr-FR"/>
        </w:rPr>
      </w:pPr>
      <w:r w:rsidRPr="00B93C3A">
        <w:rPr>
          <w:rFonts w:ascii="Times" w:hAnsi="Times"/>
          <w:sz w:val="24"/>
          <w:szCs w:val="24"/>
          <w:lang w:val="fr-FR"/>
        </w:rPr>
        <w:t>Cette thèse est constituée de deux parties. La première présente les récits</w:t>
      </w:r>
      <w:r>
        <w:rPr>
          <w:rFonts w:ascii="Times" w:hAnsi="Times"/>
          <w:sz w:val="24"/>
          <w:szCs w:val="24"/>
          <w:lang w:val="fr-FR"/>
        </w:rPr>
        <w:t xml:space="preserve"> du sacré, c’est-à-</w:t>
      </w:r>
      <w:r w:rsidRPr="00B93C3A">
        <w:rPr>
          <w:rFonts w:ascii="Times" w:hAnsi="Times"/>
          <w:sz w:val="24"/>
          <w:szCs w:val="24"/>
          <w:lang w:val="fr-FR"/>
        </w:rPr>
        <w:t>dire: La Sacralité de la Personne Humaine et la Mission Sacrée de la Civilisation. Ceux-ci sont considérés antérieurs à l’émergence du Droit International des Droits de l’Ho</w:t>
      </w:r>
      <w:r w:rsidRPr="009E5A6E">
        <w:rPr>
          <w:rFonts w:ascii="Times" w:hAnsi="Times"/>
          <w:sz w:val="24"/>
          <w:szCs w:val="24"/>
          <w:lang w:val="fr-FR"/>
        </w:rPr>
        <w:t xml:space="preserve">mme. Le texte </w:t>
      </w:r>
      <w:r w:rsidRPr="009E5A6E">
        <w:rPr>
          <w:rFonts w:ascii="Times" w:hAnsi="Times"/>
          <w:i/>
          <w:sz w:val="24"/>
          <w:szCs w:val="24"/>
          <w:lang w:val="fr-FR"/>
        </w:rPr>
        <w:t>Les intellectuels et l’individualisme</w:t>
      </w:r>
      <w:r w:rsidRPr="009E5A6E">
        <w:rPr>
          <w:rFonts w:ascii="Times" w:hAnsi="Times"/>
          <w:sz w:val="24"/>
          <w:szCs w:val="24"/>
          <w:lang w:val="fr-FR"/>
        </w:rPr>
        <w:t xml:space="preserve"> (1898) d’Émile Durkheim, écrit </w:t>
      </w:r>
      <w:r>
        <w:rPr>
          <w:rFonts w:ascii="Times" w:hAnsi="Times"/>
          <w:sz w:val="24"/>
          <w:szCs w:val="24"/>
          <w:lang w:val="fr-FR"/>
        </w:rPr>
        <w:t>lors d</w:t>
      </w:r>
      <w:r w:rsidRPr="009E5A6E">
        <w:rPr>
          <w:rFonts w:ascii="Times" w:hAnsi="Times"/>
          <w:sz w:val="24"/>
          <w:szCs w:val="24"/>
          <w:lang w:val="fr-FR"/>
        </w:rPr>
        <w:t xml:space="preserve">es discussions intellectuelles à l’occasion de l’affaire Dreyfus, représente un fondement du concept de “sacralité de la personne”. L’article 22 du Pacte de la Société des Nations est à l’origine de l’expression « mission sacrée de civilisation ». </w:t>
      </w:r>
      <w:r>
        <w:rPr>
          <w:rFonts w:ascii="Times" w:hAnsi="Times"/>
          <w:sz w:val="24"/>
          <w:szCs w:val="24"/>
          <w:lang w:val="fr-FR"/>
        </w:rPr>
        <w:t>Quant au</w:t>
      </w:r>
      <w:r w:rsidRPr="009E5A6E">
        <w:rPr>
          <w:rFonts w:ascii="Times" w:hAnsi="Times"/>
          <w:sz w:val="24"/>
          <w:szCs w:val="24"/>
          <w:lang w:val="fr-FR"/>
        </w:rPr>
        <w:t xml:space="preserve"> concept de civilisation, </w:t>
      </w:r>
      <w:r>
        <w:rPr>
          <w:rFonts w:ascii="Times" w:hAnsi="Times"/>
          <w:sz w:val="24"/>
          <w:szCs w:val="24"/>
          <w:lang w:val="fr-FR"/>
        </w:rPr>
        <w:t xml:space="preserve">la recherche s’appuie sur </w:t>
      </w:r>
      <w:r w:rsidRPr="009E5A6E">
        <w:rPr>
          <w:rFonts w:ascii="Times" w:eastAsia="Times New Roman" w:hAnsi="Times"/>
          <w:sz w:val="24"/>
          <w:szCs w:val="24"/>
          <w:lang w:val="fr-FR"/>
        </w:rPr>
        <w:t xml:space="preserve">Les principes généraux de droit reconnus par les nations civilisées </w:t>
      </w:r>
      <w:r w:rsidRPr="009E5A6E">
        <w:rPr>
          <w:rFonts w:ascii="Times" w:hAnsi="Times"/>
          <w:sz w:val="24"/>
          <w:szCs w:val="24"/>
          <w:lang w:val="fr-FR"/>
        </w:rPr>
        <w:t xml:space="preserve">(1815-1919) puis </w:t>
      </w:r>
      <w:r>
        <w:rPr>
          <w:rFonts w:ascii="Times" w:hAnsi="Times"/>
          <w:sz w:val="24"/>
          <w:szCs w:val="24"/>
          <w:lang w:val="fr-FR"/>
        </w:rPr>
        <w:t xml:space="preserve">sur </w:t>
      </w:r>
      <w:r w:rsidRPr="009E5A6E">
        <w:rPr>
          <w:rFonts w:ascii="Times" w:hAnsi="Times"/>
          <w:sz w:val="24"/>
          <w:szCs w:val="24"/>
          <w:lang w:val="fr-FR"/>
        </w:rPr>
        <w:t>le Droit International de l’Humanité (1919 jusqu’à nos jours). Le personnage historique Roger Casement est présent</w:t>
      </w:r>
      <w:r>
        <w:rPr>
          <w:rFonts w:ascii="Times" w:hAnsi="Times"/>
          <w:sz w:val="24"/>
          <w:szCs w:val="24"/>
          <w:lang w:val="fr-FR"/>
        </w:rPr>
        <w:t>é</w:t>
      </w:r>
      <w:r w:rsidRPr="009E5A6E">
        <w:rPr>
          <w:rFonts w:ascii="Times" w:hAnsi="Times"/>
          <w:sz w:val="24"/>
          <w:szCs w:val="24"/>
          <w:lang w:val="fr-FR"/>
        </w:rPr>
        <w:t xml:space="preserve"> comme un exemple de la </w:t>
      </w:r>
      <w:r>
        <w:rPr>
          <w:rFonts w:ascii="Times" w:hAnsi="Times"/>
          <w:sz w:val="24"/>
          <w:szCs w:val="24"/>
          <w:lang w:val="fr-FR"/>
        </w:rPr>
        <w:t>potentialité</w:t>
      </w:r>
      <w:r w:rsidRPr="009E5A6E">
        <w:rPr>
          <w:rFonts w:ascii="Times" w:hAnsi="Times"/>
          <w:sz w:val="24"/>
          <w:szCs w:val="24"/>
          <w:lang w:val="fr-FR"/>
        </w:rPr>
        <w:t xml:space="preserve"> de la mission civilisationnelle associée à la </w:t>
      </w:r>
      <w:r>
        <w:rPr>
          <w:rFonts w:ascii="Times" w:hAnsi="Times"/>
          <w:sz w:val="24"/>
          <w:szCs w:val="24"/>
          <w:lang w:val="fr-FR"/>
        </w:rPr>
        <w:t xml:space="preserve">prise en compte de </w:t>
      </w:r>
      <w:r w:rsidRPr="009E5A6E">
        <w:rPr>
          <w:rFonts w:ascii="Times" w:hAnsi="Times"/>
          <w:sz w:val="24"/>
          <w:szCs w:val="24"/>
          <w:lang w:val="fr-FR"/>
        </w:rPr>
        <w:t xml:space="preserve">l’humain. La SDN, </w:t>
      </w:r>
      <w:r>
        <w:rPr>
          <w:rFonts w:ascii="Times" w:hAnsi="Times"/>
          <w:sz w:val="24"/>
          <w:szCs w:val="24"/>
          <w:lang w:val="fr-FR"/>
        </w:rPr>
        <w:t xml:space="preserve">en tant que </w:t>
      </w:r>
      <w:r w:rsidRPr="009E5A6E">
        <w:rPr>
          <w:rFonts w:ascii="Times" w:hAnsi="Times"/>
          <w:sz w:val="24"/>
          <w:szCs w:val="24"/>
          <w:lang w:val="fr-FR"/>
        </w:rPr>
        <w:t>première organisation internationale, agrée des thèmes liés au</w:t>
      </w:r>
      <w:r>
        <w:rPr>
          <w:rFonts w:ascii="Times" w:hAnsi="Times"/>
          <w:sz w:val="24"/>
          <w:szCs w:val="24"/>
          <w:lang w:val="fr-FR"/>
        </w:rPr>
        <w:t>x</w:t>
      </w:r>
      <w:r w:rsidRPr="009E5A6E">
        <w:rPr>
          <w:rFonts w:ascii="Times" w:hAnsi="Times"/>
          <w:sz w:val="24"/>
          <w:szCs w:val="24"/>
          <w:lang w:val="fr-FR"/>
        </w:rPr>
        <w:t xml:space="preserve"> droit</w:t>
      </w:r>
      <w:r>
        <w:rPr>
          <w:rFonts w:ascii="Times" w:hAnsi="Times"/>
          <w:sz w:val="24"/>
          <w:szCs w:val="24"/>
          <w:lang w:val="fr-FR"/>
        </w:rPr>
        <w:t>s</w:t>
      </w:r>
      <w:r w:rsidRPr="009E5A6E">
        <w:rPr>
          <w:rFonts w:ascii="Times" w:hAnsi="Times"/>
          <w:sz w:val="24"/>
          <w:szCs w:val="24"/>
          <w:lang w:val="fr-FR"/>
        </w:rPr>
        <w:t xml:space="preserve"> de l’Homme : protections des minorités, système de mandats, questions des réfug</w:t>
      </w:r>
      <w:r w:rsidR="00C619DE">
        <w:rPr>
          <w:rFonts w:ascii="Times" w:hAnsi="Times"/>
          <w:sz w:val="24"/>
          <w:szCs w:val="24"/>
          <w:lang w:val="fr-FR"/>
        </w:rPr>
        <w:t>iés et lute contre l’esclavage.</w:t>
      </w:r>
      <w:r w:rsidRPr="009E5A6E">
        <w:rPr>
          <w:rFonts w:ascii="Times" w:hAnsi="Times"/>
          <w:sz w:val="24"/>
          <w:szCs w:val="24"/>
          <w:lang w:val="fr-FR"/>
        </w:rPr>
        <w:t xml:space="preserve"> La seconde partie est dédiée à l’étude de deux antécédents historiques de la Déclaration Universelle des Droits de l’Homme, soit : la Déclaration Inter</w:t>
      </w:r>
      <w:r>
        <w:rPr>
          <w:rFonts w:ascii="Times" w:hAnsi="Times"/>
          <w:sz w:val="24"/>
          <w:szCs w:val="24"/>
          <w:lang w:val="fr-FR"/>
        </w:rPr>
        <w:t>nationale des Droits de l’Homme</w:t>
      </w:r>
      <w:r w:rsidRPr="009E5A6E">
        <w:rPr>
          <w:rFonts w:ascii="Times" w:hAnsi="Times"/>
          <w:sz w:val="24"/>
          <w:szCs w:val="24"/>
          <w:lang w:val="fr-FR"/>
        </w:rPr>
        <w:t xml:space="preserve"> qui a comme un de ses principaux t</w:t>
      </w:r>
      <w:r>
        <w:rPr>
          <w:rFonts w:ascii="Times" w:hAnsi="Times"/>
          <w:sz w:val="24"/>
          <w:szCs w:val="24"/>
          <w:lang w:val="fr-FR"/>
        </w:rPr>
        <w:t>héoriciens l’internationaliste r</w:t>
      </w:r>
      <w:r w:rsidRPr="009E5A6E">
        <w:rPr>
          <w:rFonts w:ascii="Times" w:hAnsi="Times"/>
          <w:sz w:val="24"/>
          <w:szCs w:val="24"/>
          <w:lang w:val="fr-FR"/>
        </w:rPr>
        <w:t xml:space="preserve">usse André </w:t>
      </w:r>
      <w:r>
        <w:rPr>
          <w:rFonts w:ascii="Times New Roman" w:hAnsi="Times New Roman"/>
          <w:sz w:val="24"/>
          <w:szCs w:val="24"/>
          <w:lang w:val="fr-FR"/>
        </w:rPr>
        <w:t>N. Mandelstan</w:t>
      </w:r>
      <w:r w:rsidR="008D6FA6">
        <w:rPr>
          <w:rFonts w:ascii="Times New Roman" w:hAnsi="Times New Roman"/>
          <w:sz w:val="24"/>
          <w:szCs w:val="24"/>
          <w:lang w:val="fr-FR"/>
        </w:rPr>
        <w:t xml:space="preserve"> et l</w:t>
      </w:r>
      <w:r w:rsidRPr="009E5A6E">
        <w:rPr>
          <w:rFonts w:ascii="Times New Roman" w:hAnsi="Times New Roman"/>
          <w:sz w:val="24"/>
          <w:szCs w:val="24"/>
          <w:lang w:val="fr-FR"/>
        </w:rPr>
        <w:t xml:space="preserve">e personnalisme, </w:t>
      </w:r>
      <w:r>
        <w:rPr>
          <w:rFonts w:ascii="Times New Roman" w:hAnsi="Times New Roman"/>
          <w:sz w:val="24"/>
          <w:szCs w:val="24"/>
          <w:lang w:val="fr-FR"/>
        </w:rPr>
        <w:t>comme troisième option entre le capitalisme et</w:t>
      </w:r>
      <w:r w:rsidRPr="009E5A6E">
        <w:rPr>
          <w:rFonts w:ascii="Times New Roman" w:hAnsi="Times New Roman"/>
          <w:sz w:val="24"/>
          <w:szCs w:val="24"/>
          <w:lang w:val="fr-FR"/>
        </w:rPr>
        <w:t xml:space="preserve"> le communisme, figure comme le principal courant théorique </w:t>
      </w:r>
      <w:r>
        <w:rPr>
          <w:rFonts w:ascii="Times New Roman" w:hAnsi="Times New Roman"/>
          <w:sz w:val="24"/>
          <w:szCs w:val="24"/>
          <w:lang w:val="fr-FR"/>
        </w:rPr>
        <w:t>qui fonde</w:t>
      </w:r>
      <w:r w:rsidRPr="009E5A6E">
        <w:rPr>
          <w:rFonts w:ascii="Times New Roman" w:hAnsi="Times New Roman"/>
          <w:sz w:val="24"/>
          <w:szCs w:val="24"/>
          <w:lang w:val="fr-FR"/>
        </w:rPr>
        <w:t xml:space="preserve"> la Déclaration Universelle des Droits de l’Homme (1948). </w:t>
      </w:r>
      <w:r>
        <w:rPr>
          <w:rFonts w:ascii="Times New Roman" w:hAnsi="Times New Roman"/>
          <w:sz w:val="24"/>
          <w:szCs w:val="24"/>
          <w:lang w:val="fr-FR"/>
        </w:rPr>
        <w:t>Ensuite</w:t>
      </w:r>
      <w:r w:rsidRPr="009E5A6E">
        <w:rPr>
          <w:rFonts w:ascii="Times New Roman" w:hAnsi="Times New Roman"/>
          <w:sz w:val="24"/>
          <w:szCs w:val="24"/>
          <w:lang w:val="fr-FR"/>
        </w:rPr>
        <w:t xml:space="preserve">, le contexte historico-social de l’élaboration des trois traités internationaux est appréhendé : 1) La Convention de Genève pour </w:t>
      </w:r>
      <w:r w:rsidRPr="009E5A6E">
        <w:rPr>
          <w:rFonts w:ascii="Times" w:hAnsi="Times"/>
          <w:sz w:val="24"/>
          <w:szCs w:val="24"/>
          <w:lang w:val="fr-FR"/>
        </w:rPr>
        <w:t>l'amélioration du sort des militaires blessés dans les armées en campagne (1864)</w:t>
      </w:r>
      <w:r>
        <w:rPr>
          <w:rFonts w:ascii="Times" w:hAnsi="Times"/>
          <w:sz w:val="24"/>
          <w:szCs w:val="24"/>
          <w:lang w:val="fr-FR"/>
        </w:rPr>
        <w:t>,</w:t>
      </w:r>
      <w:r w:rsidRPr="009E5A6E">
        <w:rPr>
          <w:rFonts w:ascii="Times" w:hAnsi="Times"/>
          <w:sz w:val="24"/>
          <w:szCs w:val="24"/>
          <w:lang w:val="fr-FR"/>
        </w:rPr>
        <w:t xml:space="preserve"> premier traité du Droit International Humanitaire ; 2) La Convention de Genève relative au Statut du Réfugié (1951)</w:t>
      </w:r>
      <w:r>
        <w:rPr>
          <w:rFonts w:ascii="Times" w:hAnsi="Times"/>
          <w:sz w:val="24"/>
          <w:szCs w:val="24"/>
          <w:lang w:val="fr-FR"/>
        </w:rPr>
        <w:t>,</w:t>
      </w:r>
      <w:r w:rsidRPr="009E5A6E">
        <w:rPr>
          <w:rFonts w:ascii="Times" w:hAnsi="Times"/>
          <w:sz w:val="24"/>
          <w:szCs w:val="24"/>
          <w:lang w:val="fr-FR"/>
        </w:rPr>
        <w:t xml:space="preserve"> premier traité du Droit International des Réfugiés et 3) La </w:t>
      </w:r>
      <w:r w:rsidRPr="009E5A6E">
        <w:rPr>
          <w:rFonts w:ascii="Times" w:hAnsi="Times"/>
          <w:iCs/>
          <w:sz w:val="24"/>
          <w:szCs w:val="24"/>
          <w:lang w:val="fr-FR"/>
        </w:rPr>
        <w:t>Convention internationale</w:t>
      </w:r>
      <w:r w:rsidRPr="009E5A6E">
        <w:rPr>
          <w:rFonts w:ascii="Times" w:hAnsi="Times"/>
          <w:sz w:val="24"/>
          <w:szCs w:val="24"/>
          <w:lang w:val="fr-FR"/>
        </w:rPr>
        <w:t xml:space="preserve"> sur </w:t>
      </w:r>
      <w:r w:rsidRPr="009E5A6E">
        <w:rPr>
          <w:rFonts w:ascii="Times" w:hAnsi="Times"/>
          <w:iCs/>
          <w:sz w:val="24"/>
          <w:szCs w:val="24"/>
          <w:lang w:val="fr-FR"/>
        </w:rPr>
        <w:t>l'élimination de toutes formes de discrimination raciale</w:t>
      </w:r>
      <w:r>
        <w:rPr>
          <w:rFonts w:ascii="Times" w:hAnsi="Times"/>
          <w:iCs/>
          <w:sz w:val="24"/>
          <w:szCs w:val="24"/>
          <w:lang w:val="fr-FR"/>
        </w:rPr>
        <w:t xml:space="preserve"> (1965), </w:t>
      </w:r>
      <w:r w:rsidRPr="009E5A6E">
        <w:rPr>
          <w:rFonts w:ascii="Times" w:hAnsi="Times"/>
          <w:sz w:val="24"/>
          <w:szCs w:val="24"/>
          <w:lang w:val="fr-FR"/>
        </w:rPr>
        <w:t>premier traité du Droit International</w:t>
      </w:r>
      <w:r>
        <w:rPr>
          <w:rFonts w:ascii="Times" w:hAnsi="Times"/>
          <w:sz w:val="24"/>
          <w:szCs w:val="24"/>
          <w:lang w:val="fr-FR"/>
        </w:rPr>
        <w:t xml:space="preserve"> </w:t>
      </w:r>
      <w:r w:rsidR="00EE6EF5">
        <w:rPr>
          <w:rFonts w:ascii="Times" w:hAnsi="Times"/>
          <w:sz w:val="24"/>
          <w:szCs w:val="24"/>
          <w:lang w:val="fr-FR"/>
        </w:rPr>
        <w:t>des Droits de L’</w:t>
      </w:r>
      <w:r w:rsidR="008D6FA6">
        <w:rPr>
          <w:rFonts w:ascii="Times" w:hAnsi="Times"/>
          <w:sz w:val="24"/>
          <w:szCs w:val="24"/>
          <w:lang w:val="fr-FR"/>
        </w:rPr>
        <w:t>homme</w:t>
      </w:r>
      <w:r>
        <w:rPr>
          <w:rFonts w:ascii="Times" w:hAnsi="Times"/>
          <w:sz w:val="24"/>
          <w:szCs w:val="24"/>
          <w:lang w:val="fr-FR"/>
        </w:rPr>
        <w:t>. En conclusion, je présente le concept de sujet de droits humains et je propose un dialogue constant entre Droit Cosmopolitique et Protection Internationale des Droits de la Personne Humaine. Ce dialogue doit être guidé par l’idée de liberté comme action</w:t>
      </w:r>
      <w:r w:rsidR="008D6FA6">
        <w:rPr>
          <w:rFonts w:ascii="Times" w:hAnsi="Times"/>
          <w:sz w:val="24"/>
          <w:szCs w:val="24"/>
          <w:lang w:val="fr-FR"/>
        </w:rPr>
        <w:t xml:space="preserve"> conjointe</w:t>
      </w:r>
      <w:r>
        <w:rPr>
          <w:rFonts w:ascii="Times" w:hAnsi="Times"/>
          <w:sz w:val="24"/>
          <w:szCs w:val="24"/>
          <w:lang w:val="fr-FR"/>
        </w:rPr>
        <w:t xml:space="preserve"> à partir de l’œuvre de Hannah Arendt.</w:t>
      </w:r>
    </w:p>
    <w:p w14:paraId="65F99819" w14:textId="77777777" w:rsidR="002C1356" w:rsidRDefault="002C1356" w:rsidP="002C1356">
      <w:pPr>
        <w:rPr>
          <w:rFonts w:ascii="Times New Roman" w:hAnsi="Times New Roman"/>
          <w:sz w:val="24"/>
          <w:szCs w:val="24"/>
        </w:rPr>
      </w:pPr>
    </w:p>
    <w:p w14:paraId="6F409BC0" w14:textId="646A05FB" w:rsidR="002C1356" w:rsidRPr="002064D6" w:rsidRDefault="002C1356" w:rsidP="002C1356">
      <w:pPr>
        <w:jc w:val="both"/>
        <w:rPr>
          <w:rFonts w:ascii="Times New Roman" w:hAnsi="Times New Roman"/>
          <w:sz w:val="24"/>
          <w:szCs w:val="24"/>
        </w:rPr>
      </w:pPr>
    </w:p>
    <w:p w14:paraId="0E88F351" w14:textId="77777777" w:rsidR="002C1356" w:rsidRDefault="002C1356">
      <w:pPr>
        <w:rPr>
          <w:rFonts w:ascii="Times New Roman" w:hAnsi="Times New Roman"/>
          <w:b/>
          <w:sz w:val="24"/>
          <w:szCs w:val="24"/>
          <w:u w:val="single"/>
        </w:rPr>
      </w:pPr>
      <w:r>
        <w:rPr>
          <w:rFonts w:ascii="Times New Roman" w:hAnsi="Times New Roman"/>
          <w:b/>
          <w:sz w:val="24"/>
          <w:szCs w:val="24"/>
          <w:u w:val="single"/>
        </w:rPr>
        <w:br w:type="page"/>
      </w:r>
    </w:p>
    <w:p w14:paraId="684768BA" w14:textId="5434F432" w:rsidR="00156CFA" w:rsidRPr="008301C5" w:rsidRDefault="00156CFA" w:rsidP="003D7DAB">
      <w:pPr>
        <w:pStyle w:val="PargrafodaLista"/>
        <w:spacing w:line="360" w:lineRule="auto"/>
        <w:ind w:left="850"/>
        <w:rPr>
          <w:rFonts w:ascii="Times New Roman" w:hAnsi="Times New Roman"/>
          <w:b/>
          <w:sz w:val="24"/>
          <w:szCs w:val="24"/>
        </w:rPr>
      </w:pPr>
      <w:r w:rsidRPr="008301C5">
        <w:rPr>
          <w:rFonts w:ascii="Times New Roman" w:hAnsi="Times New Roman"/>
          <w:b/>
          <w:sz w:val="24"/>
          <w:szCs w:val="24"/>
        </w:rPr>
        <w:lastRenderedPageBreak/>
        <w:t>Introdução</w:t>
      </w:r>
    </w:p>
    <w:p w14:paraId="1689A4EE" w14:textId="6A9AEB11" w:rsidR="00156CFA" w:rsidRPr="002C1356" w:rsidRDefault="007B1127"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Na última </w:t>
      </w:r>
      <w:r w:rsidR="00615C35" w:rsidRPr="002C1356">
        <w:rPr>
          <w:rFonts w:ascii="Times New Roman" w:hAnsi="Times New Roman"/>
          <w:sz w:val="24"/>
          <w:szCs w:val="24"/>
        </w:rPr>
        <w:t>Olimpíada</w:t>
      </w:r>
      <w:r w:rsidRPr="002C1356">
        <w:rPr>
          <w:rFonts w:ascii="Times New Roman" w:hAnsi="Times New Roman"/>
          <w:sz w:val="24"/>
          <w:szCs w:val="24"/>
        </w:rPr>
        <w:t xml:space="preserve">, </w:t>
      </w:r>
      <w:r w:rsidR="00615C35" w:rsidRPr="002C1356">
        <w:rPr>
          <w:rFonts w:ascii="Times New Roman" w:hAnsi="Times New Roman"/>
          <w:sz w:val="24"/>
          <w:szCs w:val="24"/>
        </w:rPr>
        <w:t xml:space="preserve">no </w:t>
      </w:r>
      <w:r w:rsidR="00201C57" w:rsidRPr="002C1356">
        <w:rPr>
          <w:rFonts w:ascii="Times New Roman" w:hAnsi="Times New Roman"/>
          <w:sz w:val="24"/>
          <w:szCs w:val="24"/>
        </w:rPr>
        <w:t xml:space="preserve">Rio de Janeiro (2016), pela primeira vez na história </w:t>
      </w:r>
      <w:r w:rsidR="00615C35" w:rsidRPr="002C1356">
        <w:rPr>
          <w:rFonts w:ascii="Times New Roman" w:hAnsi="Times New Roman"/>
          <w:sz w:val="24"/>
          <w:szCs w:val="24"/>
        </w:rPr>
        <w:t>do evento</w:t>
      </w:r>
      <w:r w:rsidR="00201C57" w:rsidRPr="002C1356">
        <w:rPr>
          <w:rFonts w:ascii="Times New Roman" w:hAnsi="Times New Roman"/>
          <w:sz w:val="24"/>
          <w:szCs w:val="24"/>
        </w:rPr>
        <w:t>, h</w:t>
      </w:r>
      <w:r w:rsidR="00842E9F" w:rsidRPr="002C1356">
        <w:rPr>
          <w:rFonts w:ascii="Times New Roman" w:hAnsi="Times New Roman"/>
          <w:sz w:val="24"/>
          <w:szCs w:val="24"/>
        </w:rPr>
        <w:t>ouve a participação de um “time de refugiados”</w:t>
      </w:r>
      <w:r w:rsidR="00842E9F" w:rsidRPr="002C1356">
        <w:rPr>
          <w:rStyle w:val="Refdenotaderodap"/>
          <w:rFonts w:ascii="Times New Roman" w:hAnsi="Times New Roman"/>
          <w:sz w:val="24"/>
          <w:szCs w:val="24"/>
        </w:rPr>
        <w:footnoteReference w:id="2"/>
      </w:r>
      <w:r w:rsidR="00842E9F" w:rsidRPr="002C1356">
        <w:rPr>
          <w:rFonts w:ascii="Times New Roman" w:hAnsi="Times New Roman"/>
          <w:sz w:val="24"/>
          <w:szCs w:val="24"/>
        </w:rPr>
        <w:t xml:space="preserve"> formado por dez atletas</w:t>
      </w:r>
      <w:r w:rsidR="00201C57" w:rsidRPr="002C1356">
        <w:rPr>
          <w:rFonts w:ascii="Times New Roman" w:hAnsi="Times New Roman"/>
          <w:sz w:val="24"/>
          <w:szCs w:val="24"/>
        </w:rPr>
        <w:t>, originados da</w:t>
      </w:r>
      <w:r w:rsidR="00842E9F" w:rsidRPr="002C1356">
        <w:rPr>
          <w:rFonts w:ascii="Times New Roman" w:hAnsi="Times New Roman"/>
          <w:sz w:val="24"/>
          <w:szCs w:val="24"/>
        </w:rPr>
        <w:t xml:space="preserve"> Síria, República Democrática do Congo</w:t>
      </w:r>
      <w:r w:rsidR="00615C35" w:rsidRPr="002C1356">
        <w:rPr>
          <w:rFonts w:ascii="Times New Roman" w:hAnsi="Times New Roman"/>
          <w:sz w:val="24"/>
          <w:szCs w:val="24"/>
        </w:rPr>
        <w:t xml:space="preserve">, do </w:t>
      </w:r>
      <w:r w:rsidR="00A23E7D" w:rsidRPr="002C1356">
        <w:rPr>
          <w:rFonts w:ascii="Times New Roman" w:hAnsi="Times New Roman"/>
          <w:sz w:val="24"/>
          <w:szCs w:val="24"/>
        </w:rPr>
        <w:t xml:space="preserve">Sudão do Sul e </w:t>
      </w:r>
      <w:r w:rsidR="00615C35" w:rsidRPr="002C1356">
        <w:rPr>
          <w:rFonts w:ascii="Times New Roman" w:hAnsi="Times New Roman"/>
          <w:sz w:val="24"/>
          <w:szCs w:val="24"/>
        </w:rPr>
        <w:t xml:space="preserve">da </w:t>
      </w:r>
      <w:r w:rsidR="00A23E7D" w:rsidRPr="002C1356">
        <w:rPr>
          <w:rFonts w:ascii="Times New Roman" w:hAnsi="Times New Roman"/>
          <w:sz w:val="24"/>
          <w:szCs w:val="24"/>
        </w:rPr>
        <w:t>Etiópia.</w:t>
      </w:r>
    </w:p>
    <w:p w14:paraId="3988ED84" w14:textId="57A83EE6" w:rsidR="00A23E7D" w:rsidRPr="002C1356" w:rsidRDefault="00A23E7D"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artista plástica Yara Said, uma refugiada síria, desenhou uma bandeira para </w:t>
      </w:r>
      <w:r w:rsidR="00615C35" w:rsidRPr="002C1356">
        <w:rPr>
          <w:rFonts w:ascii="Times New Roman" w:hAnsi="Times New Roman"/>
          <w:sz w:val="24"/>
          <w:szCs w:val="24"/>
        </w:rPr>
        <w:t xml:space="preserve">esse </w:t>
      </w:r>
      <w:r w:rsidRPr="002C1356">
        <w:rPr>
          <w:rFonts w:ascii="Times New Roman" w:hAnsi="Times New Roman"/>
          <w:sz w:val="24"/>
          <w:szCs w:val="24"/>
        </w:rPr>
        <w:t xml:space="preserve">time (toda laranja com uma faixa preta). Yara explicou que a bandeira é inspirada no colete </w:t>
      </w:r>
      <w:r w:rsidR="00615C35" w:rsidRPr="002C1356">
        <w:rPr>
          <w:rFonts w:ascii="Times New Roman" w:hAnsi="Times New Roman"/>
          <w:sz w:val="24"/>
          <w:szCs w:val="24"/>
        </w:rPr>
        <w:t>salva-vidas</w:t>
      </w:r>
      <w:r w:rsidRPr="002C1356">
        <w:rPr>
          <w:rFonts w:ascii="Times New Roman" w:hAnsi="Times New Roman"/>
          <w:sz w:val="24"/>
          <w:szCs w:val="24"/>
        </w:rPr>
        <w:t>: um símbolo de solidariedade.</w:t>
      </w:r>
    </w:p>
    <w:p w14:paraId="550CBD7D" w14:textId="56C5BCA2" w:rsidR="00A23E7D" w:rsidRPr="002C1356" w:rsidRDefault="00615C35"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No entanto, </w:t>
      </w:r>
      <w:r w:rsidR="00A23E7D" w:rsidRPr="002C1356">
        <w:rPr>
          <w:rFonts w:ascii="Times New Roman" w:hAnsi="Times New Roman"/>
          <w:sz w:val="24"/>
          <w:szCs w:val="24"/>
        </w:rPr>
        <w:t>na abertura dos jogos olímpicos</w:t>
      </w:r>
      <w:r w:rsidR="00B72221" w:rsidRPr="002C1356">
        <w:rPr>
          <w:rFonts w:ascii="Times New Roman" w:hAnsi="Times New Roman"/>
          <w:sz w:val="24"/>
          <w:szCs w:val="24"/>
        </w:rPr>
        <w:t>,</w:t>
      </w:r>
      <w:r w:rsidR="00A23E7D" w:rsidRPr="002C1356">
        <w:rPr>
          <w:rFonts w:ascii="Times New Roman" w:hAnsi="Times New Roman"/>
          <w:sz w:val="24"/>
          <w:szCs w:val="24"/>
        </w:rPr>
        <w:t xml:space="preserve"> bem como em todos os outros momentos das </w:t>
      </w:r>
      <w:r w:rsidR="00AA0EF9" w:rsidRPr="002C1356">
        <w:rPr>
          <w:rFonts w:ascii="Times New Roman" w:hAnsi="Times New Roman"/>
          <w:sz w:val="24"/>
          <w:szCs w:val="24"/>
        </w:rPr>
        <w:t>Olímpiadas</w:t>
      </w:r>
      <w:r w:rsidR="00A23E7D" w:rsidRPr="002C1356">
        <w:rPr>
          <w:rFonts w:ascii="Times New Roman" w:hAnsi="Times New Roman"/>
          <w:sz w:val="24"/>
          <w:szCs w:val="24"/>
        </w:rPr>
        <w:t xml:space="preserve">, a bandeira dos “refugiados” não </w:t>
      </w:r>
      <w:r w:rsidR="000344F6" w:rsidRPr="002C1356">
        <w:rPr>
          <w:rFonts w:ascii="Times New Roman" w:hAnsi="Times New Roman"/>
          <w:sz w:val="24"/>
          <w:szCs w:val="24"/>
        </w:rPr>
        <w:t xml:space="preserve">pôde </w:t>
      </w:r>
      <w:r w:rsidR="00A23E7D" w:rsidRPr="002C1356">
        <w:rPr>
          <w:rFonts w:ascii="Times New Roman" w:hAnsi="Times New Roman"/>
          <w:sz w:val="24"/>
          <w:szCs w:val="24"/>
        </w:rPr>
        <w:t>ser usada</w:t>
      </w:r>
      <w:r w:rsidR="00201C57" w:rsidRPr="002C1356">
        <w:rPr>
          <w:rFonts w:ascii="Times New Roman" w:hAnsi="Times New Roman"/>
          <w:sz w:val="24"/>
          <w:szCs w:val="24"/>
        </w:rPr>
        <w:t>,</w:t>
      </w:r>
      <w:r w:rsidR="00A23E7D" w:rsidRPr="002C1356">
        <w:rPr>
          <w:rFonts w:ascii="Times New Roman" w:hAnsi="Times New Roman"/>
          <w:sz w:val="24"/>
          <w:szCs w:val="24"/>
        </w:rPr>
        <w:t xml:space="preserve"> </w:t>
      </w:r>
      <w:r w:rsidR="00201C57" w:rsidRPr="002C1356">
        <w:rPr>
          <w:rFonts w:ascii="Times New Roman" w:hAnsi="Times New Roman"/>
          <w:sz w:val="24"/>
          <w:szCs w:val="24"/>
        </w:rPr>
        <w:t xml:space="preserve">uma vez que esse grupo de pessoas </w:t>
      </w:r>
      <w:r w:rsidR="00A23E7D" w:rsidRPr="002C1356">
        <w:rPr>
          <w:rFonts w:ascii="Times New Roman" w:hAnsi="Times New Roman"/>
          <w:sz w:val="24"/>
          <w:szCs w:val="24"/>
        </w:rPr>
        <w:t>não era reconhecido como um sujeito de Direito na comunidade</w:t>
      </w:r>
      <w:r w:rsidR="00201C57" w:rsidRPr="002C1356">
        <w:rPr>
          <w:rFonts w:ascii="Times New Roman" w:hAnsi="Times New Roman"/>
          <w:sz w:val="24"/>
          <w:szCs w:val="24"/>
        </w:rPr>
        <w:t xml:space="preserve"> internacional e, portanto, não possuía personalidade jurídica e </w:t>
      </w:r>
      <w:r w:rsidR="00B045A3" w:rsidRPr="002C1356">
        <w:rPr>
          <w:rFonts w:ascii="Times New Roman" w:hAnsi="Times New Roman"/>
          <w:sz w:val="24"/>
          <w:szCs w:val="24"/>
        </w:rPr>
        <w:t xml:space="preserve">foi obrigado </w:t>
      </w:r>
      <w:r w:rsidR="00201C57" w:rsidRPr="002C1356">
        <w:rPr>
          <w:rFonts w:ascii="Times New Roman" w:hAnsi="Times New Roman"/>
          <w:sz w:val="24"/>
          <w:szCs w:val="24"/>
        </w:rPr>
        <w:t>a usar</w:t>
      </w:r>
      <w:r w:rsidR="00B72221" w:rsidRPr="002C1356">
        <w:rPr>
          <w:rFonts w:ascii="Times New Roman" w:hAnsi="Times New Roman"/>
          <w:sz w:val="24"/>
          <w:szCs w:val="24"/>
        </w:rPr>
        <w:t xml:space="preserve"> a bandeira do Comitê Olímpico Internacional</w:t>
      </w:r>
      <w:r w:rsidR="00201C57" w:rsidRPr="002C1356">
        <w:rPr>
          <w:rFonts w:ascii="Times New Roman" w:hAnsi="Times New Roman"/>
          <w:sz w:val="24"/>
          <w:szCs w:val="24"/>
        </w:rPr>
        <w:t xml:space="preserve"> (COI)</w:t>
      </w:r>
      <w:r w:rsidR="00B72221" w:rsidRPr="002C1356">
        <w:rPr>
          <w:rFonts w:ascii="Times New Roman" w:hAnsi="Times New Roman"/>
          <w:sz w:val="24"/>
          <w:szCs w:val="24"/>
        </w:rPr>
        <w:t>.</w:t>
      </w:r>
    </w:p>
    <w:p w14:paraId="64CE4AC3" w14:textId="5D8081D6" w:rsidR="00A23E7D" w:rsidRPr="002C1356" w:rsidRDefault="00A23E7D"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Na doutrina atual do Direito Internacional são identificadas cinco </w:t>
      </w:r>
      <w:r w:rsidR="00867343" w:rsidRPr="002C1356">
        <w:rPr>
          <w:rFonts w:ascii="Times New Roman" w:hAnsi="Times New Roman"/>
          <w:sz w:val="24"/>
          <w:szCs w:val="24"/>
        </w:rPr>
        <w:t>diferentes concepções de</w:t>
      </w:r>
      <w:r w:rsidR="00201C57" w:rsidRPr="002C1356">
        <w:rPr>
          <w:rFonts w:ascii="Times New Roman" w:hAnsi="Times New Roman"/>
          <w:sz w:val="24"/>
          <w:szCs w:val="24"/>
        </w:rPr>
        <w:t xml:space="preserve"> personalidade jurídica</w:t>
      </w:r>
      <w:r w:rsidR="00867343" w:rsidRPr="002C1356">
        <w:rPr>
          <w:rFonts w:ascii="Times New Roman" w:hAnsi="Times New Roman"/>
          <w:sz w:val="24"/>
          <w:szCs w:val="24"/>
        </w:rPr>
        <w:t xml:space="preserve">: 1) a concepção do Estado como o único detentor de personalidade jurídica e, portanto, o único sujeito de Direito; 2) concepção do reconhecimento segundo a qual o Estado é o sujeito de Direito </w:t>
      </w:r>
      <w:r w:rsidR="001348A4" w:rsidRPr="002C1356">
        <w:rPr>
          <w:rFonts w:ascii="Times New Roman" w:hAnsi="Times New Roman"/>
          <w:sz w:val="24"/>
          <w:szCs w:val="24"/>
        </w:rPr>
        <w:t>originário</w:t>
      </w:r>
      <w:r w:rsidR="00867343" w:rsidRPr="002C1356">
        <w:rPr>
          <w:rFonts w:ascii="Times New Roman" w:hAnsi="Times New Roman"/>
          <w:sz w:val="24"/>
          <w:szCs w:val="24"/>
        </w:rPr>
        <w:t xml:space="preserve"> do Direito Internacional e está livre para reconhecer a personalidade jurídica de outras entidades; 3) a concepção individualista segundo a qual o ser humano individual é o destinatário final da norma internacional e</w:t>
      </w:r>
      <w:r w:rsidR="00B045A3" w:rsidRPr="002C1356">
        <w:rPr>
          <w:rFonts w:ascii="Times New Roman" w:hAnsi="Times New Roman"/>
          <w:sz w:val="24"/>
          <w:szCs w:val="24"/>
        </w:rPr>
        <w:t>,</w:t>
      </w:r>
      <w:r w:rsidR="00867343" w:rsidRPr="002C1356">
        <w:rPr>
          <w:rFonts w:ascii="Times New Roman" w:hAnsi="Times New Roman"/>
          <w:sz w:val="24"/>
          <w:szCs w:val="24"/>
        </w:rPr>
        <w:t xml:space="preserve"> nessa função</w:t>
      </w:r>
      <w:r w:rsidR="00B045A3" w:rsidRPr="002C1356">
        <w:rPr>
          <w:rFonts w:ascii="Times New Roman" w:hAnsi="Times New Roman"/>
          <w:sz w:val="24"/>
          <w:szCs w:val="24"/>
        </w:rPr>
        <w:t>,</w:t>
      </w:r>
      <w:r w:rsidR="00867343" w:rsidRPr="002C1356">
        <w:rPr>
          <w:rFonts w:ascii="Times New Roman" w:hAnsi="Times New Roman"/>
          <w:sz w:val="24"/>
          <w:szCs w:val="24"/>
        </w:rPr>
        <w:t xml:space="preserve"> é capaz de exercer direitos internacionais e ser submetido a deveres internacionais; 4) </w:t>
      </w:r>
      <w:r w:rsidR="00C619DE">
        <w:rPr>
          <w:rFonts w:ascii="Times New Roman" w:hAnsi="Times New Roman"/>
          <w:sz w:val="24"/>
          <w:szCs w:val="24"/>
        </w:rPr>
        <w:t xml:space="preserve">para a </w:t>
      </w:r>
      <w:r w:rsidR="009903A6" w:rsidRPr="002C1356">
        <w:rPr>
          <w:rFonts w:ascii="Times New Roman" w:hAnsi="Times New Roman"/>
          <w:sz w:val="24"/>
          <w:szCs w:val="24"/>
        </w:rPr>
        <w:t xml:space="preserve">concepção formal a personalidade jurídica no Direito Internacional é um conceito aberto podendo, em tese, qualquer entidade </w:t>
      </w:r>
      <w:r w:rsidR="00B045A3" w:rsidRPr="002C1356">
        <w:rPr>
          <w:rFonts w:ascii="Times New Roman" w:hAnsi="Times New Roman"/>
          <w:sz w:val="24"/>
          <w:szCs w:val="24"/>
        </w:rPr>
        <w:t>transformar-</w:t>
      </w:r>
      <w:r w:rsidR="009903A6" w:rsidRPr="002C1356">
        <w:rPr>
          <w:rFonts w:ascii="Times New Roman" w:hAnsi="Times New Roman"/>
          <w:sz w:val="24"/>
          <w:szCs w:val="24"/>
        </w:rPr>
        <w:t>se em sujeito de Direito adquirindo personalidade jurídica</w:t>
      </w:r>
      <w:r w:rsidR="00923490" w:rsidRPr="002C1356">
        <w:rPr>
          <w:rFonts w:ascii="Times New Roman" w:hAnsi="Times New Roman"/>
          <w:sz w:val="24"/>
          <w:szCs w:val="24"/>
        </w:rPr>
        <w:t xml:space="preserve"> </w:t>
      </w:r>
      <w:r w:rsidR="00B045A3" w:rsidRPr="002C1356">
        <w:rPr>
          <w:rFonts w:ascii="Times New Roman" w:hAnsi="Times New Roman"/>
          <w:sz w:val="24"/>
          <w:szCs w:val="24"/>
        </w:rPr>
        <w:t>(</w:t>
      </w:r>
      <w:r w:rsidR="00923490" w:rsidRPr="002C1356">
        <w:rPr>
          <w:rFonts w:ascii="Times New Roman" w:hAnsi="Times New Roman"/>
          <w:sz w:val="24"/>
          <w:szCs w:val="24"/>
        </w:rPr>
        <w:t xml:space="preserve">o principal teórico dessa concepção é Hans Kelsen </w:t>
      </w:r>
      <w:r w:rsidR="00B045A3" w:rsidRPr="002C1356">
        <w:rPr>
          <w:rFonts w:ascii="Times New Roman" w:hAnsi="Times New Roman"/>
          <w:sz w:val="24"/>
          <w:szCs w:val="24"/>
        </w:rPr>
        <w:t>[</w:t>
      </w:r>
      <w:r w:rsidR="00923490" w:rsidRPr="002C1356">
        <w:rPr>
          <w:rFonts w:ascii="Times New Roman" w:hAnsi="Times New Roman"/>
          <w:sz w:val="24"/>
          <w:szCs w:val="24"/>
        </w:rPr>
        <w:t>1881-1973</w:t>
      </w:r>
      <w:r w:rsidR="00B045A3" w:rsidRPr="002C1356">
        <w:rPr>
          <w:rFonts w:ascii="Times New Roman" w:hAnsi="Times New Roman"/>
          <w:sz w:val="24"/>
          <w:szCs w:val="24"/>
        </w:rPr>
        <w:t>]</w:t>
      </w:r>
      <w:r w:rsidR="00923490" w:rsidRPr="002C1356">
        <w:rPr>
          <w:rFonts w:ascii="Times New Roman" w:hAnsi="Times New Roman"/>
          <w:sz w:val="24"/>
          <w:szCs w:val="24"/>
        </w:rPr>
        <w:t>)</w:t>
      </w:r>
      <w:r w:rsidR="009903A6" w:rsidRPr="002C1356">
        <w:rPr>
          <w:rFonts w:ascii="Times New Roman" w:hAnsi="Times New Roman"/>
          <w:sz w:val="24"/>
          <w:szCs w:val="24"/>
        </w:rPr>
        <w:t xml:space="preserve">; 5) para concepção do ator, em princípio, todos os participantes </w:t>
      </w:r>
      <w:r w:rsidR="005067DB" w:rsidRPr="002C1356">
        <w:rPr>
          <w:rFonts w:ascii="Times New Roman" w:hAnsi="Times New Roman"/>
          <w:sz w:val="24"/>
          <w:szCs w:val="24"/>
        </w:rPr>
        <w:t>da comunidade internacional são pessoas internacionais</w:t>
      </w:r>
      <w:r w:rsidR="00B045A3" w:rsidRPr="002C1356">
        <w:rPr>
          <w:rFonts w:ascii="Times New Roman" w:hAnsi="Times New Roman"/>
          <w:sz w:val="24"/>
          <w:szCs w:val="24"/>
        </w:rPr>
        <w:t>;</w:t>
      </w:r>
      <w:r w:rsidR="005067DB" w:rsidRPr="002C1356">
        <w:rPr>
          <w:rFonts w:ascii="Times New Roman" w:hAnsi="Times New Roman"/>
          <w:sz w:val="24"/>
          <w:szCs w:val="24"/>
        </w:rPr>
        <w:t xml:space="preserve"> concepção </w:t>
      </w:r>
      <w:r w:rsidR="00B045A3" w:rsidRPr="002C1356">
        <w:rPr>
          <w:rFonts w:ascii="Times New Roman" w:hAnsi="Times New Roman"/>
          <w:sz w:val="24"/>
          <w:szCs w:val="24"/>
        </w:rPr>
        <w:t xml:space="preserve">que </w:t>
      </w:r>
      <w:r w:rsidR="005067DB" w:rsidRPr="002C1356">
        <w:rPr>
          <w:rFonts w:ascii="Times New Roman" w:hAnsi="Times New Roman"/>
          <w:sz w:val="24"/>
          <w:szCs w:val="24"/>
        </w:rPr>
        <w:t>evita o uso dos conceitos de “sujeito de Direito” e “personalidade jurídica” no âmbito do Direito Internacional.</w:t>
      </w:r>
      <w:r w:rsidR="005C6848" w:rsidRPr="002C1356">
        <w:rPr>
          <w:rStyle w:val="Refdenotaderodap"/>
          <w:rFonts w:ascii="Times New Roman" w:hAnsi="Times New Roman"/>
          <w:sz w:val="24"/>
          <w:szCs w:val="24"/>
        </w:rPr>
        <w:footnoteReference w:id="3"/>
      </w:r>
    </w:p>
    <w:p w14:paraId="5916F953" w14:textId="1043D1D3" w:rsidR="005067DB" w:rsidRPr="002C1356" w:rsidRDefault="001348A4"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concepção individualista está baseada em duas premissas: 1)</w:t>
      </w:r>
      <w:r w:rsidR="005C6848" w:rsidRPr="002C1356">
        <w:rPr>
          <w:rFonts w:ascii="Times New Roman" w:hAnsi="Times New Roman"/>
          <w:sz w:val="24"/>
          <w:szCs w:val="24"/>
        </w:rPr>
        <w:t xml:space="preserve"> </w:t>
      </w:r>
      <w:r w:rsidRPr="002C1356">
        <w:rPr>
          <w:rFonts w:ascii="Times New Roman" w:hAnsi="Times New Roman"/>
          <w:sz w:val="24"/>
          <w:szCs w:val="24"/>
        </w:rPr>
        <w:t>o</w:t>
      </w:r>
      <w:r w:rsidR="005C6848" w:rsidRPr="002C1356">
        <w:rPr>
          <w:rFonts w:ascii="Times New Roman" w:hAnsi="Times New Roman"/>
          <w:sz w:val="24"/>
          <w:szCs w:val="24"/>
        </w:rPr>
        <w:t xml:space="preserve"> </w:t>
      </w:r>
      <w:r w:rsidRPr="002C1356">
        <w:rPr>
          <w:rFonts w:ascii="Times New Roman" w:hAnsi="Times New Roman"/>
          <w:sz w:val="24"/>
          <w:szCs w:val="24"/>
        </w:rPr>
        <w:t xml:space="preserve">Estado é uma entidade funcional governada por indivíduos que estão sujeitos aos princípios do Estado de Direito em benefício dos governados; 2) o Direito Internacional consiste </w:t>
      </w:r>
      <w:r w:rsidR="008B1C0F" w:rsidRPr="002C1356">
        <w:rPr>
          <w:rFonts w:ascii="Times New Roman" w:hAnsi="Times New Roman"/>
          <w:sz w:val="24"/>
          <w:szCs w:val="24"/>
        </w:rPr>
        <w:t xml:space="preserve">em </w:t>
      </w:r>
      <w:r w:rsidRPr="002C1356">
        <w:rPr>
          <w:rFonts w:ascii="Times New Roman" w:hAnsi="Times New Roman"/>
          <w:sz w:val="24"/>
          <w:szCs w:val="24"/>
        </w:rPr>
        <w:t>prin</w:t>
      </w:r>
      <w:r w:rsidR="00C619DE">
        <w:rPr>
          <w:rFonts w:ascii="Times New Roman" w:hAnsi="Times New Roman"/>
          <w:sz w:val="24"/>
          <w:szCs w:val="24"/>
        </w:rPr>
        <w:t xml:space="preserve">cípios fundamentais de Direito </w:t>
      </w:r>
      <w:r w:rsidRPr="002C1356">
        <w:rPr>
          <w:rFonts w:ascii="Times New Roman" w:hAnsi="Times New Roman"/>
          <w:sz w:val="24"/>
          <w:szCs w:val="24"/>
        </w:rPr>
        <w:t>superiores aos interesses e vontade</w:t>
      </w:r>
      <w:r w:rsidR="00AB1CD5" w:rsidRPr="002C1356">
        <w:rPr>
          <w:rFonts w:ascii="Times New Roman" w:hAnsi="Times New Roman"/>
          <w:sz w:val="24"/>
          <w:szCs w:val="24"/>
        </w:rPr>
        <w:t>s</w:t>
      </w:r>
      <w:r w:rsidRPr="002C1356">
        <w:rPr>
          <w:rFonts w:ascii="Times New Roman" w:hAnsi="Times New Roman"/>
          <w:sz w:val="24"/>
          <w:szCs w:val="24"/>
        </w:rPr>
        <w:t xml:space="preserve"> dos Estados. </w:t>
      </w:r>
      <w:r w:rsidR="002C1F28" w:rsidRPr="002C1356">
        <w:rPr>
          <w:rFonts w:ascii="Times New Roman" w:hAnsi="Times New Roman"/>
          <w:sz w:val="24"/>
          <w:szCs w:val="24"/>
        </w:rPr>
        <w:t>Um dos</w:t>
      </w:r>
      <w:r w:rsidR="005067DB" w:rsidRPr="002C1356">
        <w:rPr>
          <w:rFonts w:ascii="Times New Roman" w:hAnsi="Times New Roman"/>
          <w:sz w:val="24"/>
          <w:szCs w:val="24"/>
        </w:rPr>
        <w:t xml:space="preserve"> primeiro</w:t>
      </w:r>
      <w:r w:rsidR="002C1F28" w:rsidRPr="002C1356">
        <w:rPr>
          <w:rFonts w:ascii="Times New Roman" w:hAnsi="Times New Roman"/>
          <w:sz w:val="24"/>
          <w:szCs w:val="24"/>
        </w:rPr>
        <w:t>s</w:t>
      </w:r>
      <w:r w:rsidR="005067DB" w:rsidRPr="002C1356">
        <w:rPr>
          <w:rFonts w:ascii="Times New Roman" w:hAnsi="Times New Roman"/>
          <w:sz w:val="24"/>
          <w:szCs w:val="24"/>
        </w:rPr>
        <w:t xml:space="preserve"> jurista</w:t>
      </w:r>
      <w:r w:rsidR="002C1F28" w:rsidRPr="002C1356">
        <w:rPr>
          <w:rFonts w:ascii="Times New Roman" w:hAnsi="Times New Roman"/>
          <w:sz w:val="24"/>
          <w:szCs w:val="24"/>
        </w:rPr>
        <w:t>s</w:t>
      </w:r>
      <w:r w:rsidR="005067DB" w:rsidRPr="002C1356">
        <w:rPr>
          <w:rFonts w:ascii="Times New Roman" w:hAnsi="Times New Roman"/>
          <w:sz w:val="24"/>
          <w:szCs w:val="24"/>
        </w:rPr>
        <w:t xml:space="preserve"> a apresentar a concepção individualista</w:t>
      </w:r>
      <w:r w:rsidRPr="002C1356">
        <w:rPr>
          <w:rFonts w:ascii="Times New Roman" w:hAnsi="Times New Roman"/>
          <w:sz w:val="24"/>
          <w:szCs w:val="24"/>
        </w:rPr>
        <w:t xml:space="preserve"> da forma como ela hoje é </w:t>
      </w:r>
      <w:r w:rsidRPr="002C1356">
        <w:rPr>
          <w:rFonts w:ascii="Times New Roman" w:hAnsi="Times New Roman"/>
          <w:sz w:val="24"/>
          <w:szCs w:val="24"/>
        </w:rPr>
        <w:lastRenderedPageBreak/>
        <w:t>conhecida</w:t>
      </w:r>
      <w:r w:rsidR="005067DB" w:rsidRPr="002C1356">
        <w:rPr>
          <w:rFonts w:ascii="Times New Roman" w:hAnsi="Times New Roman"/>
          <w:sz w:val="24"/>
          <w:szCs w:val="24"/>
        </w:rPr>
        <w:t xml:space="preserve"> foi Hersch Lauterpacht (1897-1960)</w:t>
      </w:r>
      <w:r w:rsidRPr="002C1356">
        <w:rPr>
          <w:rFonts w:ascii="Times New Roman" w:hAnsi="Times New Roman"/>
          <w:sz w:val="24"/>
          <w:szCs w:val="24"/>
        </w:rPr>
        <w:t xml:space="preserve"> antes e logo após a Segunda Guerra Mundial</w:t>
      </w:r>
      <w:r w:rsidR="008B1C0F" w:rsidRPr="002C1356">
        <w:rPr>
          <w:rFonts w:ascii="Times New Roman" w:hAnsi="Times New Roman"/>
          <w:sz w:val="24"/>
          <w:szCs w:val="24"/>
        </w:rPr>
        <w:t xml:space="preserve">. Sua </w:t>
      </w:r>
      <w:r w:rsidRPr="002C1356">
        <w:rPr>
          <w:rFonts w:ascii="Times New Roman" w:hAnsi="Times New Roman"/>
          <w:sz w:val="24"/>
          <w:szCs w:val="24"/>
        </w:rPr>
        <w:t xml:space="preserve">manifestação consta em </w:t>
      </w:r>
      <w:r w:rsidR="002C1F28" w:rsidRPr="002C1356">
        <w:rPr>
          <w:rFonts w:ascii="Times New Roman" w:hAnsi="Times New Roman"/>
          <w:sz w:val="24"/>
          <w:szCs w:val="24"/>
        </w:rPr>
        <w:t xml:space="preserve">um artigo “The </w:t>
      </w:r>
      <w:r w:rsidR="00DD7FD7" w:rsidRPr="002C1356">
        <w:rPr>
          <w:rFonts w:ascii="Times New Roman" w:hAnsi="Times New Roman"/>
          <w:sz w:val="24"/>
          <w:szCs w:val="24"/>
        </w:rPr>
        <w:t xml:space="preserve">Subjects </w:t>
      </w:r>
      <w:r w:rsidR="002C1F28" w:rsidRPr="002C1356">
        <w:rPr>
          <w:rFonts w:ascii="Times New Roman" w:hAnsi="Times New Roman"/>
          <w:sz w:val="24"/>
          <w:szCs w:val="24"/>
        </w:rPr>
        <w:t>of Law of Nations”</w:t>
      </w:r>
      <w:r w:rsidR="002C1F28" w:rsidRPr="002C1356">
        <w:rPr>
          <w:rStyle w:val="Refdenotaderodap"/>
          <w:rFonts w:ascii="Times New Roman" w:hAnsi="Times New Roman"/>
          <w:sz w:val="24"/>
          <w:szCs w:val="24"/>
        </w:rPr>
        <w:footnoteReference w:id="4"/>
      </w:r>
      <w:r w:rsidR="002C1F28" w:rsidRPr="002C1356">
        <w:rPr>
          <w:rFonts w:ascii="Times New Roman" w:hAnsi="Times New Roman"/>
          <w:sz w:val="24"/>
          <w:szCs w:val="24"/>
        </w:rPr>
        <w:t xml:space="preserve"> e </w:t>
      </w:r>
      <w:r w:rsidR="00B76A96" w:rsidRPr="002C1356">
        <w:rPr>
          <w:rFonts w:ascii="Times New Roman" w:hAnsi="Times New Roman"/>
          <w:sz w:val="24"/>
          <w:szCs w:val="24"/>
        </w:rPr>
        <w:t>o livro</w:t>
      </w:r>
      <w:r w:rsidR="002C1F28" w:rsidRPr="002C1356">
        <w:rPr>
          <w:rFonts w:ascii="Times New Roman" w:hAnsi="Times New Roman"/>
          <w:sz w:val="24"/>
          <w:szCs w:val="24"/>
        </w:rPr>
        <w:t xml:space="preserve"> “International Law and Human Rights</w:t>
      </w:r>
      <w:r w:rsidR="00F83E80" w:rsidRPr="002C1356">
        <w:rPr>
          <w:rFonts w:ascii="Times New Roman" w:hAnsi="Times New Roman"/>
          <w:sz w:val="24"/>
          <w:szCs w:val="24"/>
        </w:rPr>
        <w:t>”</w:t>
      </w:r>
      <w:r w:rsidR="00B76A96" w:rsidRPr="002C1356">
        <w:rPr>
          <w:rFonts w:ascii="Times New Roman" w:hAnsi="Times New Roman"/>
          <w:sz w:val="24"/>
          <w:szCs w:val="24"/>
        </w:rPr>
        <w:t xml:space="preserve"> (1950)</w:t>
      </w:r>
      <w:r w:rsidR="002C1F28" w:rsidRPr="002C1356">
        <w:rPr>
          <w:rFonts w:ascii="Times New Roman" w:hAnsi="Times New Roman"/>
          <w:sz w:val="24"/>
          <w:szCs w:val="24"/>
        </w:rPr>
        <w:t>.</w:t>
      </w:r>
      <w:r w:rsidR="005C6848" w:rsidRPr="002C1356">
        <w:rPr>
          <w:rStyle w:val="Refdenotaderodap"/>
          <w:rFonts w:ascii="Times New Roman" w:hAnsi="Times New Roman"/>
          <w:sz w:val="24"/>
          <w:szCs w:val="24"/>
        </w:rPr>
        <w:footnoteReference w:id="5"/>
      </w:r>
    </w:p>
    <w:p w14:paraId="6167C0DD" w14:textId="2EC98671" w:rsidR="001348A4" w:rsidRPr="002C1356" w:rsidRDefault="001348A4"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Para Lauterpacht</w:t>
      </w:r>
      <w:r w:rsidR="00B76A96" w:rsidRPr="002C1356">
        <w:rPr>
          <w:rFonts w:ascii="Times New Roman" w:hAnsi="Times New Roman"/>
          <w:sz w:val="24"/>
          <w:szCs w:val="24"/>
        </w:rPr>
        <w:t xml:space="preserve"> a exemplar manifestação histórica do conceito de personalidade jurídica individual ocorreu no julgamento de Nuremberg (1945-1946) e </w:t>
      </w:r>
      <w:r w:rsidR="00F83E80" w:rsidRPr="002C1356">
        <w:rPr>
          <w:rFonts w:ascii="Times New Roman" w:hAnsi="Times New Roman"/>
          <w:sz w:val="24"/>
          <w:szCs w:val="24"/>
        </w:rPr>
        <w:t xml:space="preserve">nos </w:t>
      </w:r>
      <w:r w:rsidR="00B76A96" w:rsidRPr="002C1356">
        <w:rPr>
          <w:rFonts w:ascii="Times New Roman" w:hAnsi="Times New Roman"/>
          <w:sz w:val="24"/>
          <w:szCs w:val="24"/>
        </w:rPr>
        <w:t>posteriores desenvolvimentos do Direito Internacional Penal. O Direito Internacional dos Direitos Humanos (DIDH) também pode ser compreendido à luz dessa concepção.</w:t>
      </w:r>
      <w:r w:rsidR="005C6848" w:rsidRPr="002C1356">
        <w:rPr>
          <w:rStyle w:val="Refdenotaderodap"/>
          <w:rFonts w:ascii="Times New Roman" w:hAnsi="Times New Roman"/>
          <w:sz w:val="24"/>
          <w:szCs w:val="24"/>
        </w:rPr>
        <w:footnoteReference w:id="6"/>
      </w:r>
    </w:p>
    <w:p w14:paraId="645EC4B6" w14:textId="10EB797A" w:rsidR="002C1F28" w:rsidRPr="002C1356" w:rsidRDefault="00B76A96" w:rsidP="00842E9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Na doutrina do Direito Internacional contemporâneo</w:t>
      </w:r>
      <w:r w:rsidR="00F83E80" w:rsidRPr="002C1356">
        <w:rPr>
          <w:rFonts w:ascii="Times New Roman" w:hAnsi="Times New Roman"/>
          <w:sz w:val="24"/>
          <w:szCs w:val="24"/>
        </w:rPr>
        <w:t>,</w:t>
      </w:r>
      <w:r w:rsidR="00ED2EBF">
        <w:rPr>
          <w:rFonts w:ascii="Times New Roman" w:hAnsi="Times New Roman"/>
          <w:sz w:val="24"/>
          <w:szCs w:val="24"/>
        </w:rPr>
        <w:t xml:space="preserve"> um dos mais renomados</w:t>
      </w:r>
      <w:r w:rsidRPr="002C1356">
        <w:rPr>
          <w:rFonts w:ascii="Times New Roman" w:hAnsi="Times New Roman"/>
          <w:sz w:val="24"/>
          <w:szCs w:val="24"/>
        </w:rPr>
        <w:t xml:space="preserve"> </w:t>
      </w:r>
      <w:r w:rsidR="002C1F28" w:rsidRPr="002C1356">
        <w:rPr>
          <w:rFonts w:ascii="Times New Roman" w:hAnsi="Times New Roman"/>
          <w:sz w:val="24"/>
          <w:szCs w:val="24"/>
        </w:rPr>
        <w:t>defensor</w:t>
      </w:r>
      <w:r w:rsidRPr="002C1356">
        <w:rPr>
          <w:rFonts w:ascii="Times New Roman" w:hAnsi="Times New Roman"/>
          <w:sz w:val="24"/>
          <w:szCs w:val="24"/>
        </w:rPr>
        <w:t>es</w:t>
      </w:r>
      <w:r w:rsidR="002C1F28" w:rsidRPr="002C1356">
        <w:rPr>
          <w:rFonts w:ascii="Times New Roman" w:hAnsi="Times New Roman"/>
          <w:sz w:val="24"/>
          <w:szCs w:val="24"/>
        </w:rPr>
        <w:t xml:space="preserve"> da concepção individualista da personalidade jurídica internacional é o juiz </w:t>
      </w:r>
      <w:r w:rsidRPr="002C1356">
        <w:rPr>
          <w:rFonts w:ascii="Times New Roman" w:hAnsi="Times New Roman"/>
          <w:sz w:val="24"/>
          <w:szCs w:val="24"/>
        </w:rPr>
        <w:t xml:space="preserve">da Corte Internacional de Justiça: </w:t>
      </w:r>
      <w:r w:rsidR="002C1F28" w:rsidRPr="002C1356">
        <w:rPr>
          <w:rFonts w:ascii="Times New Roman" w:hAnsi="Times New Roman"/>
          <w:sz w:val="24"/>
          <w:szCs w:val="24"/>
        </w:rPr>
        <w:t>Antônio</w:t>
      </w:r>
      <w:r w:rsidR="00F87ECF" w:rsidRPr="002C1356">
        <w:rPr>
          <w:rFonts w:ascii="Times New Roman" w:hAnsi="Times New Roman"/>
          <w:sz w:val="24"/>
          <w:szCs w:val="24"/>
        </w:rPr>
        <w:t xml:space="preserve"> Augusto Cançado Trindade. </w:t>
      </w:r>
    </w:p>
    <w:p w14:paraId="22AD5F92" w14:textId="2D4AA021" w:rsidR="00F87ECF" w:rsidRPr="002C1356" w:rsidRDefault="00F87ECF" w:rsidP="003D7DAB">
      <w:pPr>
        <w:pStyle w:val="citao"/>
        <w:spacing w:line="360" w:lineRule="auto"/>
        <w:ind w:left="2126"/>
        <w:contextualSpacing/>
      </w:pPr>
      <w:r w:rsidRPr="002C1356">
        <w:t>A cristalização da personalidade e capacidade jurídicas internacionais do ser humano constitui, em nosso entender, o legado mais precioso da ciência jurídica do século XX. Trata-se de uma notável conquista da civilização, lograda graças ao considerável desenvolvimento do Direito Internacional dos Direitos Humanos ao longo das últimas cinco décadas (...)</w:t>
      </w:r>
      <w:r w:rsidR="001847DF" w:rsidRPr="002C1356">
        <w:t>.</w:t>
      </w:r>
      <w:r w:rsidR="00BB6C33" w:rsidRPr="002C1356">
        <w:rPr>
          <w:rStyle w:val="Refdenotaderodap"/>
        </w:rPr>
        <w:footnoteReference w:id="7"/>
      </w:r>
      <w:r w:rsidRPr="002C1356">
        <w:t xml:space="preserve"> </w:t>
      </w:r>
    </w:p>
    <w:p w14:paraId="70383BA1" w14:textId="77777777" w:rsidR="008F7CC2" w:rsidRPr="002C1356" w:rsidRDefault="002C1F28" w:rsidP="00B72221">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 </w:t>
      </w:r>
    </w:p>
    <w:p w14:paraId="3854764A" w14:textId="5050AA55" w:rsidR="00156CFA" w:rsidRPr="002C1356" w:rsidRDefault="00ED2EBF" w:rsidP="008F7CC2">
      <w:pPr>
        <w:spacing w:after="0" w:line="360" w:lineRule="auto"/>
        <w:ind w:firstLine="709"/>
        <w:contextualSpacing/>
        <w:jc w:val="both"/>
        <w:rPr>
          <w:rFonts w:ascii="Times New Roman" w:hAnsi="Times New Roman"/>
          <w:sz w:val="24"/>
          <w:szCs w:val="24"/>
        </w:rPr>
      </w:pPr>
      <w:r>
        <w:rPr>
          <w:rFonts w:ascii="Times New Roman" w:hAnsi="Times New Roman"/>
          <w:sz w:val="24"/>
          <w:szCs w:val="24"/>
        </w:rPr>
        <w:t>A fim de analisar a emergência histórica da personalidade jurídica no Direito Internacional dos Direitos humanos esta tese</w:t>
      </w:r>
      <w:r w:rsidR="008F7CC2" w:rsidRPr="002C1356">
        <w:rPr>
          <w:rFonts w:ascii="Times New Roman" w:hAnsi="Times New Roman"/>
          <w:sz w:val="24"/>
          <w:szCs w:val="24"/>
        </w:rPr>
        <w:t xml:space="preserve"> está div</w:t>
      </w:r>
      <w:r>
        <w:rPr>
          <w:rFonts w:ascii="Times New Roman" w:hAnsi="Times New Roman"/>
          <w:sz w:val="24"/>
          <w:szCs w:val="24"/>
        </w:rPr>
        <w:t>idida</w:t>
      </w:r>
      <w:r w:rsidR="008F7CC2" w:rsidRPr="002C1356">
        <w:rPr>
          <w:rFonts w:ascii="Times New Roman" w:hAnsi="Times New Roman"/>
          <w:sz w:val="24"/>
          <w:szCs w:val="24"/>
        </w:rPr>
        <w:t xml:space="preserve"> em duas partes, </w:t>
      </w:r>
      <w:r w:rsidR="0090547E" w:rsidRPr="002C1356">
        <w:rPr>
          <w:rFonts w:ascii="Times New Roman" w:hAnsi="Times New Roman"/>
          <w:sz w:val="24"/>
          <w:szCs w:val="24"/>
        </w:rPr>
        <w:t>a saber</w:t>
      </w:r>
      <w:r w:rsidR="008F7CC2" w:rsidRPr="002C1356">
        <w:rPr>
          <w:rFonts w:ascii="Times New Roman" w:hAnsi="Times New Roman"/>
          <w:sz w:val="24"/>
          <w:szCs w:val="24"/>
        </w:rPr>
        <w:t xml:space="preserve">: </w:t>
      </w:r>
      <w:r w:rsidR="0090547E" w:rsidRPr="002C1356">
        <w:rPr>
          <w:rFonts w:ascii="Times New Roman" w:hAnsi="Times New Roman"/>
          <w:sz w:val="24"/>
          <w:szCs w:val="24"/>
        </w:rPr>
        <w:t xml:space="preserve">na </w:t>
      </w:r>
      <w:r w:rsidR="008F7CC2" w:rsidRPr="002C1356">
        <w:rPr>
          <w:rFonts w:ascii="Times New Roman" w:hAnsi="Times New Roman"/>
          <w:sz w:val="24"/>
          <w:szCs w:val="24"/>
        </w:rPr>
        <w:t>Parte I</w:t>
      </w:r>
      <w:r w:rsidR="0090547E" w:rsidRPr="002C1356">
        <w:rPr>
          <w:rFonts w:ascii="Times New Roman" w:hAnsi="Times New Roman"/>
          <w:sz w:val="24"/>
          <w:szCs w:val="24"/>
        </w:rPr>
        <w:t>,</w:t>
      </w:r>
      <w:r w:rsidR="008F7CC2" w:rsidRPr="002C1356">
        <w:rPr>
          <w:rFonts w:ascii="Times New Roman" w:hAnsi="Times New Roman"/>
          <w:sz w:val="24"/>
          <w:szCs w:val="24"/>
        </w:rPr>
        <w:t xml:space="preserve"> da</w:t>
      </w:r>
      <w:r w:rsidR="00AB1CD5" w:rsidRPr="002C1356">
        <w:rPr>
          <w:rFonts w:ascii="Times New Roman" w:hAnsi="Times New Roman"/>
          <w:sz w:val="24"/>
          <w:szCs w:val="24"/>
        </w:rPr>
        <w:t>tada de 1898 a 1919</w:t>
      </w:r>
      <w:r w:rsidR="0090547E" w:rsidRPr="002C1356">
        <w:rPr>
          <w:rFonts w:ascii="Times New Roman" w:hAnsi="Times New Roman"/>
          <w:sz w:val="24"/>
          <w:szCs w:val="24"/>
        </w:rPr>
        <w:t>,</w:t>
      </w:r>
      <w:r w:rsidR="00AB1CD5" w:rsidRPr="002C1356">
        <w:rPr>
          <w:rFonts w:ascii="Times New Roman" w:hAnsi="Times New Roman"/>
          <w:sz w:val="24"/>
          <w:szCs w:val="24"/>
        </w:rPr>
        <w:t xml:space="preserve"> analisarei</w:t>
      </w:r>
      <w:r w:rsidR="008F7CC2" w:rsidRPr="002C1356">
        <w:rPr>
          <w:rFonts w:ascii="Times New Roman" w:hAnsi="Times New Roman"/>
          <w:sz w:val="24"/>
          <w:szCs w:val="24"/>
        </w:rPr>
        <w:t xml:space="preserve"> duas narrativas: a) O texto </w:t>
      </w:r>
      <w:r w:rsidR="008F7CC2" w:rsidRPr="002C1356">
        <w:rPr>
          <w:rFonts w:ascii="Times New Roman" w:hAnsi="Times New Roman"/>
          <w:i/>
          <w:sz w:val="24"/>
          <w:szCs w:val="24"/>
        </w:rPr>
        <w:t xml:space="preserve">Os </w:t>
      </w:r>
      <w:r w:rsidR="00CD7A92" w:rsidRPr="002C1356">
        <w:rPr>
          <w:rFonts w:ascii="Times New Roman" w:hAnsi="Times New Roman"/>
          <w:i/>
          <w:sz w:val="24"/>
          <w:szCs w:val="24"/>
        </w:rPr>
        <w:t xml:space="preserve">Intelectuais </w:t>
      </w:r>
      <w:r w:rsidR="008F7CC2" w:rsidRPr="002C1356">
        <w:rPr>
          <w:rFonts w:ascii="Times New Roman" w:hAnsi="Times New Roman"/>
          <w:i/>
          <w:sz w:val="24"/>
          <w:szCs w:val="24"/>
        </w:rPr>
        <w:t xml:space="preserve">e o </w:t>
      </w:r>
      <w:r w:rsidR="00CD7A92" w:rsidRPr="002C1356">
        <w:rPr>
          <w:rFonts w:ascii="Times New Roman" w:hAnsi="Times New Roman"/>
          <w:i/>
          <w:sz w:val="24"/>
          <w:szCs w:val="24"/>
        </w:rPr>
        <w:t>Individualismo</w:t>
      </w:r>
      <w:r w:rsidR="0090547E" w:rsidRPr="002C1356">
        <w:rPr>
          <w:rFonts w:ascii="Times New Roman" w:hAnsi="Times New Roman"/>
          <w:sz w:val="24"/>
          <w:szCs w:val="24"/>
        </w:rPr>
        <w:t>,</w:t>
      </w:r>
      <w:r w:rsidR="008F7CC2" w:rsidRPr="002C1356">
        <w:rPr>
          <w:rFonts w:ascii="Times New Roman" w:hAnsi="Times New Roman"/>
          <w:sz w:val="24"/>
          <w:szCs w:val="24"/>
        </w:rPr>
        <w:t xml:space="preserve"> de Émile Durkheim (1898), no qual surge a expressão a Sacralidade da Pessoa e b) o artigo 22 do Pacto da Sociedade das Nações</w:t>
      </w:r>
      <w:r w:rsidR="0090547E" w:rsidRPr="002C1356">
        <w:rPr>
          <w:rFonts w:ascii="Times New Roman" w:hAnsi="Times New Roman"/>
          <w:sz w:val="24"/>
          <w:szCs w:val="24"/>
        </w:rPr>
        <w:t>,</w:t>
      </w:r>
      <w:r w:rsidR="008F7CC2" w:rsidRPr="002C1356">
        <w:rPr>
          <w:rFonts w:ascii="Times New Roman" w:hAnsi="Times New Roman"/>
          <w:sz w:val="24"/>
          <w:szCs w:val="24"/>
        </w:rPr>
        <w:t xml:space="preserve"> onde aparece a expressão missão sagrada da civilização. </w:t>
      </w:r>
      <w:r w:rsidR="0090547E" w:rsidRPr="002C1356">
        <w:rPr>
          <w:rFonts w:ascii="Times New Roman" w:hAnsi="Times New Roman"/>
          <w:sz w:val="24"/>
          <w:szCs w:val="24"/>
        </w:rPr>
        <w:t xml:space="preserve">Na </w:t>
      </w:r>
      <w:r w:rsidR="008F7CC2" w:rsidRPr="002C1356">
        <w:rPr>
          <w:rFonts w:ascii="Times New Roman" w:hAnsi="Times New Roman"/>
          <w:sz w:val="24"/>
          <w:szCs w:val="24"/>
        </w:rPr>
        <w:t xml:space="preserve">Parte II abordarei o contexto histórico social do momento inicial da elaboração da Declaração Universal dos Direitos Humanos bem como dos </w:t>
      </w:r>
      <w:r w:rsidR="00B76A96" w:rsidRPr="002C1356">
        <w:rPr>
          <w:rFonts w:ascii="Times New Roman" w:hAnsi="Times New Roman"/>
          <w:sz w:val="24"/>
          <w:szCs w:val="24"/>
        </w:rPr>
        <w:t xml:space="preserve">seguintes tratados: 1) A </w:t>
      </w:r>
      <w:r w:rsidR="00156CFA" w:rsidRPr="002C1356">
        <w:rPr>
          <w:rFonts w:ascii="Times New Roman" w:hAnsi="Times New Roman"/>
          <w:sz w:val="24"/>
          <w:szCs w:val="24"/>
        </w:rPr>
        <w:t xml:space="preserve">“Convenção para a </w:t>
      </w:r>
      <w:r w:rsidR="00CD7A92" w:rsidRPr="002C1356">
        <w:rPr>
          <w:rFonts w:ascii="Times New Roman" w:hAnsi="Times New Roman"/>
          <w:sz w:val="24"/>
          <w:szCs w:val="24"/>
        </w:rPr>
        <w:t xml:space="preserve">Melhoria </w:t>
      </w:r>
      <w:r w:rsidR="00156CFA" w:rsidRPr="002C1356">
        <w:rPr>
          <w:rFonts w:ascii="Times New Roman" w:hAnsi="Times New Roman"/>
          <w:sz w:val="24"/>
          <w:szCs w:val="24"/>
        </w:rPr>
        <w:t xml:space="preserve">das </w:t>
      </w:r>
      <w:r w:rsidR="00CD7A92" w:rsidRPr="002C1356">
        <w:rPr>
          <w:rFonts w:ascii="Times New Roman" w:hAnsi="Times New Roman"/>
          <w:sz w:val="24"/>
          <w:szCs w:val="24"/>
        </w:rPr>
        <w:t xml:space="preserve">Condições </w:t>
      </w:r>
      <w:r w:rsidR="00156CFA" w:rsidRPr="002C1356">
        <w:rPr>
          <w:rFonts w:ascii="Times New Roman" w:hAnsi="Times New Roman"/>
          <w:sz w:val="24"/>
          <w:szCs w:val="24"/>
        </w:rPr>
        <w:t xml:space="preserve">dos </w:t>
      </w:r>
      <w:r w:rsidR="00CD7A92" w:rsidRPr="002C1356">
        <w:rPr>
          <w:rFonts w:ascii="Times New Roman" w:hAnsi="Times New Roman"/>
          <w:sz w:val="24"/>
          <w:szCs w:val="24"/>
        </w:rPr>
        <w:t xml:space="preserve">Feridos </w:t>
      </w:r>
      <w:r w:rsidR="00156CFA" w:rsidRPr="002C1356">
        <w:rPr>
          <w:rFonts w:ascii="Times New Roman" w:hAnsi="Times New Roman"/>
          <w:sz w:val="24"/>
          <w:szCs w:val="24"/>
        </w:rPr>
        <w:t xml:space="preserve">e </w:t>
      </w:r>
      <w:r w:rsidR="00CD7A92" w:rsidRPr="002C1356">
        <w:rPr>
          <w:rFonts w:ascii="Times New Roman" w:hAnsi="Times New Roman"/>
          <w:sz w:val="24"/>
          <w:szCs w:val="24"/>
        </w:rPr>
        <w:t xml:space="preserve">Enfermos </w:t>
      </w:r>
      <w:r w:rsidR="00156CFA" w:rsidRPr="002C1356">
        <w:rPr>
          <w:rFonts w:ascii="Times New Roman" w:hAnsi="Times New Roman"/>
          <w:sz w:val="24"/>
          <w:szCs w:val="24"/>
        </w:rPr>
        <w:t xml:space="preserve">na </w:t>
      </w:r>
      <w:r w:rsidR="00CD7A92" w:rsidRPr="002C1356">
        <w:rPr>
          <w:rFonts w:ascii="Times New Roman" w:hAnsi="Times New Roman"/>
          <w:sz w:val="24"/>
          <w:szCs w:val="24"/>
        </w:rPr>
        <w:t>Infantaria</w:t>
      </w:r>
      <w:r w:rsidR="008F7CC2" w:rsidRPr="002C1356">
        <w:rPr>
          <w:rFonts w:ascii="Times New Roman" w:hAnsi="Times New Roman"/>
          <w:sz w:val="24"/>
          <w:szCs w:val="24"/>
        </w:rPr>
        <w:t>”</w:t>
      </w:r>
      <w:r w:rsidR="00CD7A92" w:rsidRPr="002C1356">
        <w:rPr>
          <w:rFonts w:ascii="Times New Roman" w:hAnsi="Times New Roman"/>
          <w:sz w:val="24"/>
          <w:szCs w:val="24"/>
        </w:rPr>
        <w:t>,</w:t>
      </w:r>
      <w:r w:rsidR="008F7CC2" w:rsidRPr="002C1356">
        <w:rPr>
          <w:rFonts w:ascii="Times New Roman" w:hAnsi="Times New Roman"/>
          <w:sz w:val="24"/>
          <w:szCs w:val="24"/>
        </w:rPr>
        <w:t xml:space="preserve"> primeiro tratado do atual Direito Internacional humanitário; 2)</w:t>
      </w:r>
      <w:r w:rsidR="00156CFA" w:rsidRPr="002C1356">
        <w:rPr>
          <w:rFonts w:ascii="Times New Roman" w:hAnsi="Times New Roman"/>
          <w:sz w:val="24"/>
          <w:szCs w:val="24"/>
        </w:rPr>
        <w:t xml:space="preserve"> </w:t>
      </w:r>
      <w:r w:rsidR="008F7CC2" w:rsidRPr="002C1356">
        <w:rPr>
          <w:rFonts w:ascii="Times New Roman" w:hAnsi="Times New Roman"/>
          <w:sz w:val="24"/>
          <w:szCs w:val="24"/>
        </w:rPr>
        <w:t xml:space="preserve">a </w:t>
      </w:r>
      <w:r w:rsidR="00156CFA" w:rsidRPr="002C1356">
        <w:rPr>
          <w:rFonts w:ascii="Times New Roman" w:hAnsi="Times New Roman"/>
          <w:sz w:val="24"/>
          <w:szCs w:val="24"/>
        </w:rPr>
        <w:t>Convenção de Genebra do Estatuto do Refugiado (1951)</w:t>
      </w:r>
      <w:r w:rsidR="001847DF" w:rsidRPr="002C1356">
        <w:rPr>
          <w:rFonts w:ascii="Times New Roman" w:hAnsi="Times New Roman"/>
          <w:sz w:val="24"/>
          <w:szCs w:val="24"/>
        </w:rPr>
        <w:t>,</w:t>
      </w:r>
      <w:r w:rsidR="008F7CC2" w:rsidRPr="002C1356">
        <w:rPr>
          <w:rFonts w:ascii="Times New Roman" w:hAnsi="Times New Roman"/>
          <w:sz w:val="24"/>
          <w:szCs w:val="24"/>
        </w:rPr>
        <w:t xml:space="preserve"> primeiro e principal tratado do Direito Internacional dos Refugiados e 3)</w:t>
      </w:r>
      <w:r w:rsidR="00156CFA" w:rsidRPr="002C1356">
        <w:rPr>
          <w:rFonts w:ascii="Times New Roman" w:hAnsi="Times New Roman"/>
          <w:sz w:val="24"/>
          <w:szCs w:val="24"/>
        </w:rPr>
        <w:t xml:space="preserve"> Convenção para a Eliminação de Todas as Formas</w:t>
      </w:r>
      <w:r w:rsidR="008F7CC2" w:rsidRPr="002C1356">
        <w:rPr>
          <w:rFonts w:ascii="Times New Roman" w:hAnsi="Times New Roman"/>
          <w:sz w:val="24"/>
          <w:szCs w:val="24"/>
        </w:rPr>
        <w:t xml:space="preserve"> de Discriminação Racial (1965)</w:t>
      </w:r>
      <w:r w:rsidR="001847DF" w:rsidRPr="002C1356">
        <w:rPr>
          <w:rFonts w:ascii="Times New Roman" w:hAnsi="Times New Roman"/>
          <w:sz w:val="24"/>
          <w:szCs w:val="24"/>
        </w:rPr>
        <w:t>,</w:t>
      </w:r>
      <w:r w:rsidR="008F7CC2" w:rsidRPr="002C1356">
        <w:rPr>
          <w:rFonts w:ascii="Times New Roman" w:hAnsi="Times New Roman"/>
          <w:sz w:val="24"/>
          <w:szCs w:val="24"/>
        </w:rPr>
        <w:t xml:space="preserve"> primeiro tratado do Direito Internacional dos Direitos Humanos.</w:t>
      </w:r>
      <w:r w:rsidR="00156CFA" w:rsidRPr="002C1356">
        <w:rPr>
          <w:rFonts w:ascii="Times New Roman" w:hAnsi="Times New Roman"/>
          <w:sz w:val="24"/>
          <w:szCs w:val="24"/>
        </w:rPr>
        <w:t xml:space="preserve"> </w:t>
      </w:r>
    </w:p>
    <w:p w14:paraId="1B4AD6D1" w14:textId="32BD7232" w:rsidR="007B1127" w:rsidRPr="002C1356" w:rsidRDefault="007B1127" w:rsidP="008F7CC2">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A presente reflexão está estruturada em forma de uma narrativa e apresentará diversas narrativas que auxiliam a compreensão do surgimento de diferentes instrumentos jurídicos no Direito Internacional dos Direitos Humanos. De acordo com Robert M. Cover</w:t>
      </w:r>
      <w:r w:rsidR="001847DF" w:rsidRPr="002C1356">
        <w:rPr>
          <w:rFonts w:ascii="Times New Roman" w:hAnsi="Times New Roman"/>
          <w:sz w:val="24"/>
          <w:szCs w:val="24"/>
        </w:rPr>
        <w:t>:</w:t>
      </w:r>
      <w:r w:rsidRPr="002C1356">
        <w:rPr>
          <w:rStyle w:val="Refdenotaderodap"/>
          <w:rFonts w:ascii="Times New Roman" w:hAnsi="Times New Roman"/>
          <w:sz w:val="24"/>
          <w:szCs w:val="24"/>
        </w:rPr>
        <w:footnoteReference w:id="8"/>
      </w:r>
      <w:r w:rsidR="00156CFA" w:rsidRPr="002C1356">
        <w:rPr>
          <w:rFonts w:ascii="Times New Roman" w:hAnsi="Times New Roman"/>
          <w:sz w:val="24"/>
          <w:szCs w:val="24"/>
        </w:rPr>
        <w:t xml:space="preserve"> </w:t>
      </w:r>
      <w:r w:rsidR="001847DF" w:rsidRPr="002C1356">
        <w:rPr>
          <w:rFonts w:ascii="Times New Roman" w:hAnsi="Times New Roman"/>
          <w:sz w:val="24"/>
          <w:szCs w:val="24"/>
        </w:rPr>
        <w:t xml:space="preserve">“(…) </w:t>
      </w:r>
      <w:r w:rsidRPr="002C1356">
        <w:rPr>
          <w:rFonts w:ascii="Times New Roman" w:hAnsi="Times New Roman"/>
          <w:sz w:val="24"/>
          <w:szCs w:val="24"/>
        </w:rPr>
        <w:t>Nenhum conjunto de instituições jurídicas ou normas existem em separado das narrativas que o situam e lhe proporcionam significado</w:t>
      </w:r>
      <w:r w:rsidR="001847DF" w:rsidRPr="002C1356">
        <w:rPr>
          <w:rFonts w:ascii="Times New Roman" w:hAnsi="Times New Roman"/>
          <w:sz w:val="24"/>
          <w:szCs w:val="24"/>
        </w:rPr>
        <w:t>”</w:t>
      </w:r>
      <w:r w:rsidRPr="002C1356">
        <w:rPr>
          <w:rFonts w:ascii="Times New Roman" w:hAnsi="Times New Roman"/>
          <w:sz w:val="24"/>
          <w:szCs w:val="24"/>
        </w:rPr>
        <w:t>.</w:t>
      </w:r>
    </w:p>
    <w:p w14:paraId="33362DE2" w14:textId="4C56A5DC" w:rsidR="00C3106C" w:rsidRPr="002C1356" w:rsidRDefault="00EC60BF" w:rsidP="00EC60BF">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Narrativa </w:t>
      </w:r>
      <w:r w:rsidR="00156CFA" w:rsidRPr="002C1356">
        <w:rPr>
          <w:rFonts w:ascii="Times New Roman" w:hAnsi="Times New Roman"/>
          <w:sz w:val="24"/>
          <w:szCs w:val="24"/>
        </w:rPr>
        <w:t xml:space="preserve">é toda e qualquer representação de eventos e consiste </w:t>
      </w:r>
      <w:r w:rsidR="00C3106C" w:rsidRPr="002C1356">
        <w:rPr>
          <w:rFonts w:ascii="Times New Roman" w:hAnsi="Times New Roman"/>
          <w:sz w:val="24"/>
          <w:szCs w:val="24"/>
        </w:rPr>
        <w:t xml:space="preserve">em </w:t>
      </w:r>
      <w:r w:rsidRPr="002C1356">
        <w:rPr>
          <w:rFonts w:ascii="Times New Roman" w:hAnsi="Times New Roman"/>
          <w:sz w:val="24"/>
          <w:szCs w:val="24"/>
        </w:rPr>
        <w:t>histórias</w:t>
      </w:r>
      <w:r w:rsidR="00156CFA" w:rsidRPr="002C1356">
        <w:rPr>
          <w:rFonts w:ascii="Times New Roman" w:hAnsi="Times New Roman"/>
          <w:sz w:val="24"/>
          <w:szCs w:val="24"/>
        </w:rPr>
        <w:t xml:space="preserve"> e discurso narrativo</w:t>
      </w:r>
      <w:r w:rsidR="00C3106C" w:rsidRPr="002C1356">
        <w:rPr>
          <w:rFonts w:ascii="Times New Roman" w:hAnsi="Times New Roman"/>
          <w:sz w:val="24"/>
          <w:szCs w:val="24"/>
        </w:rPr>
        <w:t xml:space="preserve">; histórias </w:t>
      </w:r>
      <w:r w:rsidRPr="002C1356">
        <w:rPr>
          <w:rFonts w:ascii="Times New Roman" w:hAnsi="Times New Roman"/>
          <w:sz w:val="24"/>
          <w:szCs w:val="24"/>
        </w:rPr>
        <w:t>(ou estórias)</w:t>
      </w:r>
      <w:r w:rsidR="00156CFA" w:rsidRPr="002C1356">
        <w:rPr>
          <w:rFonts w:ascii="Times New Roman" w:hAnsi="Times New Roman"/>
          <w:sz w:val="24"/>
          <w:szCs w:val="24"/>
        </w:rPr>
        <w:t xml:space="preserve"> como sequência de eventos (ação) e discurso narrativo como a representação de tais eventos.</w:t>
      </w:r>
      <w:r w:rsidR="00156CFA" w:rsidRPr="002C1356">
        <w:rPr>
          <w:rStyle w:val="Refdenotaderodap"/>
          <w:rFonts w:ascii="Times New Roman" w:hAnsi="Times New Roman"/>
          <w:sz w:val="24"/>
          <w:szCs w:val="24"/>
        </w:rPr>
        <w:footnoteReference w:id="9"/>
      </w:r>
      <w:r w:rsidR="00156CFA" w:rsidRPr="002C1356">
        <w:rPr>
          <w:rFonts w:ascii="Times New Roman" w:hAnsi="Times New Roman"/>
          <w:sz w:val="24"/>
          <w:szCs w:val="24"/>
        </w:rPr>
        <w:t xml:space="preserve"> Narrativas são uma forma de compreender a “razão de ser” dos acontecimentos. Esclarece Hannah Arendt a propósito da qualidade impar da narrativa:</w:t>
      </w:r>
      <w:r w:rsidR="00156CFA" w:rsidRPr="002C1356">
        <w:rPr>
          <w:rFonts w:ascii="Times New Roman" w:hAnsi="Times New Roman"/>
          <w:i/>
          <w:sz w:val="24"/>
          <w:szCs w:val="24"/>
        </w:rPr>
        <w:t xml:space="preserve"> </w:t>
      </w:r>
    </w:p>
    <w:p w14:paraId="211FD2EA" w14:textId="38E117B7" w:rsidR="00156CFA" w:rsidRPr="002C1356" w:rsidRDefault="00156CFA" w:rsidP="003D7DAB">
      <w:pPr>
        <w:pStyle w:val="citao"/>
        <w:spacing w:line="360" w:lineRule="auto"/>
        <w:ind w:left="2126"/>
      </w:pPr>
      <w:r w:rsidRPr="002C1356">
        <w:t>Assim</w:t>
      </w:r>
      <w:r w:rsidR="00746A6E" w:rsidRPr="002C1356">
        <w:t>,</w:t>
      </w:r>
      <w:r w:rsidRPr="002C1356">
        <w:t xml:space="preserve"> a narrativa recebeu seu lugar no mundo, onde sobreviverá a nós. </w:t>
      </w:r>
      <w:r w:rsidR="00746A6E" w:rsidRPr="002C1356">
        <w:t xml:space="preserve">(…) </w:t>
      </w:r>
      <w:r w:rsidRPr="002C1356">
        <w:t>Nenhuma filosofia, nenhuma análise, nenhum aforismo, por mais profundos que sejam, podem se comparar em intensidade e riqueza de sentido a uma estória contada adequadamente.</w:t>
      </w:r>
      <w:r w:rsidRPr="002C1356">
        <w:rPr>
          <w:rStyle w:val="Refdenotaderodap"/>
          <w:sz w:val="24"/>
        </w:rPr>
        <w:footnoteReference w:id="10"/>
      </w:r>
      <w:r w:rsidRPr="002C1356">
        <w:t xml:space="preserve">  </w:t>
      </w:r>
    </w:p>
    <w:p w14:paraId="5CEB1D51" w14:textId="43E5EEDF" w:rsidR="00156CFA" w:rsidRPr="002C1356" w:rsidRDefault="00156CFA" w:rsidP="00156CFA">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Hannah Arendt, em especial nos livros </w:t>
      </w:r>
      <w:r w:rsidRPr="002C1356">
        <w:rPr>
          <w:rFonts w:ascii="Times New Roman" w:hAnsi="Times New Roman"/>
          <w:i/>
          <w:sz w:val="24"/>
          <w:szCs w:val="24"/>
        </w:rPr>
        <w:t xml:space="preserve">A Condição Humana </w:t>
      </w:r>
      <w:r w:rsidRPr="002C1356">
        <w:rPr>
          <w:rFonts w:ascii="Times New Roman" w:hAnsi="Times New Roman"/>
          <w:sz w:val="24"/>
          <w:szCs w:val="24"/>
        </w:rPr>
        <w:t>(1958)</w:t>
      </w:r>
      <w:r w:rsidRPr="002C1356">
        <w:rPr>
          <w:rFonts w:ascii="Times New Roman" w:hAnsi="Times New Roman"/>
          <w:i/>
          <w:sz w:val="24"/>
          <w:szCs w:val="24"/>
        </w:rPr>
        <w:t xml:space="preserve"> </w:t>
      </w:r>
      <w:r w:rsidRPr="002C1356">
        <w:rPr>
          <w:rFonts w:ascii="Times New Roman" w:hAnsi="Times New Roman"/>
          <w:sz w:val="24"/>
          <w:szCs w:val="24"/>
        </w:rPr>
        <w:t xml:space="preserve">e </w:t>
      </w:r>
      <w:r w:rsidRPr="002C1356">
        <w:rPr>
          <w:rFonts w:ascii="Times New Roman" w:hAnsi="Times New Roman"/>
          <w:i/>
          <w:sz w:val="24"/>
          <w:szCs w:val="24"/>
        </w:rPr>
        <w:t xml:space="preserve">Homens em Tempos Sombrios </w:t>
      </w:r>
      <w:r w:rsidRPr="002C1356">
        <w:rPr>
          <w:rFonts w:ascii="Times New Roman" w:hAnsi="Times New Roman"/>
          <w:sz w:val="24"/>
          <w:szCs w:val="24"/>
        </w:rPr>
        <w:t>(1968), é considerada</w:t>
      </w:r>
      <w:r w:rsidRPr="002C1356">
        <w:rPr>
          <w:rFonts w:ascii="Times New Roman" w:hAnsi="Times New Roman"/>
          <w:i/>
          <w:sz w:val="24"/>
          <w:szCs w:val="24"/>
        </w:rPr>
        <w:t xml:space="preserve"> </w:t>
      </w:r>
      <w:r w:rsidRPr="002C1356">
        <w:rPr>
          <w:rFonts w:ascii="Times New Roman" w:hAnsi="Times New Roman"/>
          <w:sz w:val="24"/>
          <w:szCs w:val="24"/>
        </w:rPr>
        <w:t>juntamente com Paul Ricoeur (</w:t>
      </w:r>
      <w:r w:rsidRPr="002C1356">
        <w:rPr>
          <w:rFonts w:ascii="Times New Roman" w:hAnsi="Times New Roman"/>
          <w:i/>
          <w:sz w:val="24"/>
          <w:szCs w:val="24"/>
        </w:rPr>
        <w:t>Tempo e Narrativa</w:t>
      </w:r>
      <w:r w:rsidRPr="002C1356">
        <w:rPr>
          <w:rFonts w:ascii="Times New Roman" w:hAnsi="Times New Roman"/>
          <w:sz w:val="24"/>
          <w:szCs w:val="24"/>
        </w:rPr>
        <w:t>), Charles Taylor (</w:t>
      </w:r>
      <w:r w:rsidRPr="002C1356">
        <w:rPr>
          <w:rFonts w:ascii="Times New Roman" w:hAnsi="Times New Roman"/>
          <w:i/>
          <w:sz w:val="24"/>
          <w:szCs w:val="24"/>
        </w:rPr>
        <w:t>As Fontes dos Ser</w:t>
      </w:r>
      <w:r w:rsidRPr="002C1356">
        <w:rPr>
          <w:rFonts w:ascii="Times New Roman" w:hAnsi="Times New Roman"/>
          <w:sz w:val="24"/>
          <w:szCs w:val="24"/>
        </w:rPr>
        <w:t>) e Alsdair MacIntryre (</w:t>
      </w:r>
      <w:r w:rsidRPr="002C1356">
        <w:rPr>
          <w:rFonts w:ascii="Times New Roman" w:hAnsi="Times New Roman"/>
          <w:i/>
          <w:sz w:val="24"/>
          <w:szCs w:val="24"/>
        </w:rPr>
        <w:t>Depois da Virtude</w:t>
      </w:r>
      <w:r w:rsidRPr="002C1356">
        <w:rPr>
          <w:rFonts w:ascii="Times New Roman" w:hAnsi="Times New Roman"/>
          <w:sz w:val="24"/>
          <w:szCs w:val="24"/>
        </w:rPr>
        <w:t xml:space="preserve">) </w:t>
      </w:r>
      <w:r w:rsidR="00746A6E" w:rsidRPr="002C1356">
        <w:rPr>
          <w:rFonts w:ascii="Times New Roman" w:hAnsi="Times New Roman"/>
          <w:sz w:val="24"/>
          <w:szCs w:val="24"/>
        </w:rPr>
        <w:t xml:space="preserve">uma das </w:t>
      </w:r>
      <w:r w:rsidRPr="002C1356">
        <w:rPr>
          <w:rFonts w:ascii="Times New Roman" w:hAnsi="Times New Roman"/>
          <w:sz w:val="24"/>
          <w:szCs w:val="24"/>
        </w:rPr>
        <w:t>responsáveis pela valorização da narrativa como instrumento</w:t>
      </w:r>
      <w:r w:rsidR="00EC60BF" w:rsidRPr="002C1356">
        <w:rPr>
          <w:rFonts w:ascii="Times New Roman" w:hAnsi="Times New Roman"/>
          <w:sz w:val="24"/>
          <w:szCs w:val="24"/>
        </w:rPr>
        <w:t xml:space="preserve"> de reflexão filosófica</w:t>
      </w:r>
      <w:r w:rsidRPr="002C1356">
        <w:rPr>
          <w:rFonts w:ascii="Times New Roman" w:hAnsi="Times New Roman"/>
          <w:sz w:val="24"/>
          <w:szCs w:val="24"/>
        </w:rPr>
        <w:t>.</w:t>
      </w:r>
      <w:r w:rsidRPr="002C1356">
        <w:rPr>
          <w:rStyle w:val="Refdenotaderodap"/>
          <w:rFonts w:ascii="Times New Roman" w:hAnsi="Times New Roman"/>
          <w:sz w:val="24"/>
          <w:szCs w:val="24"/>
        </w:rPr>
        <w:footnoteReference w:id="11"/>
      </w:r>
    </w:p>
    <w:p w14:paraId="42D0A31D" w14:textId="0AE420E8" w:rsidR="003D7DAB" w:rsidRPr="002C1356" w:rsidRDefault="005C6848" w:rsidP="00156CFA">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história principia com a narrativa da sacralidade da pessoa</w:t>
      </w:r>
      <w:r w:rsidR="008117C9" w:rsidRPr="002C1356">
        <w:rPr>
          <w:rFonts w:ascii="Times New Roman" w:hAnsi="Times New Roman"/>
          <w:sz w:val="24"/>
          <w:szCs w:val="24"/>
        </w:rPr>
        <w:t>…</w:t>
      </w:r>
    </w:p>
    <w:p w14:paraId="6CCF1116" w14:textId="77777777" w:rsidR="003D7DAB" w:rsidRPr="002C1356" w:rsidRDefault="003D7DAB">
      <w:pPr>
        <w:rPr>
          <w:rFonts w:ascii="Times New Roman" w:hAnsi="Times New Roman"/>
          <w:sz w:val="24"/>
          <w:szCs w:val="24"/>
        </w:rPr>
      </w:pPr>
      <w:r w:rsidRPr="002C1356">
        <w:rPr>
          <w:rFonts w:ascii="Times New Roman" w:hAnsi="Times New Roman"/>
          <w:sz w:val="24"/>
          <w:szCs w:val="24"/>
        </w:rPr>
        <w:br w:type="page"/>
      </w:r>
    </w:p>
    <w:p w14:paraId="0560223D" w14:textId="5DA2A741" w:rsidR="003D7DAB" w:rsidRPr="002C1356" w:rsidRDefault="003D7DAB" w:rsidP="003D7DAB">
      <w:pPr>
        <w:widowControl w:val="0"/>
        <w:autoSpaceDE w:val="0"/>
        <w:autoSpaceDN w:val="0"/>
        <w:adjustRightInd w:val="0"/>
        <w:spacing w:before="240" w:after="0" w:line="360" w:lineRule="auto"/>
        <w:contextualSpacing/>
        <w:jc w:val="both"/>
        <w:outlineLvl w:val="0"/>
        <w:rPr>
          <w:rFonts w:ascii="Times New Roman" w:hAnsi="Times New Roman"/>
          <w:sz w:val="24"/>
          <w:szCs w:val="24"/>
        </w:rPr>
      </w:pPr>
      <w:r w:rsidRPr="002C1356">
        <w:rPr>
          <w:rFonts w:ascii="Times New Roman" w:hAnsi="Times New Roman"/>
          <w:b/>
          <w:sz w:val="24"/>
          <w:szCs w:val="24"/>
        </w:rPr>
        <w:lastRenderedPageBreak/>
        <w:t>Parte I – Narrativas do Sagrado: Antecedentes dos Direitos Humanos</w:t>
      </w:r>
    </w:p>
    <w:p w14:paraId="540E342F" w14:textId="77777777" w:rsidR="003D7DAB" w:rsidRPr="002C1356" w:rsidRDefault="003D7DAB" w:rsidP="003D7DAB">
      <w:pPr>
        <w:spacing w:line="360" w:lineRule="auto"/>
        <w:ind w:firstLine="708"/>
        <w:contextualSpacing/>
        <w:jc w:val="both"/>
        <w:rPr>
          <w:rFonts w:ascii="Times New Roman" w:hAnsi="Times New Roman"/>
          <w:b/>
          <w:sz w:val="24"/>
          <w:szCs w:val="24"/>
        </w:rPr>
      </w:pPr>
    </w:p>
    <w:p w14:paraId="3FF4C77D" w14:textId="062DCABA"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Na segunda metade do século XVIII</w:t>
      </w:r>
      <w:r w:rsidR="00C44339">
        <w:rPr>
          <w:rFonts w:ascii="Times New Roman" w:hAnsi="Times New Roman"/>
          <w:sz w:val="24"/>
          <w:szCs w:val="24"/>
        </w:rPr>
        <w:t xml:space="preserve">, </w:t>
      </w:r>
      <w:r w:rsidRPr="002C1356">
        <w:rPr>
          <w:rFonts w:ascii="Times New Roman" w:hAnsi="Times New Roman"/>
          <w:sz w:val="24"/>
          <w:szCs w:val="24"/>
        </w:rPr>
        <w:t>no continente europeu</w:t>
      </w:r>
      <w:r w:rsidR="00C44339">
        <w:rPr>
          <w:rFonts w:ascii="Times New Roman" w:hAnsi="Times New Roman"/>
          <w:sz w:val="24"/>
          <w:szCs w:val="24"/>
        </w:rPr>
        <w:t xml:space="preserve">, </w:t>
      </w:r>
      <w:r w:rsidRPr="002C1356">
        <w:rPr>
          <w:rFonts w:ascii="Times New Roman" w:hAnsi="Times New Roman"/>
          <w:sz w:val="24"/>
          <w:szCs w:val="24"/>
        </w:rPr>
        <w:t>tiveram lugar a abolição da tortura como meio de prova e a edição das primeiras normas jurídicas para a abolição da escravidão como direito de propriedade. No ano de 1754, a Prússia aboliu a tortura, em 1772, a Suécia, em 1776 a Áustria e a Boêmia. Em 1789 foi a vez do governo revolucionário da França e, em 1834, da Inglaterra. Em 1794 a França aboliu a escravidão nas suas colônias e, em 1807, no seu território.</w:t>
      </w:r>
      <w:r w:rsidRPr="002C1356">
        <w:rPr>
          <w:rStyle w:val="Refdenotaderodap"/>
          <w:rFonts w:ascii="Times New Roman" w:hAnsi="Times New Roman"/>
          <w:sz w:val="24"/>
          <w:szCs w:val="24"/>
        </w:rPr>
        <w:footnoteReference w:id="12"/>
      </w:r>
    </w:p>
    <w:p w14:paraId="0EB732AE" w14:textId="25C70396"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tocante às etapas para a abolição da escravidão, por parte do Império Britânico, elucida o filósofo de Gana, Kwame Anthony Appiah:</w:t>
      </w:r>
      <w:r w:rsidRPr="002C1356">
        <w:rPr>
          <w:rStyle w:val="Refdenotaderodap"/>
          <w:rFonts w:ascii="Times New Roman" w:hAnsi="Times New Roman"/>
          <w:sz w:val="24"/>
          <w:szCs w:val="24"/>
        </w:rPr>
        <w:footnoteReference w:id="13"/>
      </w:r>
      <w:r w:rsidR="00C44339">
        <w:rPr>
          <w:rFonts w:ascii="Times New Roman" w:hAnsi="Times New Roman"/>
          <w:sz w:val="24"/>
          <w:szCs w:val="24"/>
        </w:rPr>
        <w:t xml:space="preserve"> </w:t>
      </w:r>
    </w:p>
    <w:p w14:paraId="58527FBA" w14:textId="64EB0ACE" w:rsidR="003D7DAB" w:rsidRPr="009D7E8B" w:rsidRDefault="003D7DAB" w:rsidP="009D7E8B">
      <w:pPr>
        <w:pStyle w:val="Citao1"/>
        <w:ind w:firstLine="3"/>
        <w:contextualSpacing/>
      </w:pPr>
      <w:r w:rsidRPr="002C1356">
        <w:t xml:space="preserve">O parlamento do Reino Unido aboliu o tráfico de escravos em 1807, decretou o fim da escravidão colonial em 1833 e abandonou o sistema de aprendizagem de negros, que se seguiu à escravidão nas Índias Ocidentais em 1838, libertando, assim, ao final, mais de 750 mil escravos. </w:t>
      </w:r>
    </w:p>
    <w:p w14:paraId="6FFAD66A" w14:textId="77777777" w:rsidR="003D7DAB" w:rsidRPr="002C1356" w:rsidRDefault="003D7DAB" w:rsidP="003D7DAB">
      <w:pPr>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Em relação ao século XIX, no que tange ao Direito Internacional, aponta Celso Lafer:</w:t>
      </w:r>
      <w:r w:rsidRPr="002C1356">
        <w:rPr>
          <w:rStyle w:val="Refdenotaderodap"/>
          <w:rFonts w:ascii="Times New Roman" w:hAnsi="Times New Roman"/>
          <w:sz w:val="24"/>
          <w:szCs w:val="24"/>
        </w:rPr>
        <w:footnoteReference w:id="14"/>
      </w:r>
      <w:r w:rsidRPr="002C1356">
        <w:rPr>
          <w:rFonts w:ascii="Times New Roman" w:hAnsi="Times New Roman"/>
          <w:i/>
          <w:sz w:val="24"/>
          <w:szCs w:val="24"/>
        </w:rPr>
        <w:t xml:space="preserve"> </w:t>
      </w:r>
    </w:p>
    <w:p w14:paraId="7FDB0935" w14:textId="5EE145F1" w:rsidR="003D7DAB" w:rsidRPr="009D7E8B" w:rsidRDefault="003D7DAB" w:rsidP="009D7E8B">
      <w:pPr>
        <w:pStyle w:val="Citao1"/>
        <w:ind w:firstLine="0"/>
        <w:contextualSpacing/>
      </w:pPr>
      <w:r w:rsidRPr="002C1356">
        <w:t xml:space="preserve">No século XIX, uma primeira mobilização internacional em prol da dignidade humana foi o empenho na proibição do tráfico de escravos. Apoiada na esquadra britânica, voltou-se para a abolição da escravatura como uma instituição incompatível com a modernidade política e econômica. Cabe, igualmente, referência ao início do direito internacional humanitário com a criação da Cruz Vermelha. </w:t>
      </w:r>
    </w:p>
    <w:p w14:paraId="10FD412D" w14:textId="5211FB9C"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Em relação ao </w:t>
      </w:r>
      <w:r w:rsidRPr="002C1356">
        <w:rPr>
          <w:rFonts w:ascii="Times New Roman" w:hAnsi="Times New Roman"/>
          <w:i/>
          <w:sz w:val="24"/>
          <w:szCs w:val="24"/>
        </w:rPr>
        <w:t>jus in bello</w:t>
      </w:r>
      <w:r w:rsidRPr="002C1356">
        <w:rPr>
          <w:rFonts w:ascii="Times New Roman" w:hAnsi="Times New Roman"/>
          <w:sz w:val="24"/>
          <w:szCs w:val="24"/>
        </w:rPr>
        <w:t>, no continente Europeu,</w:t>
      </w:r>
      <w:r w:rsidRPr="002C1356">
        <w:rPr>
          <w:rFonts w:ascii="Times New Roman" w:hAnsi="Times New Roman"/>
          <w:i/>
          <w:sz w:val="24"/>
          <w:szCs w:val="24"/>
        </w:rPr>
        <w:t xml:space="preserve"> </w:t>
      </w:r>
      <w:r w:rsidRPr="002C1356">
        <w:rPr>
          <w:rFonts w:ascii="Times New Roman" w:hAnsi="Times New Roman"/>
          <w:sz w:val="24"/>
          <w:szCs w:val="24"/>
        </w:rPr>
        <w:t xml:space="preserve">no ano de 1863, foi estabelecido o Comitê Internacional da Cruz Vermelha (CICV) e, durante o ano de 1864, por iniciativa do governo da Suíça, teve lugar, na cidade de Genebra, uma Conferência Diplomática que, como resultado, adotou, no dia 22 de agosto de 1864, um tratado de dez artigos, vale dizer: </w:t>
      </w:r>
      <w:r w:rsidRPr="002C1356">
        <w:rPr>
          <w:rFonts w:ascii="Times New Roman" w:hAnsi="Times New Roman"/>
          <w:i/>
          <w:sz w:val="24"/>
          <w:szCs w:val="24"/>
        </w:rPr>
        <w:t>A Convenção para Melhoria das Condições dos Feridos e dos Enfermos das Forças Armadas em Campanha</w:t>
      </w:r>
      <w:r w:rsidRPr="002C1356">
        <w:rPr>
          <w:rFonts w:ascii="Times New Roman" w:hAnsi="Times New Roman"/>
          <w:sz w:val="24"/>
          <w:szCs w:val="24"/>
        </w:rPr>
        <w:t xml:space="preserve">. Em 1899, um segundo tratado foi estabelecido: </w:t>
      </w:r>
      <w:r w:rsidRPr="002C1356">
        <w:rPr>
          <w:rFonts w:ascii="Times New Roman" w:hAnsi="Times New Roman"/>
          <w:i/>
          <w:sz w:val="24"/>
          <w:szCs w:val="24"/>
        </w:rPr>
        <w:t>A Convenção para Melhoria das Condições dos Feridos, Enfermos N</w:t>
      </w:r>
      <w:r w:rsidR="00C44339">
        <w:rPr>
          <w:rFonts w:ascii="Times New Roman" w:hAnsi="Times New Roman"/>
          <w:i/>
          <w:sz w:val="24"/>
          <w:szCs w:val="24"/>
        </w:rPr>
        <w:t>áufra</w:t>
      </w:r>
      <w:r w:rsidRPr="002C1356">
        <w:rPr>
          <w:rFonts w:ascii="Times New Roman" w:hAnsi="Times New Roman"/>
          <w:i/>
          <w:sz w:val="24"/>
          <w:szCs w:val="24"/>
        </w:rPr>
        <w:t xml:space="preserve">gos das Forças Armadas no Mar. </w:t>
      </w:r>
      <w:r w:rsidRPr="002C1356">
        <w:rPr>
          <w:rFonts w:ascii="Times New Roman" w:hAnsi="Times New Roman"/>
          <w:sz w:val="24"/>
          <w:szCs w:val="24"/>
        </w:rPr>
        <w:t xml:space="preserve">Esse segundo tratado apenas ampliou para um </w:t>
      </w:r>
      <w:r w:rsidRPr="002C1356">
        <w:rPr>
          <w:rFonts w:ascii="Times New Roman" w:hAnsi="Times New Roman"/>
          <w:sz w:val="24"/>
          <w:szCs w:val="24"/>
        </w:rPr>
        <w:lastRenderedPageBreak/>
        <w:t>outro grupo de pessoas a aplicação dos princípios da Convenção de 1864</w:t>
      </w:r>
      <w:r w:rsidRPr="002C1356">
        <w:rPr>
          <w:rStyle w:val="Refdenotaderodap"/>
          <w:rFonts w:ascii="Times New Roman" w:hAnsi="Times New Roman"/>
          <w:sz w:val="24"/>
          <w:szCs w:val="24"/>
        </w:rPr>
        <w:footnoteReference w:id="15"/>
      </w:r>
      <w:r w:rsidRPr="002C1356">
        <w:rPr>
          <w:rFonts w:ascii="Times New Roman" w:hAnsi="Times New Roman"/>
          <w:sz w:val="24"/>
          <w:szCs w:val="24"/>
        </w:rPr>
        <w:t xml:space="preserve"> de forma que, no final do século XIX, ocorre a emergência histórica de quatro temas de direitos humanos que se relacionam com a edição de normas proibitivas no plano nacional ou internacional, a saber: abolição da escravidão como direito de propriedade de uma pessoa em relação a outra, proibição do tráfico negreiro e da tortura </w:t>
      </w:r>
      <w:r w:rsidR="00C619DE">
        <w:rPr>
          <w:rFonts w:ascii="Times New Roman" w:hAnsi="Times New Roman"/>
          <w:sz w:val="24"/>
          <w:szCs w:val="24"/>
        </w:rPr>
        <w:t xml:space="preserve">como meio de prova proteção de </w:t>
      </w:r>
      <w:r w:rsidRPr="002C1356">
        <w:rPr>
          <w:rFonts w:ascii="Times New Roman" w:hAnsi="Times New Roman"/>
          <w:sz w:val="24"/>
          <w:szCs w:val="24"/>
        </w:rPr>
        <w:t>feridos e enfermos das Forças Armadas em Campanha e no mar e náufragos das Forças Armadas no Mar.</w:t>
      </w:r>
    </w:p>
    <w:p w14:paraId="5EBA05D5"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Esses quatro temas de direitos humanos estão diretamente relacionados com a proteção da integridade física e psíquica da pessoa. Em relação a tal aspecto esclarecedor, o comentário de Axel Honneth:</w:t>
      </w:r>
      <w:r w:rsidRPr="002C1356">
        <w:rPr>
          <w:rStyle w:val="Refdenotaderodap"/>
          <w:rFonts w:ascii="Times New Roman" w:hAnsi="Times New Roman"/>
          <w:sz w:val="24"/>
          <w:szCs w:val="24"/>
        </w:rPr>
        <w:footnoteReference w:id="16"/>
      </w:r>
    </w:p>
    <w:p w14:paraId="1B87C564" w14:textId="7E2708EB" w:rsidR="003D7DAB" w:rsidRDefault="00C44339" w:rsidP="009D7E8B">
      <w:pPr>
        <w:pStyle w:val="Citao1"/>
        <w:ind w:left="2126" w:firstLine="6"/>
        <w:contextualSpacing/>
        <w:rPr>
          <w:szCs w:val="22"/>
        </w:rPr>
      </w:pPr>
      <w:r w:rsidRPr="002C1356">
        <w:t xml:space="preserve"> </w:t>
      </w:r>
      <w:r w:rsidR="003D7DAB" w:rsidRPr="002C1356">
        <w:t xml:space="preserve">(...) estudos psicológicos que estudam as pessoas depois de passarem por experiências de tortura e estupro frequentemente falam de “morte psicológica”. Pesquisas relacionadas ao processo coletivo de negação de direitos e ostracismo social, que usam a escravidão como exemplo, </w:t>
      </w:r>
      <w:r w:rsidR="003D7DAB" w:rsidRPr="009D7E8B">
        <w:rPr>
          <w:szCs w:val="22"/>
        </w:rPr>
        <w:t>agora rotineiramente trabalham com o conceito de “morte social”.</w:t>
      </w:r>
    </w:p>
    <w:p w14:paraId="37C6E925" w14:textId="77777777" w:rsidR="009D7E8B" w:rsidRPr="002C1356" w:rsidRDefault="009D7E8B" w:rsidP="009D7E8B">
      <w:pPr>
        <w:pStyle w:val="Citao1"/>
        <w:ind w:left="2126" w:firstLine="6"/>
        <w:contextualSpacing/>
      </w:pPr>
    </w:p>
    <w:p w14:paraId="42AC59AE"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Argumenta Honneth que uma moralidade do reconhecimento é fundamentada em normas proibitivas. Dito de outro modo, o reconhecimento do indivíduo como pessoa demanda o impedimento legal da violação do seu direito a integridade física e psíquica. </w:t>
      </w:r>
    </w:p>
    <w:p w14:paraId="68F94592"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No ano de 1898, a mentalidade da época era capaz de aceitar a moralidade mínima do reconhecimento, de modo que, para o pensamento jurídico e social da época, era possível a compreensão da expressão criada por Durkheim: </w:t>
      </w:r>
      <w:r w:rsidRPr="002C1356">
        <w:rPr>
          <w:rFonts w:ascii="Times New Roman" w:hAnsi="Times New Roman"/>
          <w:i/>
          <w:sz w:val="24"/>
          <w:szCs w:val="24"/>
        </w:rPr>
        <w:t>A sacralidade da pessoa.</w:t>
      </w:r>
    </w:p>
    <w:p w14:paraId="3DEED851" w14:textId="77777777" w:rsidR="003D7DAB" w:rsidRPr="002C1356" w:rsidRDefault="003D7DAB" w:rsidP="003D7DAB">
      <w:pPr>
        <w:spacing w:line="360" w:lineRule="auto"/>
        <w:ind w:firstLine="708"/>
        <w:contextualSpacing/>
        <w:jc w:val="both"/>
        <w:rPr>
          <w:rFonts w:ascii="Times New Roman" w:hAnsi="Times New Roman"/>
          <w:i/>
          <w:sz w:val="24"/>
          <w:szCs w:val="24"/>
        </w:rPr>
      </w:pPr>
    </w:p>
    <w:p w14:paraId="550E00A7" w14:textId="74547C64" w:rsidR="003D7DAB" w:rsidRPr="00B05CCC" w:rsidRDefault="003D7DAB" w:rsidP="003D7DAB">
      <w:pPr>
        <w:pStyle w:val="PargrafodaLista"/>
        <w:numPr>
          <w:ilvl w:val="1"/>
          <w:numId w:val="26"/>
        </w:numPr>
        <w:spacing w:after="0" w:line="360" w:lineRule="auto"/>
        <w:jc w:val="both"/>
        <w:rPr>
          <w:rFonts w:ascii="Times New Roman" w:hAnsi="Times New Roman"/>
          <w:b/>
          <w:sz w:val="24"/>
          <w:szCs w:val="24"/>
        </w:rPr>
      </w:pPr>
      <w:r w:rsidRPr="00B05CCC">
        <w:rPr>
          <w:rFonts w:ascii="Times New Roman" w:hAnsi="Times New Roman"/>
          <w:b/>
          <w:sz w:val="24"/>
          <w:szCs w:val="24"/>
        </w:rPr>
        <w:t xml:space="preserve">A Sacralidade da Pessoa </w:t>
      </w:r>
    </w:p>
    <w:p w14:paraId="153BEFA5"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i/>
          <w:sz w:val="24"/>
          <w:szCs w:val="24"/>
        </w:rPr>
        <w:t>A Sacralidade da Pessoa</w:t>
      </w:r>
      <w:r w:rsidRPr="002C1356">
        <w:rPr>
          <w:rFonts w:ascii="Times New Roman" w:hAnsi="Times New Roman"/>
          <w:sz w:val="24"/>
          <w:szCs w:val="24"/>
        </w:rPr>
        <w:t>: nova genealogia afirmativa dos direitos humanos é o livro no qual Hans Joas consolida diversas inquietações teóricas. A genealogia de Joas tem seu início nos séculos XVIII e XIX.</w:t>
      </w:r>
    </w:p>
    <w:p w14:paraId="376552C7" w14:textId="2ECD5AC6" w:rsidR="003D7DAB" w:rsidRPr="002C1356" w:rsidRDefault="00C619DE" w:rsidP="003D7DAB">
      <w:pPr>
        <w:widowControl w:val="0"/>
        <w:autoSpaceDE w:val="0"/>
        <w:autoSpaceDN w:val="0"/>
        <w:adjustRightInd w:val="0"/>
        <w:spacing w:line="360" w:lineRule="auto"/>
        <w:ind w:firstLine="720"/>
        <w:contextualSpacing/>
        <w:jc w:val="both"/>
        <w:rPr>
          <w:rFonts w:ascii="Times New Roman" w:hAnsi="Times New Roman"/>
          <w:sz w:val="24"/>
          <w:szCs w:val="24"/>
        </w:rPr>
      </w:pPr>
      <w:r>
        <w:rPr>
          <w:rFonts w:ascii="Times New Roman" w:hAnsi="Times New Roman"/>
          <w:sz w:val="24"/>
          <w:szCs w:val="24"/>
        </w:rPr>
        <w:t>Hans Joas</w:t>
      </w:r>
      <w:r w:rsidR="003D7DAB" w:rsidRPr="002C1356">
        <w:rPr>
          <w:rFonts w:ascii="Times New Roman" w:hAnsi="Times New Roman"/>
          <w:sz w:val="24"/>
          <w:szCs w:val="24"/>
        </w:rPr>
        <w:t>, Ju</w:t>
      </w:r>
      <w:r>
        <w:rPr>
          <w:rFonts w:ascii="Times New Roman" w:hAnsi="Times New Roman"/>
          <w:sz w:val="24"/>
          <w:szCs w:val="24"/>
        </w:rPr>
        <w:t xml:space="preserve">rgen Habermas, Karl-Otto Apel e Axel Honneth </w:t>
      </w:r>
      <w:r w:rsidR="003D7DAB" w:rsidRPr="002C1356">
        <w:rPr>
          <w:rFonts w:ascii="Times New Roman" w:hAnsi="Times New Roman"/>
          <w:sz w:val="24"/>
          <w:szCs w:val="24"/>
        </w:rPr>
        <w:t xml:space="preserve">podem ser considerados os pioneiros do pragmatismo na Alemanha.Entre suas diversas obras, citamos aquelas relacionadas ao tema deste estudo: 1) </w:t>
      </w:r>
      <w:r w:rsidR="003D7DAB" w:rsidRPr="002C1356">
        <w:rPr>
          <w:rFonts w:ascii="Times New Roman" w:hAnsi="Times New Roman"/>
          <w:i/>
          <w:iCs/>
          <w:sz w:val="24"/>
          <w:szCs w:val="24"/>
        </w:rPr>
        <w:t>Pragmatism and Social Theory</w:t>
      </w:r>
      <w:r w:rsidR="003D7DAB" w:rsidRPr="002C1356">
        <w:rPr>
          <w:rFonts w:ascii="Times New Roman" w:hAnsi="Times New Roman"/>
          <w:sz w:val="24"/>
          <w:szCs w:val="24"/>
        </w:rPr>
        <w:t xml:space="preserve"> </w:t>
      </w:r>
      <w:r w:rsidR="003D7DAB" w:rsidRPr="002C1356">
        <w:rPr>
          <w:rFonts w:ascii="Times New Roman" w:hAnsi="Times New Roman"/>
          <w:sz w:val="24"/>
          <w:szCs w:val="24"/>
        </w:rPr>
        <w:lastRenderedPageBreak/>
        <w:t xml:space="preserve">(1993) que, em diversos ensaios mostra a importância do pragmatismo para a Teoria Social; 2) </w:t>
      </w:r>
      <w:r w:rsidR="003D7DAB" w:rsidRPr="002C1356">
        <w:rPr>
          <w:rFonts w:ascii="Times New Roman" w:hAnsi="Times New Roman"/>
          <w:i/>
          <w:iCs/>
          <w:sz w:val="24"/>
          <w:szCs w:val="24"/>
        </w:rPr>
        <w:t>The Creativity of Action</w:t>
      </w:r>
      <w:r w:rsidR="003D7DAB" w:rsidRPr="002C1356">
        <w:rPr>
          <w:rFonts w:ascii="Times New Roman" w:hAnsi="Times New Roman"/>
          <w:sz w:val="24"/>
          <w:szCs w:val="24"/>
        </w:rPr>
        <w:t xml:space="preserve"> (1997), que apresenta uma teoria da ação cuja inspiração central é o pragmatismo; e 3) </w:t>
      </w:r>
      <w:r w:rsidR="003D7DAB" w:rsidRPr="002C1356">
        <w:rPr>
          <w:rFonts w:ascii="Times New Roman" w:hAnsi="Times New Roman"/>
          <w:i/>
          <w:sz w:val="24"/>
          <w:szCs w:val="24"/>
        </w:rPr>
        <w:t>George Herbert Mead: A Contemporary Reexamination of his Thought</w:t>
      </w:r>
      <w:r w:rsidR="003D7DAB" w:rsidRPr="002C1356">
        <w:rPr>
          <w:rFonts w:ascii="Times New Roman" w:hAnsi="Times New Roman"/>
          <w:sz w:val="24"/>
          <w:szCs w:val="24"/>
        </w:rPr>
        <w:t xml:space="preserve"> (1985), que atualiza o pensamento do pensador pragmático em tela. </w:t>
      </w:r>
    </w:p>
    <w:p w14:paraId="45255ADC" w14:textId="77777777" w:rsidR="003D7DAB" w:rsidRPr="002C1356" w:rsidRDefault="003D7DAB" w:rsidP="003D7DAB">
      <w:pPr>
        <w:widowControl w:val="0"/>
        <w:autoSpaceDE w:val="0"/>
        <w:autoSpaceDN w:val="0"/>
        <w:adjustRightInd w:val="0"/>
        <w:spacing w:line="360" w:lineRule="auto"/>
        <w:ind w:firstLine="720"/>
        <w:contextualSpacing/>
        <w:jc w:val="both"/>
        <w:rPr>
          <w:rFonts w:ascii="Times New Roman" w:hAnsi="Times New Roman"/>
          <w:sz w:val="24"/>
          <w:szCs w:val="24"/>
        </w:rPr>
      </w:pPr>
      <w:r w:rsidRPr="002C1356">
        <w:rPr>
          <w:rFonts w:ascii="Times New Roman" w:hAnsi="Times New Roman"/>
          <w:sz w:val="24"/>
          <w:szCs w:val="24"/>
        </w:rPr>
        <w:t xml:space="preserve"> </w:t>
      </w:r>
      <w:r w:rsidRPr="002C1356">
        <w:rPr>
          <w:rFonts w:ascii="Times New Roman" w:hAnsi="Times New Roman"/>
          <w:i/>
          <w:sz w:val="24"/>
          <w:szCs w:val="24"/>
        </w:rPr>
        <w:t>The Genesis of Values</w:t>
      </w:r>
      <w:r w:rsidRPr="002C1356">
        <w:rPr>
          <w:rFonts w:ascii="Times New Roman" w:hAnsi="Times New Roman"/>
          <w:sz w:val="24"/>
          <w:szCs w:val="24"/>
        </w:rPr>
        <w:t xml:space="preserve"> (1997) e </w:t>
      </w:r>
      <w:r w:rsidRPr="002C1356">
        <w:rPr>
          <w:rFonts w:ascii="Times New Roman" w:hAnsi="Times New Roman"/>
          <w:i/>
          <w:sz w:val="24"/>
          <w:szCs w:val="24"/>
        </w:rPr>
        <w:t xml:space="preserve">A Sacralidade da Pessoa: Nova Genealogia dos Direitos Humanos </w:t>
      </w:r>
      <w:r w:rsidRPr="002C1356">
        <w:rPr>
          <w:rFonts w:ascii="Times New Roman" w:hAnsi="Times New Roman"/>
          <w:sz w:val="24"/>
          <w:szCs w:val="24"/>
        </w:rPr>
        <w:t>(2011)</w:t>
      </w:r>
      <w:r w:rsidRPr="002C1356">
        <w:rPr>
          <w:rFonts w:ascii="Times New Roman" w:hAnsi="Times New Roman"/>
          <w:i/>
          <w:sz w:val="24"/>
          <w:szCs w:val="24"/>
        </w:rPr>
        <w:t>,</w:t>
      </w:r>
      <w:r w:rsidRPr="002C1356">
        <w:rPr>
          <w:rFonts w:ascii="Times New Roman" w:hAnsi="Times New Roman"/>
          <w:sz w:val="24"/>
          <w:szCs w:val="24"/>
        </w:rPr>
        <w:t xml:space="preserve"> apesar de não diretamente relacionadas ao pragmatismo, são inspirados por essa tradição do pensamento. A fim de ilustrar a presente afirmação, valho-me do clássico texto de William James (1842-1910), “O Pragmatismo, um novo nome para algumas velhas ideias de pensar” (1907) para apresentar, de forma sintética, algumas teses centrais dessa corrente filosófica que auxiliam a compreender essas obras.</w:t>
      </w:r>
    </w:p>
    <w:p w14:paraId="451B7719" w14:textId="77777777" w:rsidR="003D7DAB" w:rsidRPr="002C1356" w:rsidRDefault="003D7DAB" w:rsidP="003D7DAB">
      <w:pPr>
        <w:widowControl w:val="0"/>
        <w:autoSpaceDE w:val="0"/>
        <w:autoSpaceDN w:val="0"/>
        <w:adjustRightInd w:val="0"/>
        <w:spacing w:line="360" w:lineRule="auto"/>
        <w:ind w:firstLine="720"/>
        <w:contextualSpacing/>
        <w:jc w:val="both"/>
        <w:rPr>
          <w:rFonts w:ascii="Times New Roman" w:hAnsi="Times New Roman"/>
          <w:i/>
          <w:sz w:val="24"/>
          <w:szCs w:val="24"/>
        </w:rPr>
      </w:pPr>
      <w:r w:rsidRPr="002C1356">
        <w:rPr>
          <w:rFonts w:ascii="Times New Roman" w:hAnsi="Times New Roman"/>
          <w:sz w:val="24"/>
          <w:szCs w:val="24"/>
        </w:rPr>
        <w:t xml:space="preserve">Em relação ao pragmatismo, esclarece James a importância do estudo dos fatos: “Ele se dirige em direção à concretude e à adequação, em direção à ação e ao poder. (....) Isso significa o ar livre e as possibilidades da natureza, ao contrário dos dogmas, da artificialidade e da pretensão de finalidade na verdade”. </w:t>
      </w:r>
    </w:p>
    <w:p w14:paraId="49B4D75E" w14:textId="2C609186" w:rsidR="003D7DAB" w:rsidRPr="002C1356" w:rsidRDefault="003D7DAB" w:rsidP="003D7DAB">
      <w:pPr>
        <w:widowControl w:val="0"/>
        <w:autoSpaceDE w:val="0"/>
        <w:autoSpaceDN w:val="0"/>
        <w:adjustRightInd w:val="0"/>
        <w:spacing w:line="360" w:lineRule="auto"/>
        <w:ind w:firstLine="720"/>
        <w:contextualSpacing/>
        <w:jc w:val="both"/>
        <w:rPr>
          <w:rFonts w:ascii="Times New Roman" w:hAnsi="Times New Roman"/>
          <w:sz w:val="24"/>
          <w:szCs w:val="24"/>
        </w:rPr>
      </w:pPr>
      <w:r w:rsidRPr="002C1356">
        <w:rPr>
          <w:rFonts w:ascii="Times New Roman" w:hAnsi="Times New Roman"/>
          <w:sz w:val="24"/>
          <w:szCs w:val="24"/>
        </w:rPr>
        <w:t>Aponta James que o pragmatismo é um método que demanda uma nova “atitude de orientação”: (...) “A atitude de ‘olhar para trás’ para as primeiras coisas, os princípios, as ‘categorias’, as supostas necessidades; e ‘olha</w:t>
      </w:r>
      <w:r w:rsidR="00CD5839">
        <w:rPr>
          <w:rFonts w:ascii="Times New Roman" w:hAnsi="Times New Roman"/>
          <w:sz w:val="24"/>
          <w:szCs w:val="24"/>
        </w:rPr>
        <w:t>r</w:t>
      </w:r>
      <w:r w:rsidRPr="002C1356">
        <w:rPr>
          <w:rFonts w:ascii="Times New Roman" w:hAnsi="Times New Roman"/>
          <w:sz w:val="24"/>
          <w:szCs w:val="24"/>
        </w:rPr>
        <w:t xml:space="preserve"> para frente’ em direção às últimas coisas, aos frutos, às consequências, aos fatos.”</w:t>
      </w:r>
      <w:r w:rsidRPr="002C1356">
        <w:rPr>
          <w:rStyle w:val="Refdenotaderodap"/>
          <w:rFonts w:ascii="Times New Roman" w:hAnsi="Times New Roman"/>
          <w:sz w:val="24"/>
          <w:szCs w:val="24"/>
        </w:rPr>
        <w:footnoteReference w:id="17"/>
      </w:r>
      <w:r w:rsidRPr="002C1356">
        <w:rPr>
          <w:rFonts w:ascii="Times New Roman" w:hAnsi="Times New Roman"/>
          <w:sz w:val="24"/>
          <w:szCs w:val="24"/>
        </w:rPr>
        <w:t xml:space="preserve"> </w:t>
      </w:r>
    </w:p>
    <w:p w14:paraId="39B71075" w14:textId="1A51072A" w:rsidR="003D7DAB" w:rsidRPr="002C1356" w:rsidRDefault="003D7DAB" w:rsidP="003D7DAB">
      <w:pPr>
        <w:widowControl w:val="0"/>
        <w:autoSpaceDE w:val="0"/>
        <w:autoSpaceDN w:val="0"/>
        <w:adjustRightInd w:val="0"/>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É importante ter claro que a possibilidade de aplicar os conceitos às mais diversas experiências abre uma vasta gama de possibilidades de experimentação e mostra a centralidade da experiência subjetiva. Argumenta James: “Essas ideias (as quais são apenas partes de nossa experiência) tornam-se verdadeiras apenas e tão somente quando nos ajudam a manter relações satisfatórias com outras partes de nossa experiência”.</w:t>
      </w:r>
      <w:r w:rsidRPr="002C1356">
        <w:rPr>
          <w:rStyle w:val="Refdenotaderodap"/>
          <w:rFonts w:ascii="Times New Roman" w:hAnsi="Times New Roman"/>
          <w:sz w:val="24"/>
          <w:szCs w:val="24"/>
        </w:rPr>
        <w:footnoteReference w:id="18"/>
      </w:r>
    </w:p>
    <w:p w14:paraId="0D95E79E" w14:textId="77777777" w:rsidR="008301C5" w:rsidRDefault="003D7DAB" w:rsidP="003D7DAB">
      <w:pPr>
        <w:widowControl w:val="0"/>
        <w:autoSpaceDE w:val="0"/>
        <w:autoSpaceDN w:val="0"/>
        <w:adjustRightInd w:val="0"/>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Em </w:t>
      </w:r>
      <w:r w:rsidRPr="002C1356">
        <w:rPr>
          <w:rFonts w:ascii="Times New Roman" w:hAnsi="Times New Roman"/>
          <w:i/>
          <w:sz w:val="24"/>
          <w:szCs w:val="24"/>
        </w:rPr>
        <w:t>The Genesis of Values</w:t>
      </w:r>
      <w:r w:rsidRPr="002C1356">
        <w:rPr>
          <w:rFonts w:ascii="Times New Roman" w:hAnsi="Times New Roman"/>
          <w:sz w:val="24"/>
          <w:szCs w:val="24"/>
        </w:rPr>
        <w:t>, Joas dialoga com diversos autores que apresentaram – de alguma forma – um conceito diverso de valor. E é por meio dessa “conversa intelectual” – uma das características do pragmatismo que o autor extrai o seu próprio conceito.</w:t>
      </w:r>
      <w:r w:rsidRPr="002C1356">
        <w:rPr>
          <w:rStyle w:val="Refdenotaderodap"/>
          <w:rFonts w:ascii="Times New Roman" w:hAnsi="Times New Roman"/>
          <w:sz w:val="24"/>
          <w:szCs w:val="24"/>
        </w:rPr>
        <w:footnoteReference w:id="19"/>
      </w:r>
      <w:r w:rsidRPr="002C1356">
        <w:rPr>
          <w:rFonts w:ascii="Times New Roman" w:hAnsi="Times New Roman"/>
          <w:sz w:val="24"/>
          <w:szCs w:val="24"/>
        </w:rPr>
        <w:t xml:space="preserve"> Conforme afirmação do próprio Joas</w:t>
      </w:r>
      <w:r w:rsidRPr="002C1356">
        <w:rPr>
          <w:rStyle w:val="Refdenotaderodap"/>
          <w:rFonts w:ascii="Times New Roman" w:hAnsi="Times New Roman"/>
          <w:sz w:val="24"/>
          <w:szCs w:val="24"/>
        </w:rPr>
        <w:footnoteReference w:id="20"/>
      </w:r>
      <w:r w:rsidRPr="002C1356">
        <w:rPr>
          <w:rFonts w:ascii="Times New Roman" w:hAnsi="Times New Roman"/>
          <w:sz w:val="24"/>
          <w:szCs w:val="24"/>
        </w:rPr>
        <w:t xml:space="preserve"> no livro </w:t>
      </w:r>
      <w:r w:rsidRPr="002C1356">
        <w:rPr>
          <w:rFonts w:ascii="Times New Roman" w:hAnsi="Times New Roman"/>
          <w:i/>
          <w:sz w:val="24"/>
          <w:szCs w:val="24"/>
        </w:rPr>
        <w:t>A Sacralidade da Pessoa</w:t>
      </w:r>
      <w:r w:rsidRPr="002C1356">
        <w:rPr>
          <w:rFonts w:ascii="Times New Roman" w:hAnsi="Times New Roman"/>
          <w:sz w:val="24"/>
          <w:szCs w:val="24"/>
        </w:rPr>
        <w:t xml:space="preserve">, é aplicado o método concebido em </w:t>
      </w:r>
      <w:r w:rsidRPr="002C1356">
        <w:rPr>
          <w:rFonts w:ascii="Times New Roman" w:hAnsi="Times New Roman"/>
          <w:i/>
          <w:sz w:val="24"/>
          <w:szCs w:val="24"/>
        </w:rPr>
        <w:t>The Genesis of Values</w:t>
      </w:r>
      <w:r w:rsidRPr="002C1356">
        <w:rPr>
          <w:rFonts w:ascii="Times New Roman" w:hAnsi="Times New Roman"/>
          <w:sz w:val="24"/>
          <w:szCs w:val="24"/>
        </w:rPr>
        <w:t>. No livro em tela, Joas afirma “a própria pessoa humana se transforma em objeto sagrado”;</w:t>
      </w:r>
      <w:r w:rsidRPr="002C1356">
        <w:rPr>
          <w:rFonts w:ascii="Times New Roman" w:hAnsi="Times New Roman"/>
          <w:i/>
          <w:sz w:val="24"/>
          <w:szCs w:val="24"/>
        </w:rPr>
        <w:t xml:space="preserve"> </w:t>
      </w:r>
      <w:r w:rsidRPr="002C1356">
        <w:rPr>
          <w:rFonts w:ascii="Times New Roman" w:hAnsi="Times New Roman"/>
          <w:sz w:val="24"/>
          <w:szCs w:val="24"/>
        </w:rPr>
        <w:t xml:space="preserve">continuando seu raciocínio o </w:t>
      </w:r>
      <w:r w:rsidRPr="002C1356">
        <w:rPr>
          <w:rFonts w:ascii="Times New Roman" w:hAnsi="Times New Roman"/>
          <w:sz w:val="24"/>
          <w:szCs w:val="24"/>
        </w:rPr>
        <w:lastRenderedPageBreak/>
        <w:t>autor mostra que a expressão “a sacralidade da pessoa” foi concebida por Émile Durkheim no artigo “O individualismo e os intelectuais” (1898), elaborado por ocasião de uma polêmica no âmbito da discussão intelectual do caso Dreyfus (1894-1906).</w:t>
      </w:r>
    </w:p>
    <w:p w14:paraId="3EFF3424" w14:textId="4AE35A1C" w:rsidR="003D7DAB" w:rsidRDefault="003D7DAB" w:rsidP="003D7DAB">
      <w:pPr>
        <w:widowControl w:val="0"/>
        <w:autoSpaceDE w:val="0"/>
        <w:autoSpaceDN w:val="0"/>
        <w:adjustRightInd w:val="0"/>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 </w:t>
      </w:r>
    </w:p>
    <w:p w14:paraId="5F802889" w14:textId="77777777" w:rsidR="003D7DAB" w:rsidRPr="002C1356" w:rsidRDefault="003D7DAB" w:rsidP="003D7DAB">
      <w:pPr>
        <w:pStyle w:val="PargrafodaLista"/>
        <w:widowControl w:val="0"/>
        <w:numPr>
          <w:ilvl w:val="2"/>
          <w:numId w:val="25"/>
        </w:numPr>
        <w:autoSpaceDE w:val="0"/>
        <w:autoSpaceDN w:val="0"/>
        <w:adjustRightInd w:val="0"/>
        <w:spacing w:line="360" w:lineRule="auto"/>
        <w:jc w:val="both"/>
        <w:rPr>
          <w:rFonts w:ascii="Times New Roman" w:hAnsi="Times New Roman"/>
          <w:b/>
          <w:sz w:val="24"/>
          <w:szCs w:val="24"/>
        </w:rPr>
      </w:pPr>
      <w:r w:rsidRPr="002C1356">
        <w:rPr>
          <w:rFonts w:ascii="Times New Roman" w:hAnsi="Times New Roman"/>
          <w:b/>
          <w:sz w:val="24"/>
          <w:szCs w:val="24"/>
        </w:rPr>
        <w:t>A Sacralidade da Pessoa os Direitos do Homem e do Cidadão (1898)</w:t>
      </w:r>
    </w:p>
    <w:p w14:paraId="5E2D7C2F" w14:textId="77777777" w:rsidR="003D7DAB" w:rsidRPr="002C1356" w:rsidRDefault="003D7DAB" w:rsidP="003D7DAB">
      <w:pPr>
        <w:widowControl w:val="0"/>
        <w:autoSpaceDE w:val="0"/>
        <w:autoSpaceDN w:val="0"/>
        <w:adjustRightInd w:val="0"/>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afirmação da “sacralidade da pessoa” contribuiu para a elaboração de uma nova narrativa determinante para o surgimento de um processo de generalização desse valor que ocorreu na oportunidade da redação da Declaração Universal dos Direitos Humanos (1948). O último capítulo é dedicado a uma reflexão histórica a respeito desse documento. Joas, em uma atitude teórica balizada pelo pragmatismo, analisa a DUDH como uma “última coisa”, um “fato”, realizando um esforço intelectual para compreender quais foram as forças históricas que possibilitaram seu surgimento. </w:t>
      </w:r>
    </w:p>
    <w:p w14:paraId="12020167" w14:textId="77777777" w:rsidR="003D7DAB" w:rsidRPr="002C1356" w:rsidRDefault="003D7DAB" w:rsidP="003D7DAB">
      <w:pPr>
        <w:widowControl w:val="0"/>
        <w:autoSpaceDE w:val="0"/>
        <w:autoSpaceDN w:val="0"/>
        <w:adjustRightInd w:val="0"/>
        <w:spacing w:line="360" w:lineRule="auto"/>
        <w:ind w:firstLine="720"/>
        <w:contextualSpacing/>
        <w:jc w:val="both"/>
        <w:rPr>
          <w:rFonts w:ascii="Times New Roman" w:hAnsi="Times New Roman"/>
          <w:sz w:val="24"/>
          <w:szCs w:val="24"/>
        </w:rPr>
      </w:pPr>
      <w:r w:rsidRPr="002C1356">
        <w:rPr>
          <w:rFonts w:ascii="Times New Roman" w:hAnsi="Times New Roman"/>
          <w:sz w:val="24"/>
          <w:szCs w:val="24"/>
        </w:rPr>
        <w:t xml:space="preserve">No capítulo II, “A sacralização da pessoa e as ameaças a ela”, Joas deixa de apresentar o contexto histórico, no qual foi formulada por Durkheim, a expressão a “sacralidade da pessoa”. Referido contexto é único e singular na história política da França e, portanto, é imprescindível a referência a ele. </w:t>
      </w:r>
    </w:p>
    <w:p w14:paraId="71FC763A" w14:textId="77777777" w:rsidR="003D7DAB" w:rsidRPr="002C1356" w:rsidRDefault="003D7DAB" w:rsidP="003D7DAB">
      <w:pPr>
        <w:widowControl w:val="0"/>
        <w:autoSpaceDE w:val="0"/>
        <w:autoSpaceDN w:val="0"/>
        <w:adjustRightInd w:val="0"/>
        <w:spacing w:line="360" w:lineRule="auto"/>
        <w:ind w:firstLine="720"/>
        <w:contextualSpacing/>
        <w:jc w:val="both"/>
        <w:rPr>
          <w:rFonts w:ascii="Times New Roman" w:hAnsi="Times New Roman"/>
          <w:sz w:val="24"/>
          <w:szCs w:val="24"/>
        </w:rPr>
      </w:pPr>
      <w:r w:rsidRPr="002C1356">
        <w:rPr>
          <w:rFonts w:ascii="Times New Roman" w:hAnsi="Times New Roman"/>
          <w:sz w:val="24"/>
          <w:szCs w:val="24"/>
        </w:rPr>
        <w:t xml:space="preserve">Trata-se do caso Dreyfus que dividiu a França, de 1894 a 1906, entre </w:t>
      </w:r>
      <w:r w:rsidRPr="002C1356">
        <w:rPr>
          <w:rFonts w:ascii="Times New Roman" w:hAnsi="Times New Roman"/>
          <w:i/>
          <w:sz w:val="24"/>
          <w:szCs w:val="24"/>
        </w:rPr>
        <w:t xml:space="preserve">dreyfusards </w:t>
      </w:r>
      <w:r w:rsidRPr="002C1356">
        <w:rPr>
          <w:rFonts w:ascii="Times New Roman" w:hAnsi="Times New Roman"/>
          <w:sz w:val="24"/>
          <w:szCs w:val="24"/>
        </w:rPr>
        <w:t xml:space="preserve">e </w:t>
      </w:r>
      <w:r w:rsidRPr="002C1356">
        <w:rPr>
          <w:rFonts w:ascii="Times New Roman" w:hAnsi="Times New Roman"/>
          <w:i/>
          <w:sz w:val="24"/>
          <w:szCs w:val="24"/>
        </w:rPr>
        <w:t xml:space="preserve">antidreyfusards. </w:t>
      </w:r>
      <w:r w:rsidRPr="002C1356">
        <w:rPr>
          <w:rFonts w:ascii="Times New Roman" w:hAnsi="Times New Roman"/>
          <w:sz w:val="24"/>
          <w:szCs w:val="24"/>
        </w:rPr>
        <w:t>A compreensão do caso, em suas raízes, tem como momento inicial a Declaração dos Direitos do Homem e do Cidadão (26 de agosto de 1789; com 17 artigos) e da Constituição Francesa (03 de setembro de 1791) que incorporou a Declaração no seu texto final, ampliando-a para 35 artigos.</w:t>
      </w:r>
      <w:r w:rsidRPr="002C1356">
        <w:rPr>
          <w:rStyle w:val="Refdenotaderodap"/>
          <w:rFonts w:ascii="Times New Roman" w:hAnsi="Times New Roman"/>
          <w:sz w:val="24"/>
          <w:szCs w:val="24"/>
        </w:rPr>
        <w:footnoteReference w:id="21"/>
      </w:r>
      <w:r w:rsidRPr="002C1356">
        <w:rPr>
          <w:rFonts w:ascii="Times New Roman" w:hAnsi="Times New Roman"/>
          <w:sz w:val="24"/>
          <w:szCs w:val="24"/>
        </w:rPr>
        <w:t xml:space="preserve"> </w:t>
      </w:r>
    </w:p>
    <w:p w14:paraId="7D50768B"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No tocante à Declaração dos Direitos do Homem e do Cidadão, é oportuno o comentário de Arendt:</w:t>
      </w:r>
      <w:r w:rsidRPr="002C1356">
        <w:rPr>
          <w:rFonts w:ascii="Times New Roman" w:hAnsi="Times New Roman"/>
          <w:i/>
          <w:sz w:val="24"/>
          <w:szCs w:val="24"/>
        </w:rPr>
        <w:t xml:space="preserve"> </w:t>
      </w:r>
      <w:r w:rsidRPr="002C1356">
        <w:rPr>
          <w:rFonts w:ascii="Times New Roman" w:hAnsi="Times New Roman"/>
          <w:sz w:val="24"/>
          <w:szCs w:val="24"/>
          <w:u w:val="single"/>
        </w:rPr>
        <w:t>“</w:t>
      </w:r>
      <w:r w:rsidRPr="002C1356">
        <w:rPr>
          <w:rFonts w:ascii="Times New Roman" w:hAnsi="Times New Roman"/>
          <w:sz w:val="24"/>
          <w:szCs w:val="24"/>
        </w:rPr>
        <w:t>A Declaração dos Direitos do Homem, no fim do século XVIII, foi um marco decisivo da história. Significava que doravante o Homem, e não o comando de Deus nem os costumes da história, seria a fonte da Lei”.</w:t>
      </w:r>
      <w:r w:rsidRPr="002C1356">
        <w:rPr>
          <w:rStyle w:val="Refdenotaderodap"/>
          <w:rFonts w:ascii="Times New Roman" w:hAnsi="Times New Roman"/>
          <w:sz w:val="24"/>
          <w:szCs w:val="24"/>
        </w:rPr>
        <w:footnoteReference w:id="22"/>
      </w:r>
    </w:p>
    <w:p w14:paraId="12E0ACDB"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lastRenderedPageBreak/>
        <w:t>Todavia, diversos acontecimentos ameaçaram princípios elementares da República, e um dos mais emblemáticos episódios é o caso Dreyfus</w:t>
      </w:r>
      <w:r w:rsidRPr="002C1356">
        <w:rPr>
          <w:rStyle w:val="Refdenotaderodap"/>
          <w:rFonts w:ascii="Times New Roman" w:hAnsi="Times New Roman"/>
          <w:sz w:val="24"/>
          <w:szCs w:val="24"/>
        </w:rPr>
        <w:footnoteReference w:id="23"/>
      </w:r>
      <w:r w:rsidRPr="002C1356">
        <w:rPr>
          <w:rFonts w:ascii="Times New Roman" w:hAnsi="Times New Roman"/>
          <w:sz w:val="24"/>
          <w:szCs w:val="24"/>
        </w:rPr>
        <w:t xml:space="preserve"> (1894-1906) que teve lugar durante a Terceira República (1875-1940). </w:t>
      </w:r>
      <w:r w:rsidRPr="002C1356">
        <w:rPr>
          <w:rStyle w:val="Refdenotaderodap"/>
          <w:rFonts w:ascii="Times New Roman" w:hAnsi="Times New Roman"/>
          <w:sz w:val="24"/>
          <w:szCs w:val="24"/>
        </w:rPr>
        <w:footnoteReference w:id="24"/>
      </w:r>
    </w:p>
    <w:p w14:paraId="505418DC"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É inquestionável a relevância do caso no ambiente político da França do final do século XIX. Entre as diversas questões levantadas pelo caso, aponta Lafer:</w:t>
      </w:r>
      <w:r w:rsidRPr="002C1356">
        <w:rPr>
          <w:rStyle w:val="Refdenotaderodap"/>
          <w:rFonts w:ascii="Times New Roman" w:hAnsi="Times New Roman"/>
          <w:sz w:val="24"/>
          <w:szCs w:val="24"/>
        </w:rPr>
        <w:footnoteReference w:id="25"/>
      </w:r>
      <w:r w:rsidRPr="002C1356">
        <w:rPr>
          <w:rFonts w:ascii="Times New Roman" w:hAnsi="Times New Roman"/>
          <w:sz w:val="24"/>
          <w:szCs w:val="24"/>
        </w:rPr>
        <w:t xml:space="preserve"> “(...) Entre eles, as transformações da imprensa, o papel dos intelectuais, a gênese do sionismo que foi fruto do impacto que a cobertura jornalística do caso provocou em Theodor Herzl, o impacto das ideologias nas sociedades de massa”. </w:t>
      </w:r>
    </w:p>
    <w:p w14:paraId="454A9ED1"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caso foi um dos únicos momentos, da história da Revolução Francesa, em que o Estado foi encarado como um violador dos direitos do homem e do cidadão. Aponta Stefan-Ludwig Hoffmann</w:t>
      </w:r>
      <w:r w:rsidRPr="002C1356">
        <w:rPr>
          <w:rStyle w:val="Refdenotaderodap"/>
          <w:rFonts w:ascii="Times New Roman" w:hAnsi="Times New Roman"/>
          <w:sz w:val="24"/>
          <w:szCs w:val="24"/>
        </w:rPr>
        <w:footnoteReference w:id="26"/>
      </w:r>
      <w:r w:rsidRPr="002C1356">
        <w:rPr>
          <w:rFonts w:ascii="Times New Roman" w:hAnsi="Times New Roman"/>
          <w:sz w:val="24"/>
          <w:szCs w:val="24"/>
        </w:rPr>
        <w:t xml:space="preserve"> o significado do caso durante o século XIX: “(…) Apenas durante o caso Dreyfuss e a fundação da Liga dos Direitos do Homem no final do século, socialistas e republicanos descobriram o valor dos direitos individuais em face do Estado (…)”.</w:t>
      </w:r>
    </w:p>
    <w:p w14:paraId="5ABB8B2B"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A primeira parte do livro </w:t>
      </w:r>
      <w:r w:rsidRPr="002C1356">
        <w:rPr>
          <w:rFonts w:ascii="Times New Roman" w:hAnsi="Times New Roman"/>
          <w:i/>
          <w:sz w:val="24"/>
          <w:szCs w:val="24"/>
        </w:rPr>
        <w:t>Origens do Totalitarismo: Antissemitismo, Imperialismo e Totalitarismo</w:t>
      </w:r>
      <w:r w:rsidRPr="002C1356">
        <w:rPr>
          <w:rFonts w:ascii="Times New Roman" w:hAnsi="Times New Roman"/>
          <w:sz w:val="24"/>
          <w:szCs w:val="24"/>
        </w:rPr>
        <w:t xml:space="preserve"> intitula-se</w:t>
      </w:r>
      <w:r w:rsidRPr="002C1356">
        <w:rPr>
          <w:rFonts w:ascii="Times New Roman" w:hAnsi="Times New Roman"/>
          <w:i/>
          <w:sz w:val="24"/>
          <w:szCs w:val="24"/>
        </w:rPr>
        <w:t xml:space="preserve"> </w:t>
      </w:r>
      <w:r w:rsidRPr="002C1356">
        <w:rPr>
          <w:rFonts w:ascii="Times New Roman" w:hAnsi="Times New Roman"/>
          <w:sz w:val="24"/>
          <w:szCs w:val="24"/>
        </w:rPr>
        <w:t>Antissemitismo</w:t>
      </w:r>
      <w:r w:rsidRPr="002C1356">
        <w:rPr>
          <w:rFonts w:ascii="Times New Roman" w:hAnsi="Times New Roman"/>
          <w:i/>
          <w:sz w:val="24"/>
          <w:szCs w:val="24"/>
        </w:rPr>
        <w:t xml:space="preserve"> </w:t>
      </w:r>
      <w:r w:rsidRPr="002C1356">
        <w:rPr>
          <w:rFonts w:ascii="Times New Roman" w:hAnsi="Times New Roman"/>
          <w:sz w:val="24"/>
          <w:szCs w:val="24"/>
        </w:rPr>
        <w:t>e, em no seu quarto capítulo, consta o Caso Dreyfus, descrito por Hannah Arendt</w:t>
      </w:r>
      <w:r w:rsidRPr="002C1356">
        <w:rPr>
          <w:rStyle w:val="Refdenotaderodap"/>
          <w:rFonts w:ascii="Times New Roman" w:hAnsi="Times New Roman"/>
          <w:sz w:val="24"/>
          <w:szCs w:val="24"/>
        </w:rPr>
        <w:footnoteReference w:id="27"/>
      </w:r>
      <w:r w:rsidRPr="002C1356">
        <w:rPr>
          <w:rFonts w:ascii="Times New Roman" w:hAnsi="Times New Roman"/>
          <w:sz w:val="24"/>
          <w:szCs w:val="24"/>
        </w:rPr>
        <w:t xml:space="preserve"> enquanto: “a peculiar oportunidade que oferece de, num breve momento histórico, revelar as potencialidades do antissemitismo, até então ocultas, como importante arma política de dentro da estrutura política do século XIX (…)”.  </w:t>
      </w:r>
    </w:p>
    <w:p w14:paraId="67D6E941"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compreensão do artigo de Durkheim requer a percepção do contexto histórico em que foi redigido. Apresento a seguir uma breve cronologia do caso (em especial do ano de 1898):</w:t>
      </w:r>
      <w:r w:rsidRPr="002C1356">
        <w:rPr>
          <w:rStyle w:val="Refdenotaderodap"/>
          <w:rFonts w:ascii="Times New Roman" w:hAnsi="Times New Roman"/>
          <w:sz w:val="24"/>
          <w:szCs w:val="24"/>
        </w:rPr>
        <w:footnoteReference w:id="28"/>
      </w:r>
    </w:p>
    <w:p w14:paraId="3ABF4D63" w14:textId="77777777" w:rsidR="003D7DAB" w:rsidRPr="002C1356" w:rsidRDefault="003D7DAB" w:rsidP="003D7DAB">
      <w:pPr>
        <w:numPr>
          <w:ilvl w:val="0"/>
          <w:numId w:val="3"/>
        </w:numPr>
        <w:spacing w:line="360" w:lineRule="auto"/>
        <w:contextualSpacing/>
        <w:jc w:val="both"/>
        <w:rPr>
          <w:rFonts w:ascii="Times New Roman" w:hAnsi="Times New Roman"/>
          <w:sz w:val="24"/>
          <w:szCs w:val="24"/>
        </w:rPr>
      </w:pPr>
      <w:r w:rsidRPr="002C1356">
        <w:rPr>
          <w:rFonts w:ascii="Times New Roman" w:hAnsi="Times New Roman"/>
          <w:b/>
          <w:sz w:val="24"/>
          <w:szCs w:val="24"/>
        </w:rPr>
        <w:t>1894</w:t>
      </w:r>
    </w:p>
    <w:p w14:paraId="5808A295"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lastRenderedPageBreak/>
        <w:t>15 de outubro: Dreyfus foi colocado em uma prisão militar sob acusação de alta traição. A investigação militar concluiu que foi ele o autor do borderô enviado, secretamente, para a Alemanha;</w:t>
      </w:r>
      <w:r w:rsidRPr="002C1356">
        <w:rPr>
          <w:rStyle w:val="Refdenotaderodap"/>
          <w:rFonts w:ascii="Times New Roman" w:hAnsi="Times New Roman"/>
          <w:sz w:val="24"/>
          <w:szCs w:val="24"/>
        </w:rPr>
        <w:footnoteReference w:id="29"/>
      </w:r>
    </w:p>
    <w:p w14:paraId="5E52233E"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22 de dezembro: Juízes militares declaram, por unanimidade, Dreyfus culpado. Sentença: Degradação militar, deportação e prisão perpétua em local fortificado;</w:t>
      </w:r>
    </w:p>
    <w:p w14:paraId="101ED7B2" w14:textId="77777777" w:rsidR="003D7DAB" w:rsidRPr="002C1356" w:rsidRDefault="003D7DAB" w:rsidP="003D7DAB">
      <w:pPr>
        <w:spacing w:line="360" w:lineRule="auto"/>
        <w:ind w:left="1068"/>
        <w:contextualSpacing/>
        <w:jc w:val="both"/>
        <w:rPr>
          <w:rFonts w:ascii="Times New Roman" w:hAnsi="Times New Roman"/>
          <w:sz w:val="24"/>
          <w:szCs w:val="24"/>
        </w:rPr>
      </w:pPr>
    </w:p>
    <w:p w14:paraId="0A4576CC" w14:textId="77777777" w:rsidR="003D7DAB" w:rsidRPr="002C1356" w:rsidRDefault="003D7DAB" w:rsidP="003D7DAB">
      <w:pPr>
        <w:numPr>
          <w:ilvl w:val="0"/>
          <w:numId w:val="3"/>
        </w:numPr>
        <w:spacing w:line="360" w:lineRule="auto"/>
        <w:contextualSpacing/>
        <w:jc w:val="both"/>
        <w:rPr>
          <w:rFonts w:ascii="Times New Roman" w:hAnsi="Times New Roman"/>
          <w:sz w:val="24"/>
          <w:szCs w:val="24"/>
        </w:rPr>
      </w:pPr>
      <w:r w:rsidRPr="002C1356">
        <w:rPr>
          <w:rFonts w:ascii="Times New Roman" w:hAnsi="Times New Roman"/>
          <w:b/>
          <w:sz w:val="24"/>
          <w:szCs w:val="24"/>
        </w:rPr>
        <w:t>1895</w:t>
      </w:r>
    </w:p>
    <w:p w14:paraId="25EB2D41"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5 de janeiro: Cerimônia de degradação de Dreyfus;</w:t>
      </w:r>
    </w:p>
    <w:p w14:paraId="4A33D27B"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21 de fevereiro: Dreyfus embarca no navio prisão que o levará a Ilha do Diabo (perto de Caiena);</w:t>
      </w:r>
      <w:r w:rsidRPr="002C1356">
        <w:rPr>
          <w:rStyle w:val="Refdenotaderodap"/>
          <w:rFonts w:ascii="Times New Roman" w:hAnsi="Times New Roman"/>
          <w:sz w:val="24"/>
          <w:szCs w:val="24"/>
        </w:rPr>
        <w:footnoteReference w:id="30"/>
      </w:r>
    </w:p>
    <w:p w14:paraId="411E978B" w14:textId="77777777" w:rsidR="003D7DAB" w:rsidRPr="002C1356" w:rsidRDefault="003D7DAB" w:rsidP="003D7DAB">
      <w:pPr>
        <w:spacing w:line="360" w:lineRule="auto"/>
        <w:ind w:left="1068"/>
        <w:contextualSpacing/>
        <w:jc w:val="both"/>
        <w:rPr>
          <w:rFonts w:ascii="Times New Roman" w:hAnsi="Times New Roman"/>
          <w:sz w:val="24"/>
          <w:szCs w:val="24"/>
        </w:rPr>
      </w:pPr>
    </w:p>
    <w:p w14:paraId="4DA887B0" w14:textId="77777777" w:rsidR="003D7DAB" w:rsidRPr="002C1356" w:rsidRDefault="003D7DAB" w:rsidP="003D7DAB">
      <w:pPr>
        <w:numPr>
          <w:ilvl w:val="0"/>
          <w:numId w:val="3"/>
        </w:numPr>
        <w:spacing w:line="360" w:lineRule="auto"/>
        <w:contextualSpacing/>
        <w:jc w:val="both"/>
        <w:rPr>
          <w:rFonts w:ascii="Times New Roman" w:hAnsi="Times New Roman"/>
          <w:sz w:val="24"/>
          <w:szCs w:val="24"/>
        </w:rPr>
      </w:pPr>
      <w:r w:rsidRPr="002C1356">
        <w:rPr>
          <w:rFonts w:ascii="Times New Roman" w:hAnsi="Times New Roman"/>
          <w:b/>
          <w:sz w:val="24"/>
          <w:szCs w:val="24"/>
        </w:rPr>
        <w:t>1898</w:t>
      </w:r>
    </w:p>
    <w:p w14:paraId="556A3CC2"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10-11 de janeiro: Corte marcial contra Esterhazy (considerado o verdadeiro culpado). O réu é absolvido por unanimidade;</w:t>
      </w:r>
    </w:p>
    <w:p w14:paraId="67A9C5CD"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 xml:space="preserve">13 de janeiro: </w:t>
      </w:r>
      <w:r w:rsidRPr="002C1356">
        <w:rPr>
          <w:rFonts w:ascii="Times New Roman" w:hAnsi="Times New Roman"/>
          <w:i/>
          <w:sz w:val="24"/>
          <w:szCs w:val="24"/>
        </w:rPr>
        <w:t xml:space="preserve">J’Accuse, </w:t>
      </w:r>
      <w:r w:rsidRPr="002C1356">
        <w:rPr>
          <w:rFonts w:ascii="Times New Roman" w:hAnsi="Times New Roman"/>
          <w:sz w:val="24"/>
          <w:szCs w:val="24"/>
        </w:rPr>
        <w:t>de Émile Zola, é publicado;</w:t>
      </w:r>
    </w:p>
    <w:p w14:paraId="771635D1"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20 de fevereiro: Criação da Ligue des Droits de L’Homme;</w:t>
      </w:r>
      <w:r w:rsidRPr="002C1356">
        <w:rPr>
          <w:rStyle w:val="Refdenotaderodap"/>
          <w:rFonts w:ascii="Times New Roman" w:hAnsi="Times New Roman"/>
          <w:sz w:val="24"/>
          <w:szCs w:val="24"/>
        </w:rPr>
        <w:footnoteReference w:id="31"/>
      </w:r>
    </w:p>
    <w:p w14:paraId="2A1B85CB"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 xml:space="preserve">15 de março: Publicação do artigo “Após o Processo”, de Ferdinand Brunetière, na </w:t>
      </w:r>
      <w:r w:rsidRPr="002C1356">
        <w:rPr>
          <w:rFonts w:ascii="Times New Roman" w:hAnsi="Times New Roman"/>
          <w:i/>
          <w:sz w:val="24"/>
          <w:szCs w:val="24"/>
        </w:rPr>
        <w:t>Revue de Deux Mondes</w:t>
      </w:r>
      <w:r w:rsidRPr="002C1356">
        <w:rPr>
          <w:rFonts w:ascii="Times New Roman" w:hAnsi="Times New Roman"/>
          <w:sz w:val="24"/>
          <w:szCs w:val="24"/>
        </w:rPr>
        <w:t>;</w:t>
      </w:r>
    </w:p>
    <w:p w14:paraId="7CE881C0" w14:textId="77777777" w:rsidR="003D7DAB" w:rsidRPr="002C1356" w:rsidRDefault="003D7DAB" w:rsidP="003D7DAB">
      <w:pPr>
        <w:spacing w:line="360" w:lineRule="auto"/>
        <w:ind w:left="1068"/>
        <w:contextualSpacing/>
        <w:jc w:val="both"/>
        <w:rPr>
          <w:rFonts w:ascii="Times New Roman" w:hAnsi="Times New Roman"/>
          <w:i/>
          <w:sz w:val="24"/>
          <w:szCs w:val="24"/>
        </w:rPr>
      </w:pPr>
      <w:r w:rsidRPr="002C1356">
        <w:rPr>
          <w:rFonts w:ascii="Times New Roman" w:hAnsi="Times New Roman"/>
          <w:sz w:val="24"/>
          <w:szCs w:val="24"/>
        </w:rPr>
        <w:t xml:space="preserve">1º de julho: Publicação do artigo “O individualismo e os intelectuais”, de Émile Durkheim, na </w:t>
      </w:r>
      <w:r w:rsidRPr="002C1356">
        <w:rPr>
          <w:rFonts w:ascii="Times New Roman" w:hAnsi="Times New Roman"/>
          <w:i/>
          <w:sz w:val="24"/>
          <w:szCs w:val="24"/>
        </w:rPr>
        <w:t>Revue Politique et Littéraire – Revue Bleue;</w:t>
      </w:r>
    </w:p>
    <w:p w14:paraId="7EC6AE1D" w14:textId="77777777" w:rsidR="003D7DAB" w:rsidRPr="002C1356" w:rsidRDefault="003D7DAB" w:rsidP="003D7DAB">
      <w:pPr>
        <w:spacing w:line="360" w:lineRule="auto"/>
        <w:ind w:left="1068"/>
        <w:contextualSpacing/>
        <w:jc w:val="both"/>
        <w:rPr>
          <w:rFonts w:ascii="Times New Roman" w:hAnsi="Times New Roman"/>
          <w:sz w:val="24"/>
          <w:szCs w:val="24"/>
        </w:rPr>
      </w:pPr>
      <w:r w:rsidRPr="002C1356">
        <w:rPr>
          <w:rFonts w:ascii="Times New Roman" w:hAnsi="Times New Roman"/>
          <w:sz w:val="24"/>
          <w:szCs w:val="24"/>
        </w:rPr>
        <w:t>29 de outubro: A corte de cassação ordena uma investigação completa do julgamento de 1894;</w:t>
      </w:r>
    </w:p>
    <w:p w14:paraId="2712890B"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0D20443D"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Entre as características principais de diversos </w:t>
      </w:r>
      <w:r w:rsidRPr="002C1356">
        <w:rPr>
          <w:rFonts w:ascii="Times New Roman" w:hAnsi="Times New Roman"/>
          <w:i/>
          <w:sz w:val="24"/>
          <w:szCs w:val="24"/>
        </w:rPr>
        <w:t xml:space="preserve">antidreyfusards </w:t>
      </w:r>
      <w:r w:rsidRPr="002C1356">
        <w:rPr>
          <w:rFonts w:ascii="Times New Roman" w:hAnsi="Times New Roman"/>
          <w:sz w:val="24"/>
          <w:szCs w:val="24"/>
        </w:rPr>
        <w:t>é legítimo citar: um catolicismo reacionário e conservador vinculado à Igreja Católica Romana que rejeitava – de forma enfática – a ideologia da razão e do progresso,</w:t>
      </w:r>
      <w:r w:rsidRPr="002C1356">
        <w:rPr>
          <w:rStyle w:val="Refdenotaderodap"/>
          <w:rFonts w:ascii="Times New Roman" w:hAnsi="Times New Roman"/>
          <w:sz w:val="24"/>
          <w:szCs w:val="24"/>
        </w:rPr>
        <w:footnoteReference w:id="32"/>
      </w:r>
      <w:r w:rsidRPr="002C1356">
        <w:rPr>
          <w:rFonts w:ascii="Times New Roman" w:hAnsi="Times New Roman"/>
          <w:sz w:val="24"/>
          <w:szCs w:val="24"/>
        </w:rPr>
        <w:t xml:space="preserve"> antissemitismo e defesa do Exército Nacional enquanto exemplo de instituição patriótica. Nesse sentido, a própria estruturação do texto “Aprés le Process”, do escritor católico conservador Ferdinand Brunetière, publicado na </w:t>
      </w:r>
      <w:r w:rsidRPr="002C1356">
        <w:rPr>
          <w:rFonts w:ascii="Times New Roman" w:hAnsi="Times New Roman"/>
          <w:i/>
          <w:sz w:val="24"/>
          <w:szCs w:val="24"/>
        </w:rPr>
        <w:t>Revue de Deux Mondes</w:t>
      </w:r>
      <w:r w:rsidRPr="002C1356">
        <w:rPr>
          <w:rFonts w:ascii="Times New Roman" w:hAnsi="Times New Roman"/>
          <w:sz w:val="24"/>
          <w:szCs w:val="24"/>
        </w:rPr>
        <w:t xml:space="preserve"> em 15 de março de 1898, contra o qual </w:t>
      </w:r>
      <w:r w:rsidRPr="002C1356">
        <w:rPr>
          <w:rFonts w:ascii="Times New Roman" w:hAnsi="Times New Roman"/>
          <w:sz w:val="24"/>
          <w:szCs w:val="24"/>
        </w:rPr>
        <w:lastRenderedPageBreak/>
        <w:t>Durkheim elaborou sua resposta, é ilustrativo dessa forma de pensar. O texto é dividido em três partes: I) O antissemitismo; II) O Exército e a democracia e III) Sobre alguns intelectuais.</w:t>
      </w:r>
    </w:p>
    <w:p w14:paraId="29E69873"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trecho a seguir ilustra como os ideias da Revolução Francesa integram – ainda que de forma contrária – o pensamento do autor: </w:t>
      </w:r>
    </w:p>
    <w:p w14:paraId="77954228" w14:textId="0B3A2C2D" w:rsidR="003D7DAB" w:rsidRPr="002C1356" w:rsidRDefault="003D7DAB" w:rsidP="003D7DAB">
      <w:pPr>
        <w:pStyle w:val="Citao1"/>
        <w:ind w:firstLine="3"/>
      </w:pPr>
      <w:r w:rsidRPr="002C1356">
        <w:t>(...)</w:t>
      </w:r>
      <w:r w:rsidR="00C44339">
        <w:t xml:space="preserve"> </w:t>
      </w:r>
      <w:r w:rsidRPr="002C1356">
        <w:t>Contra a verdade evidente que a natureza proclamava por si mesma, sobre a qual o cristianismo e, depois a filosofia do século XVIII e da Revolução Francesa, criaram o dogma da igualdade, uma ciência orgulhosa e, aliás, titubeante, estabeleceu o dogma fisiológico da desigualdade das raças. O antissemitismo começou aí.</w:t>
      </w:r>
      <w:r w:rsidRPr="002C1356">
        <w:rPr>
          <w:rStyle w:val="Refdenotaderodap"/>
          <w:i/>
          <w:sz w:val="24"/>
        </w:rPr>
        <w:footnoteReference w:id="33"/>
      </w:r>
    </w:p>
    <w:p w14:paraId="3417E075" w14:textId="77777777" w:rsidR="003D7DAB" w:rsidRPr="002C1356" w:rsidRDefault="003D7DAB" w:rsidP="003D7DAB">
      <w:pPr>
        <w:spacing w:line="360" w:lineRule="auto"/>
        <w:ind w:firstLine="708"/>
        <w:contextualSpacing/>
        <w:jc w:val="both"/>
        <w:rPr>
          <w:rFonts w:ascii="Times New Roman" w:hAnsi="Times New Roman"/>
          <w:i/>
          <w:sz w:val="24"/>
          <w:szCs w:val="24"/>
        </w:rPr>
      </w:pPr>
    </w:p>
    <w:p w14:paraId="130ABFF3" w14:textId="375C23BD"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Os judeus foram emancipados no dia 13 de novembro de 1791. A emancipação e a consequente igualdade perante a lei não ensejaram o fim do antissemitismo</w:t>
      </w:r>
      <w:r w:rsidRPr="002C1356">
        <w:rPr>
          <w:rStyle w:val="Refdenotaderodap"/>
          <w:rFonts w:ascii="Times New Roman" w:hAnsi="Times New Roman"/>
          <w:sz w:val="24"/>
          <w:szCs w:val="24"/>
        </w:rPr>
        <w:footnoteReference w:id="34"/>
      </w:r>
      <w:r w:rsidRPr="002C1356">
        <w:rPr>
          <w:rFonts w:ascii="Times New Roman" w:hAnsi="Times New Roman"/>
          <w:sz w:val="24"/>
          <w:szCs w:val="24"/>
        </w:rPr>
        <w:t xml:space="preserve">. Em 1886 é lançado o livro </w:t>
      </w:r>
      <w:r w:rsidRPr="002C1356">
        <w:rPr>
          <w:rFonts w:ascii="Times New Roman" w:hAnsi="Times New Roman"/>
          <w:i/>
          <w:sz w:val="24"/>
          <w:szCs w:val="24"/>
        </w:rPr>
        <w:t>La France Juive</w:t>
      </w:r>
      <w:r w:rsidRPr="002C1356">
        <w:rPr>
          <w:rFonts w:ascii="Times New Roman" w:hAnsi="Times New Roman"/>
          <w:sz w:val="24"/>
          <w:szCs w:val="24"/>
        </w:rPr>
        <w:t xml:space="preserve">, que se transformou em um “best-seller”. Edouard Drumont, autor do livro, era também diretor do jornal </w:t>
      </w:r>
      <w:r w:rsidRPr="002C1356">
        <w:rPr>
          <w:rFonts w:ascii="Times New Roman" w:hAnsi="Times New Roman"/>
          <w:i/>
          <w:sz w:val="24"/>
          <w:szCs w:val="24"/>
        </w:rPr>
        <w:t>La Croix</w:t>
      </w:r>
      <w:r w:rsidRPr="002C1356">
        <w:rPr>
          <w:rFonts w:ascii="Times New Roman" w:hAnsi="Times New Roman"/>
          <w:sz w:val="24"/>
          <w:szCs w:val="24"/>
        </w:rPr>
        <w:t>, que se autoproclamava o “mais antijudeu da França”. Ele mesclava um antissemitismo cristão tradicional com uma postura anticapitalista e um racismo biológico. No ano de 1892, lançou uma campanha de denúncia da presença de oficiais judeus no e</w:t>
      </w:r>
      <w:r w:rsidR="00C619DE">
        <w:rPr>
          <w:rFonts w:ascii="Times New Roman" w:hAnsi="Times New Roman"/>
          <w:sz w:val="24"/>
          <w:szCs w:val="24"/>
        </w:rPr>
        <w:t xml:space="preserve">xército francês </w:t>
      </w:r>
      <w:r w:rsidRPr="002C1356">
        <w:rPr>
          <w:rFonts w:ascii="Times New Roman" w:hAnsi="Times New Roman"/>
          <w:sz w:val="24"/>
          <w:szCs w:val="24"/>
        </w:rPr>
        <w:t>denunciando-os como “espiões em potencial”. Afirma Birnbaum: “Os judeus aparecem como inimigos da eterna França: eles a traem do interior do Estado Republicano”.</w:t>
      </w:r>
      <w:r w:rsidRPr="002C1356">
        <w:rPr>
          <w:rStyle w:val="Refdenotaderodap"/>
          <w:rFonts w:ascii="Times New Roman" w:hAnsi="Times New Roman"/>
          <w:sz w:val="24"/>
          <w:szCs w:val="24"/>
        </w:rPr>
        <w:footnoteReference w:id="35"/>
      </w:r>
    </w:p>
    <w:p w14:paraId="1E727FC8"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onda antissemita foi acentuada em 1898 – o chamado ano negro – sustentada por uma imprensa nacionalista hostil a Dreyfus e responsável pela publicação de jornais com uma tiragem cotidiana ao redor de cinco milhões de exemplares. Diversos grupos políticos surgiram em apoio a um catolicismo conservador e a uma posição antissemita, a saber: Liga dos Patriotas (1882), Liga Antissemita Francesa (1897) e Liga da Pátria Francesa (1899). No campo favorável a Dreyfus é importante recordar o surgimento da Liga dos Direitos do Homem (</w:t>
      </w:r>
      <w:r w:rsidRPr="002C1356">
        <w:rPr>
          <w:rFonts w:ascii="Times New Roman" w:hAnsi="Times New Roman"/>
          <w:i/>
          <w:sz w:val="24"/>
          <w:szCs w:val="24"/>
        </w:rPr>
        <w:t>Ligue des Droits de L’Homme</w:t>
      </w:r>
      <w:r w:rsidRPr="002C1356">
        <w:rPr>
          <w:rFonts w:ascii="Times New Roman" w:hAnsi="Times New Roman"/>
          <w:sz w:val="24"/>
          <w:szCs w:val="24"/>
        </w:rPr>
        <w:t xml:space="preserve">), em 20 de fevereiro de 1898. </w:t>
      </w:r>
    </w:p>
    <w:p w14:paraId="299CDF78"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Liga dos Direitos do Homem (LDH) surge para apoiar Dreyfus e, seguindo a tradição universalista da Revolução Francesa, apoia também as mais variadas questões </w:t>
      </w:r>
      <w:r w:rsidRPr="002C1356">
        <w:rPr>
          <w:rFonts w:ascii="Times New Roman" w:hAnsi="Times New Roman"/>
          <w:sz w:val="24"/>
          <w:szCs w:val="24"/>
        </w:rPr>
        <w:lastRenderedPageBreak/>
        <w:t>ligadas à proteção dos direitos do homem ao redor do mundo, tais como: perseguição étnica e religiosa, o direito dos povos indígenas, vítimas de governos autoritários, desigualdade social e opressão. Nos primeiros anos de sua atividade, a LDH apoia causas em diversas localidades além da França como: Argélia, China, Império Otomano, Costa do Marfim, Senegal, Balcãs, Indochina, Madagascar e Congo.</w:t>
      </w:r>
      <w:r w:rsidRPr="002C1356">
        <w:rPr>
          <w:rStyle w:val="Refdenotaderodap"/>
          <w:rFonts w:ascii="Times New Roman" w:hAnsi="Times New Roman"/>
          <w:sz w:val="24"/>
          <w:szCs w:val="24"/>
        </w:rPr>
        <w:footnoteReference w:id="36"/>
      </w:r>
      <w:r w:rsidRPr="002C1356">
        <w:rPr>
          <w:rFonts w:ascii="Times New Roman" w:hAnsi="Times New Roman"/>
          <w:sz w:val="24"/>
          <w:szCs w:val="24"/>
        </w:rPr>
        <w:t xml:space="preserve"> </w:t>
      </w:r>
    </w:p>
    <w:p w14:paraId="0235C0D6"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No manifesto de fundação da LDH (17 de junho de 1898)</w:t>
      </w:r>
      <w:r w:rsidRPr="002C1356">
        <w:rPr>
          <w:rStyle w:val="Refdenotaderodap"/>
          <w:rFonts w:ascii="Times New Roman" w:hAnsi="Times New Roman"/>
          <w:sz w:val="24"/>
          <w:szCs w:val="24"/>
        </w:rPr>
        <w:footnoteReference w:id="37"/>
      </w:r>
      <w:r w:rsidRPr="002C1356">
        <w:rPr>
          <w:rFonts w:ascii="Times New Roman" w:hAnsi="Times New Roman"/>
          <w:sz w:val="24"/>
          <w:szCs w:val="24"/>
        </w:rPr>
        <w:t xml:space="preserve"> fica claro que o principal objetivo é a proteção da pessoa: “</w:t>
      </w:r>
      <w:r w:rsidRPr="002C1356">
        <w:rPr>
          <w:rFonts w:ascii="Times New Roman" w:eastAsia="Times New Roman" w:hAnsi="Times New Roman"/>
          <w:sz w:val="24"/>
          <w:szCs w:val="24"/>
          <w:lang w:eastAsia="pt-BR"/>
        </w:rPr>
        <w:t>Vocês estão preocupados em garantir o respeito aos direitos do homem e do cidadão. A partir de hoje, toda pessoa que tiver a liberdade ameaçada ou o direito violado tem a certeza de encontrar em nós auxílio e assistência”.</w:t>
      </w:r>
    </w:p>
    <w:p w14:paraId="633374BB"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Nesse período a França estava dividida entre duas correntes políticas: 1) um catolicismo conservador, reacionário (favorável à volta da monarquia), antissemita, e 2) uma força política que defende os princípios elementares da Revolução de 1789. Nesse contexto foi criado o substantivo “intelectual”. Acertado o comentário de Bernard-Henry Lévy</w:t>
      </w:r>
      <w:r w:rsidRPr="002C1356">
        <w:rPr>
          <w:rStyle w:val="Refdenotaderodap"/>
          <w:rFonts w:ascii="Times New Roman" w:hAnsi="Times New Roman"/>
          <w:sz w:val="24"/>
          <w:szCs w:val="24"/>
        </w:rPr>
        <w:footnoteReference w:id="38"/>
      </w:r>
      <w:r w:rsidRPr="002C1356">
        <w:rPr>
          <w:rFonts w:ascii="Times New Roman" w:hAnsi="Times New Roman"/>
          <w:sz w:val="24"/>
          <w:szCs w:val="24"/>
        </w:rPr>
        <w:t xml:space="preserve"> a respeito da mudança de significado da palavra intelectual por ocasião do caso Dreyfuss: “(…) E é preciso esperar o caso, portanto, para que um grupo de homens e mulheres retomem o adjetivo, virem, invertam seu sentido e façam dele, não apenas um nome, mas um título de glória e um emblema. Somos os intelectuais… O partido dos intelectuais…”. No dia 14 de janeiro de 1898, Georges Clemenceau lança o “Manifesto dos Intelectuais” a favor de Dreyfuss. Deslinda Bernard-Henry Lévy</w:t>
      </w:r>
      <w:r w:rsidRPr="002C1356">
        <w:rPr>
          <w:rStyle w:val="Refdenotaderodap"/>
          <w:rFonts w:ascii="Times New Roman" w:hAnsi="Times New Roman"/>
          <w:sz w:val="24"/>
          <w:szCs w:val="24"/>
        </w:rPr>
        <w:footnoteReference w:id="39"/>
      </w:r>
      <w:r w:rsidRPr="002C1356">
        <w:rPr>
          <w:rFonts w:ascii="Times New Roman" w:hAnsi="Times New Roman"/>
          <w:sz w:val="24"/>
          <w:szCs w:val="24"/>
        </w:rPr>
        <w:t xml:space="preserve"> o papel dos intelectuais: “(...) Foi preciso essa conjunção de forças para que homens tivessem a audácia – inédita na história da inteligência – de se proclamar os intermediários entre o mundo e o universal. O intelectual esse padre”.</w:t>
      </w:r>
      <w:r w:rsidRPr="002C1356">
        <w:rPr>
          <w:rFonts w:ascii="Times New Roman" w:hAnsi="Times New Roman"/>
          <w:i/>
          <w:sz w:val="24"/>
          <w:szCs w:val="24"/>
        </w:rPr>
        <w:t xml:space="preserve"> </w:t>
      </w:r>
      <w:r w:rsidRPr="002C1356">
        <w:rPr>
          <w:rFonts w:ascii="Times New Roman" w:hAnsi="Times New Roman"/>
          <w:sz w:val="24"/>
          <w:szCs w:val="24"/>
        </w:rPr>
        <w:t xml:space="preserve"> </w:t>
      </w:r>
    </w:p>
    <w:p w14:paraId="48122378"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Durkheim, no ano de 1896, faz um discurso na Faculdade de Letras de Bordeaux (onde era professor de Ciências Sociais) defendendo a inocência de Dreyfus</w:t>
      </w:r>
      <w:r w:rsidRPr="002C1356">
        <w:rPr>
          <w:rStyle w:val="Refdenotaderodap"/>
          <w:rFonts w:ascii="Times New Roman" w:hAnsi="Times New Roman"/>
          <w:sz w:val="24"/>
          <w:szCs w:val="24"/>
        </w:rPr>
        <w:footnoteReference w:id="40"/>
      </w:r>
      <w:r w:rsidRPr="002C1356">
        <w:rPr>
          <w:rFonts w:ascii="Times New Roman" w:hAnsi="Times New Roman"/>
          <w:sz w:val="24"/>
          <w:szCs w:val="24"/>
        </w:rPr>
        <w:t xml:space="preserve"> e engaja-se na LDH, desde o início de sua criação, sendo o primeiro secretário geral da Liga, em Bordeaux. Foi como intelectual, buscando ser um intermediário entre o mundo e o universal, que publicou o artigo “O individualismo e os intelectuais” na </w:t>
      </w:r>
      <w:r w:rsidRPr="002C1356">
        <w:rPr>
          <w:rFonts w:ascii="Times New Roman" w:hAnsi="Times New Roman"/>
          <w:i/>
          <w:sz w:val="24"/>
          <w:szCs w:val="24"/>
        </w:rPr>
        <w:t>Revue Bleue</w:t>
      </w:r>
      <w:r w:rsidRPr="002C1356">
        <w:rPr>
          <w:rFonts w:ascii="Times New Roman" w:hAnsi="Times New Roman"/>
          <w:sz w:val="24"/>
          <w:szCs w:val="24"/>
        </w:rPr>
        <w:t xml:space="preserve"> no </w:t>
      </w:r>
      <w:r w:rsidRPr="002C1356">
        <w:rPr>
          <w:rFonts w:ascii="Times New Roman" w:hAnsi="Times New Roman"/>
          <w:sz w:val="24"/>
          <w:szCs w:val="24"/>
        </w:rPr>
        <w:lastRenderedPageBreak/>
        <w:t xml:space="preserve">dia 1º de julho de 1898, em resposta ao artigo “Aprés le Process” do escritor católico conservador Ferdinand Brunetière. Nesse artigo Durkheim apresenta pela primeira vez a expressão a sacralidade da pessoa. Afirma o autor: </w:t>
      </w:r>
    </w:p>
    <w:p w14:paraId="7AE794E5" w14:textId="77777777" w:rsidR="003D7DAB" w:rsidRPr="002C1356" w:rsidRDefault="003D7DAB" w:rsidP="003D7DAB">
      <w:pPr>
        <w:pStyle w:val="Citao1"/>
        <w:ind w:firstLine="3"/>
      </w:pPr>
      <w:r w:rsidRPr="002C1356">
        <w:t>A pessoa humana, cuja definição é como a pedra de toque por meio da qual o bem se distingue do mal, é considerada sagrada por assim dizer, no sentido ritual do termo. Ela possui alguma coisa dessa majestade transcendente que as igrejas de todos os tempos emprestam a seus deuses; concebemo-la como investida dessa propriedade misteriosa que cria um vazio em torno das coisas santas, que as subtrai aos contatos vulgares e as retira da circulação comum. É precisamente daí que vem o respeito que se lhe destina.</w:t>
      </w:r>
      <w:r w:rsidRPr="002C1356">
        <w:rPr>
          <w:rStyle w:val="Refdenotaderodap"/>
          <w:i/>
          <w:sz w:val="24"/>
        </w:rPr>
        <w:footnoteReference w:id="41"/>
      </w:r>
    </w:p>
    <w:p w14:paraId="673580BE" w14:textId="6DABC63A" w:rsidR="003D7DAB" w:rsidRPr="002C1356" w:rsidRDefault="003D7DAB" w:rsidP="00C44339">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trecho a seguir, Durkheim</w:t>
      </w:r>
      <w:r w:rsidRPr="002C1356">
        <w:rPr>
          <w:rStyle w:val="Refdenotaderodap"/>
          <w:rFonts w:ascii="Times New Roman" w:hAnsi="Times New Roman"/>
          <w:sz w:val="24"/>
          <w:szCs w:val="24"/>
        </w:rPr>
        <w:footnoteReference w:id="42"/>
      </w:r>
      <w:r w:rsidRPr="002C1356">
        <w:rPr>
          <w:rFonts w:ascii="Times New Roman" w:hAnsi="Times New Roman"/>
          <w:sz w:val="24"/>
          <w:szCs w:val="24"/>
        </w:rPr>
        <w:t xml:space="preserve"> esclarece a relação do individualismo – por ele defendido – e a Declaração de 1789: </w:t>
      </w:r>
    </w:p>
    <w:p w14:paraId="0A98F88E" w14:textId="77777777" w:rsidR="003D7DAB" w:rsidRPr="002C1356" w:rsidRDefault="003D7DAB" w:rsidP="003D7DAB">
      <w:pPr>
        <w:pStyle w:val="Citao1"/>
        <w:ind w:firstLine="3"/>
      </w:pPr>
      <w:r w:rsidRPr="002C1356">
        <w:t xml:space="preserve">Mas existe outro individualismo que é mais difícil de ser vencido. Ele é professado, há um século, por uma diversidade de pensadores bastante grande: o de Kant e de Rousseau, o dos espiritualistas, o que a Declaração dos Direitos do Homem tentou com mais ou menos sucesso traduzir em fórmulas, o que se ensina correntemente nas escolas e tornou-se a base de nosso catecismo moral. </w:t>
      </w:r>
    </w:p>
    <w:p w14:paraId="298418E8" w14:textId="77777777" w:rsidR="003D7DAB" w:rsidRPr="002C1356" w:rsidRDefault="003D7DAB" w:rsidP="003D7DAB">
      <w:pPr>
        <w:spacing w:after="0" w:line="360" w:lineRule="auto"/>
        <w:ind w:firstLine="708"/>
        <w:contextualSpacing/>
        <w:jc w:val="both"/>
        <w:rPr>
          <w:rFonts w:ascii="Times New Roman" w:hAnsi="Times New Roman"/>
          <w:sz w:val="24"/>
          <w:szCs w:val="24"/>
        </w:rPr>
      </w:pPr>
    </w:p>
    <w:p w14:paraId="5466E7C8" w14:textId="4CF8640B" w:rsidR="00C44339" w:rsidRPr="00C44339"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Essa moralidade a qual Durkheim faz referência deve ser considerada como uma “religião da humanidade”. Nesse sentido proclama o autor: </w:t>
      </w:r>
    </w:p>
    <w:p w14:paraId="4C168ABA" w14:textId="0AD6CE0F" w:rsidR="003D7DAB" w:rsidRPr="002C1356" w:rsidRDefault="003D7DAB" w:rsidP="003D7DAB">
      <w:pPr>
        <w:pStyle w:val="Citao1"/>
        <w:ind w:firstLine="3"/>
      </w:pPr>
      <w:r w:rsidRPr="002C1356">
        <w:t>(…) Qualquer um que atente contra a vida de um homem, sua liberdade ou sua honra provoca-nos um sentimento de horror, exatamente análogo àquele que experimenta o crente que vê seu ídolo ser profanado. Tal moral não é simplesmente uma disciplina higiênica ou uma sensata economia da existência, mas uma religião em que o homem é, ao mesmo tempo, o fiel e o Deus.</w:t>
      </w:r>
    </w:p>
    <w:p w14:paraId="17D4ED8B"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30D870DB" w14:textId="2D4EB715" w:rsidR="003D7DAB" w:rsidRPr="008675A3" w:rsidRDefault="003D7DAB" w:rsidP="008675A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É importante lembrar – como ensina Lafer</w:t>
      </w:r>
      <w:r w:rsidRPr="002C1356">
        <w:rPr>
          <w:rStyle w:val="Refdenotaderodap"/>
          <w:rFonts w:ascii="Times New Roman" w:hAnsi="Times New Roman"/>
          <w:sz w:val="24"/>
          <w:szCs w:val="24"/>
        </w:rPr>
        <w:footnoteReference w:id="43"/>
      </w:r>
      <w:r w:rsidRPr="002C1356">
        <w:rPr>
          <w:rFonts w:ascii="Times New Roman" w:hAnsi="Times New Roman"/>
          <w:sz w:val="24"/>
          <w:szCs w:val="24"/>
        </w:rPr>
        <w:t xml:space="preserve"> – que </w:t>
      </w:r>
    </w:p>
    <w:p w14:paraId="7A6E5DB8" w14:textId="77777777" w:rsidR="003D7DAB" w:rsidRPr="002C1356" w:rsidRDefault="003D7DAB" w:rsidP="003D7DAB">
      <w:pPr>
        <w:pStyle w:val="Citao1"/>
        <w:ind w:firstLine="3"/>
        <w:rPr>
          <w:lang w:val="fr-FR"/>
        </w:rPr>
      </w:pPr>
      <w:r w:rsidRPr="002C1356">
        <w:t xml:space="preserve">A Revolução Francesa e o ineditismo da Declaração de 1789 se viram cercados de um entusiasmo de maior irradiação política que a Revolução </w:t>
      </w:r>
      <w:r w:rsidRPr="002C1356">
        <w:lastRenderedPageBreak/>
        <w:t xml:space="preserve">Americana. Foram um modelo ideal para todos os que combateram pela própria emancipação. Para isso contribui a </w:t>
      </w:r>
      <w:r w:rsidRPr="002C1356">
        <w:rPr>
          <w:b/>
        </w:rPr>
        <w:t xml:space="preserve">libertas </w:t>
      </w:r>
      <w:r w:rsidRPr="002C1356">
        <w:t xml:space="preserve">antecedendo a </w:t>
      </w:r>
      <w:r w:rsidRPr="002C1356">
        <w:rPr>
          <w:b/>
        </w:rPr>
        <w:t>potestas</w:t>
      </w:r>
      <w:r w:rsidRPr="002C1356">
        <w:t xml:space="preserve">, que fez a relação política ser considerada não mais </w:t>
      </w:r>
      <w:r w:rsidRPr="002C1356">
        <w:rPr>
          <w:b/>
        </w:rPr>
        <w:t>ex parte principis</w:t>
      </w:r>
      <w:r w:rsidRPr="002C1356">
        <w:t xml:space="preserve">, mas, sim, </w:t>
      </w:r>
      <w:r w:rsidRPr="002C1356">
        <w:rPr>
          <w:b/>
        </w:rPr>
        <w:t>ex parte civium</w:t>
      </w:r>
      <w:r w:rsidRPr="002C1356">
        <w:t xml:space="preserve">, ou seja, como a expressão, numa democracia, da soberania dos cidadãos. </w:t>
      </w:r>
    </w:p>
    <w:p w14:paraId="770E45B7"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799570A4"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“Os intelectuais e o individualismo” foi uma narrativa que, ligando-se aos ideias da Declaração dos Direitos do Homem e do Cidadão (1789), afirma a integridade física e psíquica da pessoa e – um aspecto fundamental de ser ressaltado – isso ocorre por intermédio de um intelectual ancorado na ideia de “soberania dos cidadãos”.</w:t>
      </w:r>
    </w:p>
    <w:p w14:paraId="750F4AD2"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Em relação ao “sagrado”, lembro que, na minha tese de doutorado (2000) intitulada “Não Violência: Princípio do Direito Internacional dos Direitos Humanos”, afirmei o quanto segue (p. 60): “A noção de sagrado é definida de forma negativa: sagrado é o que não deve ser profanado, atingido, danificado; vale dizer, o que não pode ser objeto de violência. Concluindo, sagrado é algo que possui uma aura de não violência”.</w:t>
      </w:r>
    </w:p>
    <w:p w14:paraId="66B6553F"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Sagrado é uma palavra polissêmica, um dos seus sentidos é o imaculado, o que não pode ser objeto de violência, como exemplo concreto: a pessoa. </w:t>
      </w:r>
    </w:p>
    <w:p w14:paraId="7BF12E92"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percepção da sacralidade da pessoa indica uma mudança de mentalidade em relação a ela, que tem um de seus marcos históricos a abolição da tortura como meio de prova, no século XVIII. A partir de então, a pessoa humana – segundo a definição de Miguel Reale</w:t>
      </w:r>
      <w:r w:rsidRPr="002C1356">
        <w:rPr>
          <w:rStyle w:val="Refdenotaderodap"/>
          <w:rFonts w:ascii="Times New Roman" w:hAnsi="Times New Roman"/>
          <w:sz w:val="24"/>
          <w:szCs w:val="24"/>
        </w:rPr>
        <w:footnoteReference w:id="44"/>
      </w:r>
      <w:r w:rsidRPr="002C1356">
        <w:rPr>
          <w:rFonts w:ascii="Times New Roman" w:hAnsi="Times New Roman"/>
          <w:sz w:val="24"/>
          <w:szCs w:val="24"/>
        </w:rPr>
        <w:t xml:space="preserve"> – torna-se “o valor fonte de todos os valores”. Dito de outro modo, a proteção da pessoa é o requisito para a existência de valores. Esclarece Reale: “O homem é a fonte de todos os valores porque é inerente à sua essência, valorar, criticar, julgar tudo aquilo que lhe é apresentado, seja no plano da ação ou no do conhecimento”.</w:t>
      </w:r>
    </w:p>
    <w:p w14:paraId="6E948B5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caps/>
          <w:sz w:val="24"/>
          <w:szCs w:val="24"/>
        </w:rPr>
        <w:t>é</w:t>
      </w:r>
      <w:r w:rsidRPr="002C1356">
        <w:rPr>
          <w:rFonts w:ascii="Times New Roman" w:hAnsi="Times New Roman"/>
          <w:sz w:val="24"/>
          <w:szCs w:val="24"/>
        </w:rPr>
        <w:t xml:space="preserve"> importante lembrar que nas relações jurídicas pré-modernas o reconhecimento da pessoa – enquanto sujeito, e não objeto – está ligado a seu pertencimento a um determinado estamento. De modo que os direitos e deveres individuais são definidos no âmbito da “estrutura social de cooperação”. O que, em termos práticos, significa que nem todo indivíduo era reconhecido como pessoa.</w:t>
      </w:r>
    </w:p>
    <w:p w14:paraId="53B1EBC2"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partir do advento do direito moderno, o sistema jurídico sofreu uma transformação, e os direitos deixam de estar vinculados ao estamento ao qual o ser humano pertence. Vigorando – a partir de então – o postulado da inadmissibilidade de nenhuma forma de exceção ou privilégio. Sendo possível definir, de forma sintética, o </w:t>
      </w:r>
      <w:r w:rsidRPr="002C1356">
        <w:rPr>
          <w:rFonts w:ascii="Times New Roman" w:hAnsi="Times New Roman"/>
          <w:sz w:val="24"/>
          <w:szCs w:val="24"/>
        </w:rPr>
        <w:lastRenderedPageBreak/>
        <w:t>Direito Moderno Ocidental como: “expressão dos interesses universalizáveis de todos os membros da sociedade”.</w:t>
      </w:r>
      <w:r w:rsidRPr="002C1356">
        <w:rPr>
          <w:rStyle w:val="Refdenotaderodap"/>
          <w:rFonts w:ascii="Times New Roman" w:hAnsi="Times New Roman"/>
          <w:sz w:val="24"/>
          <w:szCs w:val="24"/>
        </w:rPr>
        <w:footnoteReference w:id="45"/>
      </w:r>
      <w:r w:rsidRPr="002C1356">
        <w:rPr>
          <w:rFonts w:ascii="Times New Roman" w:hAnsi="Times New Roman"/>
          <w:sz w:val="24"/>
          <w:szCs w:val="24"/>
        </w:rPr>
        <w:t xml:space="preserve"> A Declaração dos Direitos do Homem e do Cidadão (1789) foi o documento histórico que marcou a transformação do Direito em um novo e independente padrão de reconhecimento, da pessoa – enquanto indivíduo – como sujeito de direito.</w:t>
      </w:r>
    </w:p>
    <w:p w14:paraId="6BAE4E03"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b/>
          <w:sz w:val="24"/>
          <w:szCs w:val="24"/>
        </w:rPr>
      </w:pPr>
    </w:p>
    <w:p w14:paraId="18F3AF72"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b/>
          <w:sz w:val="24"/>
          <w:szCs w:val="24"/>
        </w:rPr>
      </w:pPr>
      <w:r w:rsidRPr="002C1356">
        <w:rPr>
          <w:rFonts w:ascii="Times New Roman" w:hAnsi="Times New Roman"/>
          <w:b/>
          <w:sz w:val="24"/>
          <w:szCs w:val="24"/>
        </w:rPr>
        <w:t>1.1.2 Indivíduo, Pessoa, Sujeito de Direito</w:t>
      </w:r>
    </w:p>
    <w:p w14:paraId="579E60AF"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b/>
          <w:sz w:val="24"/>
          <w:szCs w:val="24"/>
        </w:rPr>
      </w:pPr>
    </w:p>
    <w:p w14:paraId="71F00338" w14:textId="77777777" w:rsidR="003D7DAB" w:rsidRPr="002C1356" w:rsidRDefault="003D7DAB" w:rsidP="003D7DAB">
      <w:pPr>
        <w:pStyle w:val="Citao1"/>
        <w:ind w:firstLine="3"/>
      </w:pPr>
      <w:r w:rsidRPr="002C1356">
        <w:t>Assim nasce com a pessoa uma outra espécie de justiça, mais completa e mais rica, porém situada acima de todo limite imposto por uma moral social ou política ou pelo direito, e que obtém na universalidade de um princípio de vida individual a fonte de um valor absoluto.</w:t>
      </w:r>
      <w:r w:rsidRPr="00A931C3">
        <w:rPr>
          <w:rStyle w:val="Refdenotaderodap"/>
          <w:sz w:val="24"/>
        </w:rPr>
        <w:footnoteReference w:id="46"/>
      </w:r>
    </w:p>
    <w:p w14:paraId="1FB87FE5"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564EC753" w14:textId="3FD268A3" w:rsidR="003D7DAB" w:rsidRDefault="003D7DAB" w:rsidP="008675A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Como vimos anteriormente para os pré-modernos o direito dos seres humanos estava ligado à sua posição estamental. Foi no âmbito do direito natural racional que o conceito de pessoa, como indivíduo, ocupou um lugar central na história do Direito Ocidental. É o que esclarece José Reinaldo de Lima Lopes:</w:t>
      </w:r>
      <w:r w:rsidRPr="002C1356">
        <w:rPr>
          <w:rStyle w:val="Refdenotaderodap"/>
          <w:rFonts w:ascii="Times New Roman" w:hAnsi="Times New Roman"/>
          <w:sz w:val="24"/>
          <w:szCs w:val="24"/>
        </w:rPr>
        <w:footnoteReference w:id="47"/>
      </w:r>
      <w:r w:rsidRPr="002C1356">
        <w:rPr>
          <w:rFonts w:ascii="Times New Roman" w:hAnsi="Times New Roman"/>
          <w:sz w:val="24"/>
          <w:szCs w:val="24"/>
        </w:rPr>
        <w:t xml:space="preserve"> </w:t>
      </w:r>
    </w:p>
    <w:p w14:paraId="0604FE0D" w14:textId="77777777" w:rsidR="008675A3" w:rsidRPr="002C1356" w:rsidRDefault="008675A3" w:rsidP="008675A3">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27419AFD" w14:textId="77777777" w:rsidR="003D7DAB" w:rsidRPr="002C1356" w:rsidRDefault="003D7DAB" w:rsidP="003D7DAB">
      <w:pPr>
        <w:pStyle w:val="Citao1"/>
        <w:ind w:firstLine="3"/>
      </w:pPr>
      <w:r w:rsidRPr="002C1356">
        <w:t xml:space="preserve">O indivíduo segundo o jusnaturalismo, antes de qualquer condição, aparecia como portador de um direito, uma faculdade natural e moral, da qual se poderiam derivar consequências jurídicas. O ser humano individual determinado empiricamente (um ser de necessidades), o indivíduo natural passaria a ser o início, o ponto de partida do pensamento jurídico ocidental moderno. </w:t>
      </w:r>
    </w:p>
    <w:p w14:paraId="1AE39B9A" w14:textId="77777777" w:rsidR="003D7DAB" w:rsidRPr="002C1356" w:rsidRDefault="003D7DAB" w:rsidP="003D7DAB">
      <w:pPr>
        <w:pStyle w:val="Citao1"/>
        <w:ind w:firstLine="3"/>
      </w:pPr>
    </w:p>
    <w:p w14:paraId="140EA4C9" w14:textId="0892DB1E" w:rsidR="003D7DAB" w:rsidRPr="002C1356" w:rsidRDefault="003D7DAB" w:rsidP="008675A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Esse “indivíduo natural” é o homem enquanto ser autônomo desligado de qualquer vínculo social ou político. O “individualismo como ideologia” é característica marcante e diferencial da sociedade ocidental. Diversamente de outras sociedades, como a hindu e a africana, consideradas holísticas. A esse respeito, temos o comentário de Louis Dumont: </w:t>
      </w:r>
    </w:p>
    <w:p w14:paraId="10D47196" w14:textId="77777777" w:rsidR="003D7DAB" w:rsidRPr="002C1356" w:rsidRDefault="003D7DAB" w:rsidP="003D7DAB">
      <w:pPr>
        <w:pStyle w:val="Citao1"/>
        <w:ind w:firstLine="3"/>
      </w:pPr>
      <w:r w:rsidRPr="002C1356">
        <w:t xml:space="preserve">Assim, quando falamos de um indivíduo, designamos duas coisas de uma só vez: um objeto fora de nós e um valor. A comparação nos obriga a </w:t>
      </w:r>
      <w:r w:rsidRPr="002C1356">
        <w:lastRenderedPageBreak/>
        <w:t xml:space="preserve">distinguir analiticamente esses dois aspectos: de um lado, o sujeito empírico falante, pensante e desejante, uma amostra individual da espécie humana, tal como é encontrada em todas as sociedades, e de outro, o ser moral independente, autônomo e por conseguinte não social, que traz os nossos valores supremos e se encontra em primeiro lugar em nossa ideologia moderna do homem e da sociedade. Deste ponto de vista, há duas espécies de sociedades. Onde o indivíduo é o valor supremo, eu falo do individualismo; no caso oposto, onde o valor se encontra na sociedade como um todo, eu falo do holismo. </w:t>
      </w:r>
    </w:p>
    <w:p w14:paraId="411654AB"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10BB0169"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Referida ideologia tem suas raízes históricas na Revolução Francesa que, como um de seus primeiros atos da “Revolução do Direito” que teve lugar, na noite de 4 de agosto de 1789, decretou a abolição dos privilégios da nobreza, com fundamento em dois princípios: 1) o individualismo e 2) a igualdade de direitos.</w:t>
      </w:r>
      <w:r w:rsidRPr="002C1356">
        <w:rPr>
          <w:rStyle w:val="Refdenotaderodap"/>
          <w:rFonts w:ascii="Times New Roman" w:hAnsi="Times New Roman"/>
          <w:sz w:val="24"/>
          <w:szCs w:val="24"/>
        </w:rPr>
        <w:footnoteReference w:id="48"/>
      </w:r>
      <w:r w:rsidRPr="002C1356">
        <w:rPr>
          <w:rFonts w:ascii="Times New Roman" w:hAnsi="Times New Roman"/>
          <w:i/>
          <w:sz w:val="24"/>
          <w:szCs w:val="24"/>
        </w:rPr>
        <w:t xml:space="preserve"> </w:t>
      </w:r>
    </w:p>
    <w:p w14:paraId="7131D216"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 xml:space="preserve">No livro </w:t>
      </w:r>
      <w:r w:rsidRPr="002C1356">
        <w:rPr>
          <w:rFonts w:ascii="Times New Roman" w:hAnsi="Times New Roman"/>
          <w:i/>
          <w:sz w:val="24"/>
          <w:szCs w:val="24"/>
        </w:rPr>
        <w:t>Direitos Humanos: Uma História</w:t>
      </w:r>
      <w:r w:rsidRPr="002C1356">
        <w:rPr>
          <w:rFonts w:ascii="Times New Roman" w:hAnsi="Times New Roman"/>
          <w:sz w:val="24"/>
          <w:szCs w:val="24"/>
        </w:rPr>
        <w:t>, a historiadora norte americana Lynn Hunt indica que o surgimento do conceito de indivíduo está relacionado a mudança de atitudes e mentalidades que transformaram a forma de pensar e agir dos homens e mulheres em relação a si próprios e aos outros. Tais mudanças têm seu início no século XIV e “assinalavam o advento do indivíduo fechado em si mesmo, cujas fronteiras tinham de ser respeitadas na interação social. A compostura e a autonomia requeriam uma crescente autodisciplina”.</w:t>
      </w:r>
    </w:p>
    <w:p w14:paraId="1F5597FF"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i/>
          <w:sz w:val="24"/>
          <w:szCs w:val="24"/>
        </w:rPr>
        <w:t xml:space="preserve"> </w:t>
      </w:r>
      <w:r w:rsidRPr="002C1356">
        <w:rPr>
          <w:rFonts w:ascii="Times New Roman" w:hAnsi="Times New Roman"/>
          <w:sz w:val="24"/>
          <w:szCs w:val="24"/>
        </w:rPr>
        <w:t xml:space="preserve">O “indivíduo fechado em si mesmo” será essa a definição mais próxima de pessoa para o Direito. A pessoa capaz de agir transforma-se em sujeito e a pessoa capaz de exercitar um direito em sujeito de Direito. </w:t>
      </w:r>
    </w:p>
    <w:p w14:paraId="7FD53160" w14:textId="45B216FA" w:rsidR="003D7DAB" w:rsidRPr="002C1356" w:rsidRDefault="003D7DAB" w:rsidP="008301C5">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pessoa assemelhada ao indivíduo é una e singular, uma vez que “indivisa”, todavia é semelhante a outros, indivíduos indivisos também... É o Direito – enquanto esfera garante da identidade – que converte a pessoa em sujeito, com a expressa proibição de que seja tratado como um objeto.</w:t>
      </w:r>
      <w:r w:rsidRPr="002C1356">
        <w:rPr>
          <w:rStyle w:val="Refdenotaderodap"/>
          <w:rFonts w:ascii="Times New Roman" w:hAnsi="Times New Roman"/>
          <w:sz w:val="24"/>
          <w:szCs w:val="24"/>
        </w:rPr>
        <w:footnoteReference w:id="49"/>
      </w:r>
      <w:r w:rsidRPr="002C1356">
        <w:rPr>
          <w:rFonts w:ascii="Times New Roman" w:hAnsi="Times New Roman"/>
          <w:sz w:val="24"/>
          <w:szCs w:val="24"/>
        </w:rPr>
        <w:t xml:space="preserve"> O ser humano é definido como sujeito por obra e graça de um dogma do Direito. Lapidar o ensinamento de Supiot: </w:t>
      </w:r>
    </w:p>
    <w:p w14:paraId="30D42956" w14:textId="77777777" w:rsidR="003D7DAB" w:rsidRPr="002C1356" w:rsidRDefault="003D7DAB" w:rsidP="003D7DAB">
      <w:pPr>
        <w:pStyle w:val="Citao1"/>
        <w:ind w:firstLine="3"/>
      </w:pPr>
      <w:r w:rsidRPr="002C1356">
        <w:t xml:space="preserve">As noções de sujeito e de objeto, de pessoa e de coisa, de espírito e de matéria se definem por oposição mútua. Uma não é concebível sem a outra e jamais a ciência positiva poderia ter nascido sem elas. Cumpre </w:t>
      </w:r>
      <w:r w:rsidRPr="002C1356">
        <w:lastRenderedPageBreak/>
        <w:t>realmente postular que o homem é um sujeito capaz de razão para que a ciência seja possível e essa definição do ser humano não resulta de uma demonstração científica, mas de uma afirmação dogmática; é um produto da história do Direito e não da história das ciências.</w:t>
      </w:r>
      <w:r w:rsidRPr="002C1356">
        <w:rPr>
          <w:rStyle w:val="Refdenotaderodap"/>
          <w:sz w:val="24"/>
        </w:rPr>
        <w:footnoteReference w:id="50"/>
      </w:r>
      <w:r w:rsidRPr="002C1356">
        <w:t xml:space="preserve"> </w:t>
      </w:r>
    </w:p>
    <w:p w14:paraId="56428CA7" w14:textId="77777777" w:rsidR="003D7DAB" w:rsidRPr="002C1356" w:rsidRDefault="003D7DAB" w:rsidP="003D7DAB">
      <w:pPr>
        <w:pStyle w:val="Citao1"/>
        <w:ind w:firstLine="3"/>
      </w:pPr>
    </w:p>
    <w:p w14:paraId="521AB64A"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Urge esclarecer que o Direito enquanto padrão de reconhecimento é um processo de “mão dupla”. Deve-se reconhecer o valor universal da norma e a singularidade inerente a todos as pessoas integrantes de uma sociedade, identificando cada pessoa como livre e igual, perante outras. A estrutura dual do Direito está relacionada à ligação existente entre ampliação dos direitos reconhecidos às pessoas pela norma e o enriquecimento das capacidades dos sujeitos graças ao reconhecimento recíproco. Dito de outro modo, o reconhecimento: a) da validade em relação às normas; e b) da capacidade em relação aos sujeitos</w:t>
      </w:r>
      <w:r w:rsidRPr="002C1356">
        <w:rPr>
          <w:rStyle w:val="Refdenotaderodap"/>
          <w:rFonts w:ascii="Times New Roman" w:hAnsi="Times New Roman"/>
          <w:sz w:val="24"/>
          <w:szCs w:val="24"/>
        </w:rPr>
        <w:footnoteReference w:id="51"/>
      </w:r>
      <w:r w:rsidRPr="002C1356">
        <w:rPr>
          <w:rFonts w:ascii="Times New Roman" w:hAnsi="Times New Roman"/>
          <w:sz w:val="24"/>
          <w:szCs w:val="24"/>
        </w:rPr>
        <w:t>.</w:t>
      </w:r>
    </w:p>
    <w:p w14:paraId="65D003A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discussão a respeito do sujeito de direito – brevemente apresentada </w:t>
      </w:r>
      <w:r w:rsidRPr="002C1356">
        <w:rPr>
          <w:rFonts w:ascii="Times New Roman" w:hAnsi="Times New Roman"/>
          <w:sz w:val="24"/>
          <w:szCs w:val="24"/>
        </w:rPr>
        <w:softHyphen/>
        <w:t>– será retomada na Parte II deste estudo.</w:t>
      </w:r>
    </w:p>
    <w:p w14:paraId="78283404"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41C3C82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r w:rsidRPr="002C1356">
        <w:rPr>
          <w:rFonts w:ascii="Times New Roman" w:hAnsi="Times New Roman"/>
          <w:b/>
          <w:sz w:val="24"/>
          <w:szCs w:val="24"/>
        </w:rPr>
        <w:t>1.1.3 Narrativa e Juízo Reflexivo em Durkheim</w:t>
      </w:r>
    </w:p>
    <w:p w14:paraId="0F04C97A" w14:textId="77777777" w:rsidR="008301C5" w:rsidRDefault="008301C5" w:rsidP="003D7DAB">
      <w:pPr>
        <w:widowControl w:val="0"/>
        <w:autoSpaceDE w:val="0"/>
        <w:autoSpaceDN w:val="0"/>
        <w:adjustRightInd w:val="0"/>
        <w:spacing w:after="0" w:line="360" w:lineRule="auto"/>
        <w:contextualSpacing/>
        <w:jc w:val="both"/>
        <w:rPr>
          <w:rFonts w:ascii="Times New Roman" w:hAnsi="Times New Roman"/>
          <w:b/>
          <w:sz w:val="24"/>
          <w:szCs w:val="24"/>
        </w:rPr>
      </w:pPr>
    </w:p>
    <w:p w14:paraId="034374AE"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i/>
        </w:rPr>
      </w:pPr>
      <w:r w:rsidRPr="002C1356">
        <w:rPr>
          <w:rFonts w:ascii="Times New Roman" w:hAnsi="Times New Roman"/>
          <w:b/>
          <w:sz w:val="24"/>
          <w:szCs w:val="24"/>
        </w:rPr>
        <w:tab/>
      </w:r>
      <w:r w:rsidRPr="002C1356">
        <w:rPr>
          <w:rFonts w:ascii="Times New Roman" w:hAnsi="Times New Roman"/>
          <w:i/>
        </w:rPr>
        <w:t>A narrativa é o gênero literário para objetificação do valor.</w:t>
      </w:r>
      <w:r w:rsidRPr="002C1356">
        <w:rPr>
          <w:rStyle w:val="Refdenotaderodap"/>
          <w:rFonts w:ascii="Times New Roman" w:hAnsi="Times New Roman"/>
          <w:i/>
        </w:rPr>
        <w:footnoteReference w:id="52"/>
      </w:r>
    </w:p>
    <w:p w14:paraId="4DDFE18B"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2DCEA6DF" w14:textId="1C7AAD74" w:rsidR="003D7DAB" w:rsidRPr="002C1356" w:rsidRDefault="003D7DAB" w:rsidP="00647ACF">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Ao propor a transformação de pessoa em uma “coisa sagrada”, no texto os “Intelectuais e o Individualismo” (1898), Durkheim refere-se à pessoa que de todo – de forma contrária ao Direito – é diversa do conceito de indivíduo. Em relação a essa questão, é valiosa a elucidação de Joas:</w:t>
      </w:r>
      <w:r w:rsidRPr="002C1356">
        <w:rPr>
          <w:rStyle w:val="Refdenotaderodap"/>
          <w:rFonts w:ascii="Times New Roman" w:hAnsi="Times New Roman"/>
          <w:sz w:val="24"/>
          <w:szCs w:val="24"/>
        </w:rPr>
        <w:footnoteReference w:id="53"/>
      </w:r>
      <w:r w:rsidRPr="002C1356">
        <w:rPr>
          <w:rFonts w:ascii="Times New Roman" w:hAnsi="Times New Roman"/>
          <w:sz w:val="24"/>
          <w:szCs w:val="24"/>
        </w:rPr>
        <w:t xml:space="preserve"> </w:t>
      </w:r>
    </w:p>
    <w:p w14:paraId="6BE49180" w14:textId="77777777" w:rsidR="003D7DAB" w:rsidRPr="002C1356" w:rsidRDefault="003D7DAB" w:rsidP="003D7DAB">
      <w:pPr>
        <w:pStyle w:val="Citao1"/>
        <w:ind w:firstLine="3"/>
      </w:pPr>
      <w:r w:rsidRPr="002C1356">
        <w:t>O conceito de pessoa – em distinção ao conceito de indivíduo – tem a vantagem adicional de não poder ser entendido como antônimo de sociedade (ou comunidade). Nele está embutido, muito antes, uma referência a socialidade necessária do indivíduo e a um tipo específico da vida social, do qual a personalidade de cada indivíduo é constitutiva.</w:t>
      </w:r>
    </w:p>
    <w:p w14:paraId="3AAEC932" w14:textId="77777777" w:rsidR="003D7DAB" w:rsidRPr="002C1356" w:rsidRDefault="003D7DAB" w:rsidP="003D7DAB">
      <w:pPr>
        <w:pStyle w:val="Citao1"/>
        <w:ind w:firstLine="3"/>
      </w:pPr>
    </w:p>
    <w:p w14:paraId="5E695A01"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uma conclusão semelhante chega Jean-Claude Filloux</w:t>
      </w:r>
      <w:r w:rsidRPr="002C1356">
        <w:rPr>
          <w:rStyle w:val="Refdenotaderodap"/>
          <w:rFonts w:ascii="Times New Roman" w:hAnsi="Times New Roman"/>
          <w:sz w:val="24"/>
          <w:szCs w:val="24"/>
        </w:rPr>
        <w:footnoteReference w:id="54"/>
      </w:r>
      <w:r w:rsidRPr="002C1356">
        <w:rPr>
          <w:rFonts w:ascii="Times New Roman" w:hAnsi="Times New Roman"/>
          <w:sz w:val="24"/>
          <w:szCs w:val="24"/>
        </w:rPr>
        <w:t xml:space="preserve"> ao constatar que a </w:t>
      </w:r>
      <w:r w:rsidRPr="002C1356">
        <w:rPr>
          <w:rFonts w:ascii="Times New Roman" w:hAnsi="Times New Roman"/>
          <w:sz w:val="24"/>
          <w:szCs w:val="24"/>
        </w:rPr>
        <w:lastRenderedPageBreak/>
        <w:t>transformação da pessoa em uma “coisa sagrada” possibilita a Durkheim associar com seu projeto teórico original da elaboração de uma sociologia: harmonizadora do individualismo e socialismo.</w:t>
      </w:r>
    </w:p>
    <w:p w14:paraId="0AAEC636"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É oportuna a reflexão de Arendt a respeito da geração do poder como agir conjunto: “(...) o poder surge apenas onde as pessoas agem em conjunto mas não onde as pessoas se fortalecem como indivíduos. (…)</w:t>
      </w:r>
      <w:r w:rsidRPr="002C1356">
        <w:rPr>
          <w:rStyle w:val="Refdenotaderodap"/>
          <w:rFonts w:ascii="Times New Roman" w:hAnsi="Times New Roman"/>
          <w:sz w:val="24"/>
          <w:szCs w:val="24"/>
        </w:rPr>
        <w:footnoteReference w:id="55"/>
      </w:r>
      <w:r w:rsidRPr="002C1356">
        <w:rPr>
          <w:rFonts w:ascii="Times New Roman" w:hAnsi="Times New Roman"/>
          <w:sz w:val="24"/>
          <w:szCs w:val="24"/>
        </w:rPr>
        <w:t xml:space="preserve"> </w:t>
      </w:r>
    </w:p>
    <w:p w14:paraId="6DF6C408"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Considerar a pessoa como sagrada significa dizer que a pessoa deve estar envolta em uma “aura de não violência” e transformada “na única convicção moral que possa unir os homens de uma sociedade moderna”.</w:t>
      </w:r>
      <w:r w:rsidRPr="002C1356">
        <w:rPr>
          <w:rStyle w:val="Refdenotaderodap"/>
          <w:rFonts w:ascii="Times New Roman" w:hAnsi="Times New Roman"/>
          <w:sz w:val="24"/>
          <w:szCs w:val="24"/>
        </w:rPr>
        <w:footnoteReference w:id="56"/>
      </w:r>
      <w:r w:rsidRPr="002C1356">
        <w:rPr>
          <w:rFonts w:ascii="Times New Roman" w:hAnsi="Times New Roman"/>
          <w:sz w:val="24"/>
          <w:szCs w:val="24"/>
        </w:rPr>
        <w:t xml:space="preserve"> De modo que a sacralidade possibilita a interdição de todo tipo de violência contra a pessoa e o respeito que é devido a pessoa no âmbito da sociedade.</w:t>
      </w:r>
    </w:p>
    <w:p w14:paraId="2ECB4C83"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Cs/>
          <w:sz w:val="24"/>
          <w:szCs w:val="24"/>
        </w:rPr>
      </w:pPr>
      <w:r w:rsidRPr="002C1356">
        <w:rPr>
          <w:rFonts w:ascii="Times New Roman" w:hAnsi="Times New Roman"/>
          <w:iCs/>
          <w:sz w:val="24"/>
          <w:szCs w:val="24"/>
        </w:rPr>
        <w:t>No século XIX e início do XX o conceito de sagrado foi usado em diversos contextos diferentes do religioso. Na Declaração dos Direitos do Homem e do Cidadão:</w:t>
      </w:r>
      <w:r w:rsidRPr="002C1356">
        <w:rPr>
          <w:rFonts w:ascii="Times New Roman" w:hAnsi="Times New Roman"/>
          <w:i/>
          <w:iCs/>
          <w:sz w:val="24"/>
          <w:szCs w:val="24"/>
        </w:rPr>
        <w:t xml:space="preserve"> </w:t>
      </w:r>
      <w:r w:rsidRPr="002C1356">
        <w:rPr>
          <w:rFonts w:ascii="Times New Roman" w:hAnsi="Times New Roman"/>
          <w:iCs/>
          <w:sz w:val="24"/>
          <w:szCs w:val="24"/>
        </w:rPr>
        <w:t>“Artigo 17, Sendo a propriedade um direito inviolável e sagrado, ninguém pode ser dela privado, a não ser quando a necessidade pública, legalmente verificada, o exigir de modo evidente, e sob a condição de uma justa e prévia indenização”.</w:t>
      </w:r>
    </w:p>
    <w:p w14:paraId="4842FCC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Cs/>
          <w:sz w:val="24"/>
          <w:szCs w:val="24"/>
        </w:rPr>
      </w:pPr>
      <w:r w:rsidRPr="002C1356">
        <w:rPr>
          <w:rFonts w:ascii="Times New Roman" w:hAnsi="Times New Roman"/>
          <w:iCs/>
          <w:sz w:val="24"/>
          <w:szCs w:val="24"/>
        </w:rPr>
        <w:t>Indica Becker</w:t>
      </w:r>
      <w:r w:rsidRPr="002C1356">
        <w:rPr>
          <w:rStyle w:val="Refdenotaderodap"/>
          <w:rFonts w:ascii="Times New Roman" w:hAnsi="Times New Roman"/>
          <w:iCs/>
          <w:sz w:val="24"/>
          <w:szCs w:val="24"/>
        </w:rPr>
        <w:footnoteReference w:id="57"/>
      </w:r>
      <w:r w:rsidRPr="002C1356">
        <w:rPr>
          <w:rFonts w:ascii="Times New Roman" w:hAnsi="Times New Roman"/>
          <w:iCs/>
          <w:sz w:val="24"/>
          <w:szCs w:val="24"/>
        </w:rPr>
        <w:t xml:space="preserve"> a propósito do Tratado de Versalhes (1919): “O artigo 229 do tratado previa o julgamento de Guilherme II diante de um tribunal internacional ‘por ofensa suprema à moral internacional e à autoridade sagrada dos tratados’ devido à violação da neutralidade belga</w:t>
      </w:r>
      <w:r w:rsidRPr="002C1356">
        <w:rPr>
          <w:rFonts w:ascii="Times New Roman" w:hAnsi="Times New Roman"/>
          <w:vanish/>
          <w:sz w:val="24"/>
          <w:szCs w:val="24"/>
        </w:rPr>
        <w:t xml:space="preserve"> i﷽﷽﷽﷽﷽﷽﷽﷽: {grada dos tratados”</w:t>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vanish/>
          <w:sz w:val="24"/>
          <w:szCs w:val="24"/>
        </w:rPr>
        <w:pgNum/>
      </w:r>
      <w:r w:rsidRPr="002C1356">
        <w:rPr>
          <w:rFonts w:ascii="Times New Roman" w:hAnsi="Times New Roman"/>
          <w:iCs/>
          <w:sz w:val="24"/>
          <w:szCs w:val="24"/>
        </w:rPr>
        <w:t>”.</w:t>
      </w:r>
    </w:p>
    <w:p w14:paraId="61F4E72A"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iCs/>
          <w:sz w:val="24"/>
          <w:szCs w:val="24"/>
        </w:rPr>
        <w:t xml:space="preserve">Vale lembrar que, de acordo com Joas, o sagrado, enquanto um valor, apresenta as seguintes características: </w:t>
      </w:r>
      <w:r w:rsidRPr="002C1356">
        <w:rPr>
          <w:rFonts w:ascii="Times New Roman" w:hAnsi="Times New Roman"/>
          <w:sz w:val="24"/>
          <w:szCs w:val="24"/>
        </w:rPr>
        <w:t>1) a certeza subjetiva; 2) a percepção da evidência e 3) uma intensidade afetiva.</w:t>
      </w:r>
      <w:r w:rsidRPr="002C1356">
        <w:rPr>
          <w:rStyle w:val="Refdenotaderodap"/>
          <w:rFonts w:ascii="Times New Roman" w:hAnsi="Times New Roman"/>
          <w:sz w:val="24"/>
          <w:szCs w:val="24"/>
        </w:rPr>
        <w:footnoteReference w:id="58"/>
      </w:r>
    </w:p>
    <w:p w14:paraId="5A9C3224" w14:textId="64F1034C" w:rsidR="003D7DAB" w:rsidRPr="001D40F4" w:rsidRDefault="003D7DAB" w:rsidP="00647ACF">
      <w:pPr>
        <w:widowControl w:val="0"/>
        <w:autoSpaceDE w:val="0"/>
        <w:autoSpaceDN w:val="0"/>
        <w:adjustRightInd w:val="0"/>
        <w:spacing w:after="0" w:line="360" w:lineRule="auto"/>
        <w:ind w:firstLine="708"/>
        <w:contextualSpacing/>
        <w:jc w:val="both"/>
        <w:rPr>
          <w:rFonts w:ascii="Times New Roman" w:hAnsi="Times New Roman"/>
          <w:i/>
          <w:iCs/>
          <w:sz w:val="24"/>
          <w:szCs w:val="24"/>
        </w:rPr>
      </w:pPr>
      <w:r w:rsidRPr="002C1356">
        <w:rPr>
          <w:rFonts w:ascii="Times New Roman" w:hAnsi="Times New Roman"/>
          <w:iCs/>
          <w:sz w:val="24"/>
          <w:szCs w:val="24"/>
        </w:rPr>
        <w:t>Joas</w:t>
      </w:r>
      <w:r w:rsidRPr="002C1356">
        <w:rPr>
          <w:rStyle w:val="Refdenotaderodap"/>
          <w:rFonts w:ascii="Times New Roman" w:hAnsi="Times New Roman"/>
          <w:iCs/>
          <w:sz w:val="24"/>
          <w:szCs w:val="24"/>
        </w:rPr>
        <w:footnoteReference w:id="59"/>
      </w:r>
      <w:r w:rsidRPr="002C1356">
        <w:rPr>
          <w:rFonts w:ascii="Times New Roman" w:hAnsi="Times New Roman"/>
          <w:iCs/>
          <w:sz w:val="24"/>
          <w:szCs w:val="24"/>
        </w:rPr>
        <w:t xml:space="preserve"> esclarece duas peculiaridades principais de uma “comunicação a respeito de valores”. A primeira característica é de que o comprometimento com um determinado valor ocorre, de forma semelhante, a uma determinada pessoa. Nesse sentido, é impossível falar a respeito de um valor sem nos referirmos a sentimentos e experiências. A segunda característica está relacionada com a questão da “the necessary narrativivity of a comunication about values”</w:t>
      </w:r>
      <w:r w:rsidRPr="002C1356">
        <w:rPr>
          <w:rStyle w:val="Refdenotaderodap"/>
          <w:rFonts w:ascii="Times New Roman" w:hAnsi="Times New Roman"/>
          <w:iCs/>
          <w:sz w:val="24"/>
          <w:szCs w:val="24"/>
        </w:rPr>
        <w:footnoteReference w:id="60"/>
      </w:r>
      <w:r w:rsidRPr="002C1356">
        <w:rPr>
          <w:rFonts w:ascii="Times New Roman" w:hAnsi="Times New Roman"/>
          <w:iCs/>
          <w:sz w:val="24"/>
          <w:szCs w:val="24"/>
        </w:rPr>
        <w:t xml:space="preserve">. </w:t>
      </w:r>
      <w:r w:rsidRPr="001D40F4">
        <w:rPr>
          <w:rFonts w:ascii="Times New Roman" w:hAnsi="Times New Roman"/>
          <w:iCs/>
          <w:sz w:val="24"/>
          <w:szCs w:val="24"/>
        </w:rPr>
        <w:t>Em relação a esse tópico afirma Joas</w:t>
      </w:r>
      <w:r w:rsidRPr="002C1356">
        <w:rPr>
          <w:rStyle w:val="Refdenotaderodap"/>
          <w:rFonts w:ascii="Times New Roman" w:hAnsi="Times New Roman"/>
          <w:iCs/>
          <w:sz w:val="24"/>
          <w:szCs w:val="24"/>
          <w:lang w:val="en-US"/>
        </w:rPr>
        <w:footnoteReference w:id="61"/>
      </w:r>
      <w:r w:rsidRPr="001D40F4">
        <w:rPr>
          <w:rFonts w:ascii="Times New Roman" w:hAnsi="Times New Roman"/>
          <w:iCs/>
          <w:sz w:val="24"/>
          <w:szCs w:val="24"/>
        </w:rPr>
        <w:t>:</w:t>
      </w:r>
      <w:r w:rsidRPr="001D40F4">
        <w:rPr>
          <w:rFonts w:ascii="Times New Roman" w:hAnsi="Times New Roman"/>
          <w:i/>
          <w:iCs/>
          <w:sz w:val="24"/>
          <w:szCs w:val="24"/>
        </w:rPr>
        <w:t xml:space="preserve"> </w:t>
      </w:r>
    </w:p>
    <w:p w14:paraId="353C6326" w14:textId="77777777" w:rsidR="003D7DAB" w:rsidRPr="001D40F4" w:rsidRDefault="003D7DAB" w:rsidP="003D7DAB">
      <w:pPr>
        <w:pStyle w:val="Citao1"/>
        <w:ind w:firstLine="3"/>
      </w:pPr>
      <w:r w:rsidRPr="002C1356">
        <w:lastRenderedPageBreak/>
        <w:t>Não podemos tornar plausível e defender nossos comprometimentos com valores sem contar estórias – estórias a respeito das experiências por meio das quais nosso comprometimento surgiu, estórias a respeito das experiências de outras pessoas ou a propósito das consequências que a violação de nossos valores teve no passado. A narração biográfica, histórica e mitológica nesse sentido não é apenas uma questão de ilustração com propósitos didáticos, mas uma parte necessária de nossa auto compreensão e da nossa comunicação a respeito de valores.</w:t>
      </w:r>
      <w:r w:rsidRPr="001D40F4">
        <w:t xml:space="preserve"> </w:t>
      </w:r>
    </w:p>
    <w:p w14:paraId="68B47B00"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6EDF92CD"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Conforme anteriormente apresentado, o livro </w:t>
      </w:r>
      <w:r w:rsidRPr="002C1356">
        <w:rPr>
          <w:rFonts w:ascii="Times New Roman" w:hAnsi="Times New Roman"/>
          <w:i/>
          <w:sz w:val="24"/>
          <w:szCs w:val="24"/>
        </w:rPr>
        <w:t xml:space="preserve">A Sacralidade da Pessoa </w:t>
      </w:r>
      <w:r w:rsidRPr="002C1356">
        <w:rPr>
          <w:rFonts w:ascii="Times New Roman" w:hAnsi="Times New Roman"/>
          <w:sz w:val="24"/>
          <w:szCs w:val="24"/>
        </w:rPr>
        <w:t xml:space="preserve">é escrito para confirmar a tese exposta em </w:t>
      </w:r>
      <w:r w:rsidRPr="002C1356">
        <w:rPr>
          <w:rFonts w:ascii="Times New Roman" w:hAnsi="Times New Roman"/>
          <w:i/>
          <w:sz w:val="24"/>
          <w:szCs w:val="24"/>
        </w:rPr>
        <w:t>The Genesis of Values</w:t>
      </w:r>
      <w:r w:rsidRPr="002C1356">
        <w:rPr>
          <w:rFonts w:ascii="Times New Roman" w:hAnsi="Times New Roman"/>
          <w:sz w:val="24"/>
          <w:szCs w:val="24"/>
        </w:rPr>
        <w:t>,</w:t>
      </w:r>
      <w:r w:rsidRPr="002C1356">
        <w:rPr>
          <w:rFonts w:ascii="Times New Roman" w:hAnsi="Times New Roman"/>
          <w:i/>
          <w:sz w:val="24"/>
          <w:szCs w:val="24"/>
        </w:rPr>
        <w:t xml:space="preserve"> </w:t>
      </w:r>
      <w:r w:rsidRPr="002C1356">
        <w:rPr>
          <w:rFonts w:ascii="Times New Roman" w:hAnsi="Times New Roman"/>
          <w:sz w:val="24"/>
          <w:szCs w:val="24"/>
        </w:rPr>
        <w:t>livro no qual o autor elucida que o início do processo de surgimento de um valor, ocorre por meio de uma narrativa.</w:t>
      </w:r>
      <w:r w:rsidRPr="002C1356">
        <w:rPr>
          <w:rFonts w:ascii="Times New Roman" w:hAnsi="Times New Roman"/>
          <w:i/>
          <w:sz w:val="24"/>
          <w:szCs w:val="24"/>
        </w:rPr>
        <w:t xml:space="preserve"> </w:t>
      </w:r>
      <w:r w:rsidRPr="002C1356">
        <w:rPr>
          <w:rFonts w:ascii="Times New Roman" w:hAnsi="Times New Roman"/>
          <w:sz w:val="24"/>
          <w:szCs w:val="24"/>
        </w:rPr>
        <w:t>É importante enfatizar que a sacralidade da pessoa é considerada por Joas um valor, e que o início da gênese de um valor é sustentado por uma narrativa, ideia diversa de Max Scheler (filósofo alemão) e – no Brasil – de Miguel Reale, que consideram o valor um objeto cultural, que se manifesta no processo histórico. Refiro-me aqui ao historicismo axiológico de Miguel Reale. A perspectiva histórica também está presente na obra de Joas, e o que a difere do historicismo axiológico de Relae é a imprescindibilidade de uma narrativa para a emergência de um valor.</w:t>
      </w:r>
    </w:p>
    <w:p w14:paraId="015BBC38" w14:textId="7A7DA529" w:rsidR="003D7DAB" w:rsidRDefault="003D7DAB" w:rsidP="00647ACF">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Após o advento de um valor – por meio de uma narrativa – Joas</w:t>
      </w:r>
      <w:r w:rsidRPr="002C1356">
        <w:rPr>
          <w:rStyle w:val="Refdenotaderodap"/>
          <w:rFonts w:ascii="Times New Roman" w:hAnsi="Times New Roman"/>
          <w:sz w:val="24"/>
          <w:szCs w:val="24"/>
        </w:rPr>
        <w:footnoteReference w:id="62"/>
      </w:r>
      <w:r w:rsidRPr="002C1356">
        <w:rPr>
          <w:rFonts w:ascii="Times New Roman" w:hAnsi="Times New Roman"/>
          <w:sz w:val="24"/>
          <w:szCs w:val="24"/>
        </w:rPr>
        <w:t xml:space="preserve"> sugere que sua estabilização na sociedade é resultado de um triângulo, composto de três vértices: </w:t>
      </w:r>
      <w:r w:rsidRPr="002C1356">
        <w:rPr>
          <w:rFonts w:ascii="Times New Roman" w:hAnsi="Times New Roman"/>
          <w:bCs/>
          <w:sz w:val="24"/>
          <w:szCs w:val="24"/>
        </w:rPr>
        <w:t>1)</w:t>
      </w:r>
      <w:r w:rsidRPr="002C1356">
        <w:rPr>
          <w:rFonts w:ascii="Times New Roman" w:hAnsi="Times New Roman"/>
          <w:sz w:val="24"/>
          <w:szCs w:val="24"/>
        </w:rPr>
        <w:t xml:space="preserve"> a fundamentação argumentativa por meio de narrativas que fazem referência a determinado valor; </w:t>
      </w:r>
      <w:r w:rsidRPr="002C1356">
        <w:rPr>
          <w:rFonts w:ascii="Times New Roman" w:hAnsi="Times New Roman"/>
          <w:bCs/>
          <w:sz w:val="24"/>
          <w:szCs w:val="24"/>
        </w:rPr>
        <w:t>2)</w:t>
      </w:r>
      <w:r w:rsidRPr="002C1356">
        <w:rPr>
          <w:rFonts w:ascii="Times New Roman" w:hAnsi="Times New Roman"/>
          <w:b/>
          <w:bCs/>
          <w:sz w:val="24"/>
          <w:szCs w:val="24"/>
        </w:rPr>
        <w:t xml:space="preserve"> </w:t>
      </w:r>
      <w:r w:rsidRPr="002C1356">
        <w:rPr>
          <w:rFonts w:ascii="Times New Roman" w:hAnsi="Times New Roman"/>
          <w:sz w:val="24"/>
          <w:szCs w:val="24"/>
        </w:rPr>
        <w:t xml:space="preserve">o trabalho das instituições e a elaboração de normas; e </w:t>
      </w:r>
      <w:r w:rsidRPr="002C1356">
        <w:rPr>
          <w:rFonts w:ascii="Times New Roman" w:hAnsi="Times New Roman"/>
          <w:bCs/>
          <w:sz w:val="24"/>
          <w:szCs w:val="24"/>
        </w:rPr>
        <w:t>3)</w:t>
      </w:r>
      <w:r w:rsidRPr="002C1356">
        <w:rPr>
          <w:rFonts w:ascii="Times New Roman" w:hAnsi="Times New Roman"/>
          <w:sz w:val="24"/>
          <w:szCs w:val="24"/>
        </w:rPr>
        <w:t xml:space="preserve"> as práticas da vida cotidiana que tornam possível a experiência vivencial de um valor na vida cotidiana de cidadãs e cidadãos. Com referência ao processo da sacralização da pessoa, Joas</w:t>
      </w:r>
      <w:r w:rsidRPr="002C1356">
        <w:rPr>
          <w:rStyle w:val="Refdenotaderodap"/>
          <w:rFonts w:ascii="Times New Roman" w:hAnsi="Times New Roman"/>
          <w:sz w:val="24"/>
          <w:szCs w:val="24"/>
        </w:rPr>
        <w:footnoteReference w:id="63"/>
      </w:r>
      <w:r w:rsidRPr="002C1356">
        <w:rPr>
          <w:rFonts w:ascii="Times New Roman" w:hAnsi="Times New Roman"/>
          <w:sz w:val="24"/>
          <w:szCs w:val="24"/>
        </w:rPr>
        <w:t xml:space="preserve"> esclarece: </w:t>
      </w:r>
    </w:p>
    <w:p w14:paraId="37506AA4" w14:textId="0ECC38AF" w:rsidR="003D7DAB" w:rsidRPr="002C1356" w:rsidRDefault="008301C5" w:rsidP="003D7DAB">
      <w:pPr>
        <w:pStyle w:val="Citao1"/>
        <w:ind w:firstLine="3"/>
      </w:pPr>
      <w:r w:rsidRPr="002C1356">
        <w:t xml:space="preserve"> </w:t>
      </w:r>
      <w:r w:rsidR="003D7DAB" w:rsidRPr="002C1356">
        <w:t>(...) nos termos do triângulo composto de práticas, valores e instituições, a estabilização das conquistas alcançadas no processo de sacralização da pessoa só poderá ser bem-sucedida se acontecerem três coisas. (...) No âmbito dos valores, trata-se da fundamentação argumentativa da pretensão da validade universal, que, no entanto – como se pretendeu mostrar aqui –, não será possível sem que seja permeado com narração.</w:t>
      </w:r>
    </w:p>
    <w:p w14:paraId="2317D532"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645AA645"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Importa observar que o artigo “Os Intelectuais e o Individualismo” foi a narrativa por meio do qual é apresentada a defesa da pessoa. Pessoa que, no caso em tela, está corporificada no Capitão Dreyfuss. A solidariedade a Dreyfuss é o motivo ensejador do juízo reflexivo de Durkheim. Esclarecedor o comentário de Lafer:</w:t>
      </w:r>
      <w:r w:rsidRPr="002C1356">
        <w:rPr>
          <w:rStyle w:val="Refdenotaderodap"/>
          <w:rFonts w:ascii="Times New Roman" w:hAnsi="Times New Roman"/>
          <w:sz w:val="24"/>
          <w:szCs w:val="24"/>
        </w:rPr>
        <w:footnoteReference w:id="64"/>
      </w:r>
      <w:r w:rsidRPr="002C1356">
        <w:rPr>
          <w:rFonts w:ascii="Times New Roman" w:hAnsi="Times New Roman"/>
          <w:sz w:val="24"/>
          <w:szCs w:val="24"/>
        </w:rPr>
        <w:t xml:space="preserve"> </w:t>
      </w:r>
    </w:p>
    <w:p w14:paraId="77A122FD" w14:textId="4BA75B9A" w:rsidR="003D7DAB" w:rsidRPr="002C1356" w:rsidRDefault="008301C5" w:rsidP="003D7DAB">
      <w:pPr>
        <w:pStyle w:val="Citao1"/>
        <w:ind w:firstLine="3"/>
      </w:pPr>
      <w:r w:rsidRPr="002C1356">
        <w:t xml:space="preserve"> </w:t>
      </w:r>
      <w:r w:rsidR="003D7DAB" w:rsidRPr="002C1356">
        <w:t>(...) A solidariedade, observa Hannah Arendt, pode ser suscitada pelo sofrimento, mas não é guiada por ele. É ela que permite compreender o forte e o rico não menos que o fraco e o pobre. Comparada com a piedade, ela pode parecer fria e abstrata, porque está ligada a “ideias” e não ao “amor” pelo homem; comparada com a compaixão ela pode parecer inautêntica. Entretanto, é a solidariedade que enseja a condição de possibilidade do juízo reflexivo, pois a piedade requer o infortúnio, e a compaixão perde a percepção da singularidade no turbilhão da alma dividida entre o oceano do sofrimento externo e o mar de emoções internas.</w:t>
      </w:r>
    </w:p>
    <w:p w14:paraId="7BC84DED"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sz w:val="24"/>
          <w:szCs w:val="24"/>
        </w:rPr>
      </w:pPr>
    </w:p>
    <w:p w14:paraId="4E626D6A"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parte III do livro </w:t>
      </w:r>
      <w:r w:rsidRPr="002C1356">
        <w:rPr>
          <w:rFonts w:ascii="Times New Roman" w:hAnsi="Times New Roman"/>
          <w:i/>
          <w:sz w:val="24"/>
          <w:szCs w:val="24"/>
        </w:rPr>
        <w:t xml:space="preserve">A Reconstrução dos Direitos Humanos: Um diálogo com o pensamento de Hannah Arendt </w:t>
      </w:r>
      <w:r w:rsidRPr="002C1356">
        <w:rPr>
          <w:rFonts w:ascii="Times New Roman" w:hAnsi="Times New Roman"/>
          <w:sz w:val="24"/>
          <w:szCs w:val="24"/>
        </w:rPr>
        <w:t>é intitulada: “O juízo reflexivo como fundamento da reconstrução dos direitos humanos”</w:t>
      </w:r>
      <w:r w:rsidRPr="002C1356">
        <w:rPr>
          <w:rFonts w:ascii="Times New Roman" w:hAnsi="Times New Roman"/>
          <w:i/>
          <w:sz w:val="24"/>
          <w:szCs w:val="24"/>
        </w:rPr>
        <w:t>.</w:t>
      </w:r>
      <w:r w:rsidRPr="002C1356">
        <w:rPr>
          <w:rFonts w:ascii="Times New Roman" w:hAnsi="Times New Roman"/>
          <w:sz w:val="24"/>
          <w:szCs w:val="24"/>
        </w:rPr>
        <w:t xml:space="preserve"> Nesse texto final, que apesar de longo, permito-me citar, Lafer conclui o quanto segue:</w:t>
      </w:r>
    </w:p>
    <w:p w14:paraId="42D0F662" w14:textId="77777777" w:rsidR="003D7DAB" w:rsidRPr="002C1356" w:rsidRDefault="003D7DAB" w:rsidP="003D7DAB">
      <w:pPr>
        <w:pStyle w:val="Citao1"/>
        <w:ind w:firstLine="3"/>
      </w:pPr>
      <w:r w:rsidRPr="002C1356">
        <w:t>Creio que, finalizando, cabe uma derradeira observação sobre o alcance filosófico e a intenção política do argumento exemplar, tal como proposto por Hannah Arendt e utilizado neste trabalho, com o objetivo de indicar, fundamentando, os caminhos para a reconstrução dos direitos humanos.</w:t>
      </w:r>
    </w:p>
    <w:p w14:paraId="6588D502" w14:textId="77777777" w:rsidR="003D7DAB" w:rsidRPr="002C1356" w:rsidRDefault="003D7DAB" w:rsidP="003D7DAB">
      <w:pPr>
        <w:pStyle w:val="Citao1"/>
        <w:ind w:firstLine="0"/>
      </w:pPr>
      <w:r w:rsidRPr="002C1356">
        <w:t xml:space="preserve">Hannah Arendt, em mais de uma ocasião, chamou a atenção para a existência de uma tensão entre a filosofia e a política. Essa tensão, que numa conferência de 1954, ela qualificou de abismo, teve seu marco histórico no processo e na condenação de Sócrates, pois não foi ele capaz de persuadir os seus juízes de sua inocência e méritos. Daí, a partir de Platão, o problema do relacionamento entre a filosofia e a política, do qual deriva a hostilidade de toda uma tradição filosófica diante das incertezas do concreto, inerentes à </w:t>
      </w:r>
      <w:r w:rsidRPr="002C1356">
        <w:rPr>
          <w:b/>
        </w:rPr>
        <w:t xml:space="preserve">vita activa. </w:t>
      </w:r>
      <w:r w:rsidRPr="002C1356">
        <w:t>É isso que explica por que essa tradição colocou a palavra de alcance filosófico fora e acima da esfera pública.</w:t>
      </w:r>
    </w:p>
    <w:p w14:paraId="4D608B89" w14:textId="77777777" w:rsidR="003D7DAB" w:rsidRPr="002C1356" w:rsidRDefault="003D7DAB" w:rsidP="003D7DAB">
      <w:pPr>
        <w:pStyle w:val="Citao1"/>
        <w:ind w:firstLine="0"/>
      </w:pPr>
      <w:r w:rsidRPr="002C1356">
        <w:lastRenderedPageBreak/>
        <w:t xml:space="preserve">Hannah Arendt, que não se considerava uma filósofa, mas uma teórica da política, contestou essa tradição, como foi visto no correr deste trabalho. Contestou-a, no entanto, procurando transpor o abismo entre o alcance filosófico e a intenção política, ao conferir aos exemplos, objeto na sua especificidade dos juízos reflexivos, uma universalidade, e acreditando que, apesar da ruptura, através de exemplos: “onde do conceito há maior lacuna/palavras surgirão na hora oportuna. </w:t>
      </w:r>
    </w:p>
    <w:p w14:paraId="0BD5F07F"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2977F6EE"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Defendo a ideia de que o Caso Dreyfuss é o exemplo histórico no qual Durkheim fundamentou seu juízo reflexivo, mais do que isso, penso que o juízo reflexivo de Durkheim, exposto no artigo em tela, transformou a sacralidade da pessoa em uma ideia moral de abrangência universal. </w:t>
      </w:r>
    </w:p>
    <w:p w14:paraId="7A48C42D"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Importa elucidar que o juízo reflexivo é apenas possível em um espaço público. No caso de Durkheim a comunidade política na qual ele estava inserido era constituída de “um mínimo de filia aristotélica e no qual a categoria central da política não se resumia a uma relação amigo-inimigo”.</w:t>
      </w:r>
      <w:r w:rsidRPr="002C1356">
        <w:rPr>
          <w:rStyle w:val="Refdenotaderodap"/>
          <w:rFonts w:ascii="Times New Roman" w:hAnsi="Times New Roman"/>
          <w:sz w:val="24"/>
          <w:szCs w:val="24"/>
        </w:rPr>
        <w:footnoteReference w:id="65"/>
      </w:r>
      <w:r w:rsidRPr="002C1356">
        <w:rPr>
          <w:rFonts w:ascii="Times New Roman" w:hAnsi="Times New Roman"/>
          <w:sz w:val="24"/>
          <w:szCs w:val="24"/>
        </w:rPr>
        <w:t xml:space="preserve"> É lapidar o ensinamento de Bethania Assy:</w:t>
      </w:r>
      <w:r w:rsidRPr="002C1356">
        <w:rPr>
          <w:rStyle w:val="Refdenotaderodap"/>
          <w:rFonts w:ascii="Times New Roman" w:hAnsi="Times New Roman"/>
          <w:sz w:val="24"/>
          <w:szCs w:val="24"/>
        </w:rPr>
        <w:footnoteReference w:id="66"/>
      </w:r>
      <w:r w:rsidRPr="002C1356">
        <w:rPr>
          <w:rFonts w:ascii="Times New Roman" w:hAnsi="Times New Roman"/>
          <w:sz w:val="24"/>
          <w:szCs w:val="24"/>
        </w:rPr>
        <w:t xml:space="preserve"> </w:t>
      </w:r>
    </w:p>
    <w:p w14:paraId="5601CC49" w14:textId="6E720E77" w:rsidR="003D7DAB" w:rsidRPr="002C1356" w:rsidRDefault="008301C5" w:rsidP="003D7DAB">
      <w:pPr>
        <w:pStyle w:val="Citao1"/>
        <w:ind w:firstLine="0"/>
      </w:pPr>
      <w:r w:rsidRPr="002C1356">
        <w:t xml:space="preserve"> </w:t>
      </w:r>
      <w:r w:rsidR="003D7DAB" w:rsidRPr="002C1356">
        <w:t xml:space="preserve">(…) Seguindo essa linha de raciocínio, a pluralidade já figura como a própria possibilidade desse “espaço-entre”, seja no mundo objetivo dos artefatos, seja nas palavras e feitos intersubjetivos dos sujeitos. A faculdade de julgar ocupa uma posição limiar nesse duplo </w:t>
      </w:r>
      <w:r w:rsidR="003D7DAB" w:rsidRPr="002C1356">
        <w:rPr>
          <w:b/>
        </w:rPr>
        <w:t>espaço-entre</w:t>
      </w:r>
      <w:r w:rsidR="003D7DAB" w:rsidRPr="002C1356">
        <w:t xml:space="preserve">: transpõe a alteridade tal como constituída no pensamento reflexivo para o nível mais concreto das interações, o domínio público das relações humanas – o político. </w:t>
      </w:r>
    </w:p>
    <w:p w14:paraId="1E06DD98"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086FD83B"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comunidade política dos </w:t>
      </w:r>
      <w:r w:rsidRPr="002C1356">
        <w:rPr>
          <w:rFonts w:ascii="Times New Roman" w:hAnsi="Times New Roman"/>
          <w:i/>
          <w:sz w:val="24"/>
          <w:szCs w:val="24"/>
        </w:rPr>
        <w:t xml:space="preserve">dreyfusards </w:t>
      </w:r>
      <w:r w:rsidRPr="002C1356">
        <w:rPr>
          <w:rFonts w:ascii="Times New Roman" w:hAnsi="Times New Roman"/>
          <w:sz w:val="24"/>
          <w:szCs w:val="24"/>
        </w:rPr>
        <w:t xml:space="preserve">propiciou a Durkheim uma escuta acolhedora que tornou viável o florescimento de uma revelação. Nesse sentido, importante lembrar que, para Hannah Arendt, o engendramento do poder é fruto da ação conjunta de homens e mulheres, e, por meio do discurso, a revelação de cada indivíduo em sua singularidade torna-se possível. De forma que a ação não violenta é o único modo de ação que viabiliza o diálogo entre pessoas. A ausência da violência é imprescindível já que, na atividade humana da ação, o objetivo não é alcançar uma determinada meta, </w:t>
      </w:r>
      <w:r w:rsidRPr="002C1356">
        <w:rPr>
          <w:rFonts w:ascii="Times New Roman" w:hAnsi="Times New Roman"/>
          <w:sz w:val="24"/>
          <w:szCs w:val="24"/>
        </w:rPr>
        <w:lastRenderedPageBreak/>
        <w:t>mas a descoberta de um “norte” comum como elemento aglutinador.</w:t>
      </w:r>
    </w:p>
    <w:p w14:paraId="45C6F1E7"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i/>
          <w:sz w:val="24"/>
          <w:szCs w:val="24"/>
        </w:rPr>
      </w:pPr>
      <w:r w:rsidRPr="002C1356">
        <w:rPr>
          <w:rFonts w:ascii="Times New Roman" w:hAnsi="Times New Roman"/>
          <w:i/>
          <w:sz w:val="24"/>
          <w:szCs w:val="24"/>
        </w:rPr>
        <w:t xml:space="preserve"> </w:t>
      </w:r>
      <w:r w:rsidRPr="002C1356">
        <w:rPr>
          <w:rFonts w:ascii="Times New Roman" w:hAnsi="Times New Roman"/>
          <w:sz w:val="24"/>
          <w:szCs w:val="24"/>
        </w:rPr>
        <w:t>O raciocínio de Lafer</w:t>
      </w:r>
      <w:r w:rsidRPr="002C1356">
        <w:rPr>
          <w:rStyle w:val="Refdenotaderodap"/>
          <w:rFonts w:ascii="Times New Roman" w:hAnsi="Times New Roman"/>
          <w:sz w:val="24"/>
          <w:szCs w:val="24"/>
        </w:rPr>
        <w:footnoteReference w:id="67"/>
      </w:r>
      <w:r w:rsidRPr="002C1356">
        <w:rPr>
          <w:rFonts w:ascii="Times New Roman" w:hAnsi="Times New Roman"/>
          <w:sz w:val="24"/>
          <w:szCs w:val="24"/>
        </w:rPr>
        <w:t xml:space="preserve"> a propósito da intenção de Arendt, ao examinar a faculdade do juízo é elucidativo:</w:t>
      </w:r>
      <w:r w:rsidRPr="002C1356">
        <w:rPr>
          <w:rFonts w:ascii="Times New Roman" w:hAnsi="Times New Roman"/>
          <w:i/>
          <w:sz w:val="24"/>
          <w:szCs w:val="24"/>
        </w:rPr>
        <w:t xml:space="preserve"> </w:t>
      </w:r>
    </w:p>
    <w:p w14:paraId="7CA2F5A2" w14:textId="77777777" w:rsidR="003D7DAB" w:rsidRPr="002C1356" w:rsidRDefault="003D7DAB" w:rsidP="003D7DAB">
      <w:pPr>
        <w:pStyle w:val="Citao1"/>
        <w:ind w:firstLine="3"/>
      </w:pPr>
      <w:r w:rsidRPr="002C1356">
        <w:t xml:space="preserve">Diz ela que o motivo pelo qual pretendia examinar o juízo como faculdade independente da mente prendia-se à sua convicção de que não se chega a um juízo sobre o particular por meio das operações lógicas de dedução ou indução. Não se trata, portanto, da razão prática que se manifesta pela voz da consciência (a de Deus ou a expressa pela Razão), pois esta não julga, mas nos diz o que fazer ou não fazer, ou do que arrepender-se. O que ela queria buscar era o “sentido silencioso” – o gosto – que sempre foi tido, inclusive por Kant, como algo que pertence ao domínio da estética; ou seja, o juízo reflexivo e não determinante – um dom que pode ser exercido mas não ensinado. Esse dom de lidar com a especificidade é algo que necessita o “eu pensante” para se situar nos particularismos do mundo. </w:t>
      </w:r>
    </w:p>
    <w:p w14:paraId="12B63447"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i/>
          <w:sz w:val="24"/>
          <w:szCs w:val="24"/>
        </w:rPr>
      </w:pPr>
    </w:p>
    <w:p w14:paraId="730034F9"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De acordo com Arendt são três os aspectos do juízo: 1) </w:t>
      </w:r>
      <w:r w:rsidRPr="002C1356">
        <w:rPr>
          <w:rFonts w:ascii="Times New Roman" w:hAnsi="Times New Roman"/>
          <w:i/>
          <w:sz w:val="24"/>
          <w:szCs w:val="24"/>
        </w:rPr>
        <w:t xml:space="preserve">Sensus communis; </w:t>
      </w:r>
      <w:r w:rsidRPr="002C1356">
        <w:rPr>
          <w:rFonts w:ascii="Times New Roman" w:hAnsi="Times New Roman"/>
          <w:sz w:val="24"/>
          <w:szCs w:val="24"/>
        </w:rPr>
        <w:t>2) mentalidade alargada; 3) posição do espectador.</w:t>
      </w:r>
      <w:r w:rsidRPr="002C1356">
        <w:rPr>
          <w:rStyle w:val="Refdenotaderodap"/>
          <w:rFonts w:ascii="Times New Roman" w:hAnsi="Times New Roman"/>
          <w:sz w:val="24"/>
          <w:szCs w:val="24"/>
        </w:rPr>
        <w:footnoteReference w:id="68"/>
      </w:r>
    </w:p>
    <w:p w14:paraId="69FD2299"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Bethania Assy sugere o substantivo “comprazimento” para uma melhor compreensão do </w:t>
      </w:r>
      <w:r w:rsidRPr="002C1356">
        <w:rPr>
          <w:rFonts w:ascii="Times New Roman" w:hAnsi="Times New Roman"/>
          <w:i/>
          <w:sz w:val="24"/>
          <w:szCs w:val="24"/>
        </w:rPr>
        <w:t xml:space="preserve">sensus communis. </w:t>
      </w:r>
      <w:r w:rsidRPr="002C1356">
        <w:rPr>
          <w:rFonts w:ascii="Times New Roman" w:hAnsi="Times New Roman"/>
          <w:sz w:val="24"/>
          <w:szCs w:val="24"/>
        </w:rPr>
        <w:t xml:space="preserve">Comprazimento, uma palavra da língua portuguesa quase intraduzível, é um substantivo resultado do verbo “comprazer” cujos significados são: 1) fazer o gosto, a vontade; </w:t>
      </w:r>
      <w:r w:rsidRPr="002C1356">
        <w:rPr>
          <w:rFonts w:ascii="Times New Roman" w:hAnsi="Times New Roman"/>
          <w:i/>
          <w:sz w:val="24"/>
          <w:szCs w:val="24"/>
        </w:rPr>
        <w:t xml:space="preserve">2) </w:t>
      </w:r>
      <w:r w:rsidRPr="002C1356">
        <w:rPr>
          <w:rFonts w:ascii="Times New Roman" w:hAnsi="Times New Roman"/>
          <w:sz w:val="24"/>
          <w:szCs w:val="24"/>
        </w:rPr>
        <w:t>sentir prazer, deleitar-se.</w:t>
      </w:r>
    </w:p>
    <w:p w14:paraId="2F25486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Na circunstância de Durkheim, o acontecimento em tela o afeta, uma vez que é contrário a toda sua forma de pensar a organização da sociedade, portanto, é plausível imaginar o contentamento que lhe trouxe a elaboração da resposta a Brunetiére. Nesse ângulo</w:t>
      </w:r>
      <w:r w:rsidRPr="002C1356">
        <w:rPr>
          <w:rStyle w:val="Refdenotaderodap"/>
          <w:rFonts w:ascii="Times New Roman" w:hAnsi="Times New Roman"/>
          <w:sz w:val="24"/>
          <w:szCs w:val="24"/>
        </w:rPr>
        <w:footnoteReference w:id="69"/>
      </w:r>
      <w:r w:rsidRPr="002C1356">
        <w:rPr>
          <w:rFonts w:ascii="Times New Roman" w:hAnsi="Times New Roman"/>
          <w:sz w:val="24"/>
          <w:szCs w:val="24"/>
        </w:rPr>
        <w:t>:</w:t>
      </w:r>
      <w:r w:rsidRPr="002C1356">
        <w:rPr>
          <w:rFonts w:ascii="Times New Roman" w:hAnsi="Times New Roman"/>
          <w:i/>
          <w:sz w:val="24"/>
          <w:szCs w:val="24"/>
        </w:rPr>
        <w:t xml:space="preserve"> </w:t>
      </w:r>
      <w:r w:rsidRPr="002C1356">
        <w:rPr>
          <w:rFonts w:ascii="Times New Roman" w:hAnsi="Times New Roman"/>
          <w:sz w:val="24"/>
          <w:szCs w:val="24"/>
        </w:rPr>
        <w:t xml:space="preserve">“O comprazimento exprime, em realidade, o ser afetado por satisfações desinteressadas, as quais não promovem proveitos ou interesses pessoais. O </w:t>
      </w:r>
      <w:r w:rsidRPr="002C1356">
        <w:rPr>
          <w:rFonts w:ascii="Times New Roman" w:hAnsi="Times New Roman"/>
          <w:b/>
          <w:sz w:val="24"/>
          <w:szCs w:val="24"/>
        </w:rPr>
        <w:t>sensus communis</w:t>
      </w:r>
      <w:r w:rsidRPr="002C1356">
        <w:rPr>
          <w:rFonts w:ascii="Times New Roman" w:hAnsi="Times New Roman"/>
          <w:sz w:val="24"/>
          <w:szCs w:val="24"/>
        </w:rPr>
        <w:t xml:space="preserve"> nos imprime uma existência intersubjetiva, e nos afeta com satisfação e impulso de vida”. </w:t>
      </w:r>
    </w:p>
    <w:p w14:paraId="4456BAA8"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Para Durkheim, o juízo reflexivo operava de forma prospectiva (apontando para o futuro), uma vez que Durkheim tomava uma posição militante de forma explícita. </w:t>
      </w:r>
      <w:r w:rsidRPr="001D40F4">
        <w:rPr>
          <w:rFonts w:ascii="Times New Roman" w:hAnsi="Times New Roman"/>
          <w:sz w:val="24"/>
          <w:szCs w:val="24"/>
        </w:rPr>
        <w:t xml:space="preserve">E, </w:t>
      </w:r>
      <w:r w:rsidRPr="002C1356">
        <w:rPr>
          <w:rFonts w:ascii="Times New Roman" w:hAnsi="Times New Roman"/>
          <w:sz w:val="24"/>
          <w:szCs w:val="24"/>
        </w:rPr>
        <w:lastRenderedPageBreak/>
        <w:t>simultaneamente, Durkheim aparece como um espectador no papel de um cientista social que toma distância do caso para refletir a respeito dele. Significativo observar que o nome do capitão Dreyfuss não é citado. O que transforma o artigo em um clássico, válido para diversas situações em que a “sacralidade da pessoa” seja ameaçada.</w:t>
      </w:r>
    </w:p>
    <w:p w14:paraId="130A2C27" w14:textId="51BB7D1C" w:rsidR="003D7DAB" w:rsidRPr="002C1356" w:rsidRDefault="003D7DAB" w:rsidP="00647ACF">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Semelhante conclusão no sentido de “O individualismo e os intelectuais” ser um texto científico e militante é dos organizadores</w:t>
      </w:r>
      <w:r w:rsidRPr="002C1356">
        <w:rPr>
          <w:rStyle w:val="Refdenotaderodap"/>
          <w:rFonts w:ascii="Times New Roman" w:hAnsi="Times New Roman"/>
          <w:sz w:val="24"/>
          <w:szCs w:val="24"/>
        </w:rPr>
        <w:footnoteReference w:id="70"/>
      </w:r>
      <w:r w:rsidRPr="002C1356">
        <w:rPr>
          <w:rFonts w:ascii="Times New Roman" w:hAnsi="Times New Roman"/>
          <w:sz w:val="24"/>
          <w:szCs w:val="24"/>
        </w:rPr>
        <w:t xml:space="preserve"> de uma edição bilingue e crítica do artigo em tela. </w:t>
      </w:r>
    </w:p>
    <w:p w14:paraId="084C83C0" w14:textId="77777777" w:rsidR="003D7DAB" w:rsidRPr="002C1356" w:rsidRDefault="003D7DAB" w:rsidP="003D7DAB">
      <w:pPr>
        <w:pStyle w:val="Citao1"/>
        <w:ind w:firstLine="0"/>
      </w:pPr>
      <w:r w:rsidRPr="002C1356">
        <w:t xml:space="preserve">(…) É por isso que, nesse texto, que tem um caráter propositivo e cientificamente engajado, a sociologia de Durkheim mantém-se como elemento que sustenta todas suas posições. Isso resulta em uma argumentação bastante original, a qual consiste em dizer que o ideal humano é uma criação social, e que, não obstante a fragilidade desse fundamento, trata-se do único ideal possível para evitar aquilo que seus detratores pensavam combater, isto é, um estado de caos e anomia. </w:t>
      </w:r>
    </w:p>
    <w:p w14:paraId="7A671D56"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60DD5C1C" w14:textId="77777777" w:rsidR="003D7DAB" w:rsidRPr="001D40F4"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Esclarece Celso Lafer a discussão existente entre os “arendtianos” da possibilidade do juízo reflexivo ser prospectivo ou não</w:t>
      </w:r>
      <w:r w:rsidRPr="001D40F4">
        <w:rPr>
          <w:rFonts w:ascii="Times New Roman" w:hAnsi="Times New Roman"/>
          <w:sz w:val="24"/>
          <w:szCs w:val="24"/>
        </w:rPr>
        <w:t xml:space="preserve">: </w:t>
      </w:r>
    </w:p>
    <w:p w14:paraId="17D99017" w14:textId="77777777" w:rsidR="003D7DAB" w:rsidRPr="002C1356" w:rsidRDefault="003D7DAB" w:rsidP="003D7DAB">
      <w:pPr>
        <w:pStyle w:val="Citao1"/>
        <w:ind w:firstLine="0"/>
      </w:pPr>
      <w:r w:rsidRPr="002C1356">
        <w:t xml:space="preserve">Estudiosos de Arendt discutiram em muitas oportunidades ao longo dos anos se o julgamento reflexivo é </w:t>
      </w:r>
      <w:r w:rsidRPr="002C1356">
        <w:rPr>
          <w:b/>
        </w:rPr>
        <w:t>prospectivo</w:t>
      </w:r>
      <w:r w:rsidRPr="002C1356">
        <w:t xml:space="preserve"> e, como tal, uma faculdade que pertence ao </w:t>
      </w:r>
      <w:r w:rsidRPr="002C1356">
        <w:rPr>
          <w:b/>
        </w:rPr>
        <w:t>ator</w:t>
      </w:r>
      <w:r w:rsidRPr="002C1356">
        <w:t xml:space="preserve">, que julga a novidade em situações concretas, ou ao </w:t>
      </w:r>
      <w:r w:rsidRPr="002C1356">
        <w:rPr>
          <w:b/>
        </w:rPr>
        <w:t>espectador</w:t>
      </w:r>
      <w:r w:rsidRPr="002C1356">
        <w:t xml:space="preserve"> e pode ser compartilhado com os demais espectadores que não são atores e podem entender o significado do todo.</w:t>
      </w:r>
    </w:p>
    <w:p w14:paraId="10798784" w14:textId="77777777" w:rsidR="003D7DAB" w:rsidRPr="001D40F4" w:rsidRDefault="003D7DAB" w:rsidP="003D7DAB">
      <w:pPr>
        <w:widowControl w:val="0"/>
        <w:autoSpaceDE w:val="0"/>
        <w:autoSpaceDN w:val="0"/>
        <w:adjustRightInd w:val="0"/>
        <w:spacing w:after="0" w:line="360" w:lineRule="auto"/>
        <w:ind w:firstLine="708"/>
        <w:contextualSpacing/>
        <w:jc w:val="both"/>
        <w:rPr>
          <w:rFonts w:ascii="Times New Roman" w:hAnsi="Times New Roman"/>
          <w:i/>
          <w:sz w:val="24"/>
          <w:szCs w:val="24"/>
        </w:rPr>
      </w:pPr>
    </w:p>
    <w:p w14:paraId="21509F88" w14:textId="77777777" w:rsidR="003D7DAB" w:rsidRPr="001D40F4" w:rsidRDefault="003D7DAB" w:rsidP="003D7DAB">
      <w:pPr>
        <w:widowControl w:val="0"/>
        <w:autoSpaceDE w:val="0"/>
        <w:autoSpaceDN w:val="0"/>
        <w:adjustRightInd w:val="0"/>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Não é o caso de participar dessa discussão. Mas creio que é importante a indicação de exemplos concretos de juízos reflexivos. Um exemplo brasileiro de juízo reflexivo, no qual seu autor é um ator político e foi capaz de tomar distância em relação ao fato vivenciado, é “Carta aos Brasileiros” (1977), de Goffredo Telles Jr.</w:t>
      </w:r>
    </w:p>
    <w:p w14:paraId="2D04F04F"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segundo requisito do juízo reflexivo é a “mentalidade alargada”, que é o exercício de uma peculiar forma de pensar, não situada apenas e tão somente no sujeito cognoscente, sendo capaz de vislumbrar a forma pela qual os outros – diferentes de nós – pensam, e também elucidam nosso “lugar no mundo”. Em relação a esse tópico afirma </w:t>
      </w:r>
      <w:r w:rsidRPr="002C1356">
        <w:rPr>
          <w:rFonts w:ascii="Times New Roman" w:hAnsi="Times New Roman"/>
          <w:sz w:val="24"/>
          <w:szCs w:val="24"/>
        </w:rPr>
        <w:lastRenderedPageBreak/>
        <w:t>Bethania Assy:</w:t>
      </w:r>
      <w:r w:rsidRPr="002C1356">
        <w:rPr>
          <w:rStyle w:val="Refdenotaderodap"/>
          <w:rFonts w:ascii="Times New Roman" w:hAnsi="Times New Roman"/>
          <w:sz w:val="24"/>
          <w:szCs w:val="24"/>
        </w:rPr>
        <w:footnoteReference w:id="71"/>
      </w:r>
      <w:r w:rsidRPr="002C1356">
        <w:rPr>
          <w:rFonts w:ascii="Times New Roman" w:hAnsi="Times New Roman"/>
          <w:sz w:val="24"/>
          <w:szCs w:val="24"/>
        </w:rPr>
        <w:t xml:space="preserve"> </w:t>
      </w:r>
    </w:p>
    <w:p w14:paraId="2B4CBFAD" w14:textId="77777777" w:rsidR="003D7DAB" w:rsidRPr="002C1356" w:rsidRDefault="003D7DAB" w:rsidP="003D7DAB">
      <w:pPr>
        <w:pStyle w:val="Citao1"/>
        <w:ind w:firstLine="0"/>
        <w:rPr>
          <w:i/>
        </w:rPr>
      </w:pPr>
      <w:r w:rsidRPr="002C1356">
        <w:t>O pensamento alargado também não elimina divergências, nem conflitos; em vez disso assegura e revela nossa singularidade, na medida em que aponta como nos posicionamos no espaço público, com o que nos indignamos, como nos deixamos afetar pelo outro</w:t>
      </w:r>
      <w:r w:rsidRPr="002C1356">
        <w:rPr>
          <w:i/>
        </w:rPr>
        <w:t>.</w:t>
      </w:r>
    </w:p>
    <w:p w14:paraId="3A62251E" w14:textId="77777777" w:rsidR="003D7DAB" w:rsidRPr="002C1356" w:rsidRDefault="003D7DAB" w:rsidP="003D7DAB">
      <w:pPr>
        <w:pStyle w:val="Citao1"/>
        <w:ind w:firstLine="0"/>
      </w:pPr>
      <w:r w:rsidRPr="002C1356">
        <w:rPr>
          <w:i/>
        </w:rPr>
        <w:t xml:space="preserve"> </w:t>
      </w:r>
    </w:p>
    <w:p w14:paraId="6236BE7F"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Essa qualidade do pensamento está diretamente relacionada com a imaginação. É o que afirma Arendt</w:t>
      </w:r>
      <w:r w:rsidRPr="002C1356">
        <w:rPr>
          <w:rStyle w:val="Refdenotaderodap"/>
          <w:rFonts w:ascii="Times New Roman" w:hAnsi="Times New Roman"/>
          <w:sz w:val="24"/>
          <w:szCs w:val="24"/>
        </w:rPr>
        <w:footnoteReference w:id="72"/>
      </w:r>
      <w:r w:rsidRPr="002C1356">
        <w:rPr>
          <w:rFonts w:ascii="Times New Roman" w:hAnsi="Times New Roman"/>
          <w:sz w:val="24"/>
          <w:szCs w:val="24"/>
        </w:rPr>
        <w:t>: “Pensar com uma mentalidade alargada significa que uma pessoa treina sua própria imaginação para sair em visita (comparável ao direito de visita da Paz Perpétua de Kant)”. De acordo com Lafer</w:t>
      </w:r>
      <w:r w:rsidRPr="002C1356">
        <w:rPr>
          <w:rStyle w:val="Refdenotaderodap"/>
          <w:rFonts w:ascii="Times New Roman" w:hAnsi="Times New Roman"/>
          <w:sz w:val="24"/>
          <w:szCs w:val="24"/>
        </w:rPr>
        <w:footnoteReference w:id="73"/>
      </w:r>
      <w:r w:rsidRPr="002C1356">
        <w:rPr>
          <w:rFonts w:ascii="Times New Roman" w:hAnsi="Times New Roman"/>
          <w:sz w:val="24"/>
          <w:szCs w:val="24"/>
        </w:rPr>
        <w:t xml:space="preserve"> o “sair em visita” tem como objetivo conversar com distintas perspectivas para considerar e ponderar como diferem da nossa própria.</w:t>
      </w:r>
    </w:p>
    <w:p w14:paraId="6936FCBB"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Impossível saber se a utilização do Caso Dreyfuss como exemplo foi um ato intencional de Durkheim. Todavia, creio ser essa uma das possibilidades de leitura do artigo. É oportuno recordar que a luta a favor da sacralidade da pessoa foi o que levou a criação da Liga dos Direitos do Homem e transformou a luta dos “dreyfusards” em um exemplo a ser seguido em outras lutas na comunidade internacional… Em pleno século XXI, ao analisarmos retrospectivamente o texto “Os intelectuais e o individualismo”, a exemplaridade histórica do caso salta aos olhos e a ação militante da Liga dos Direitos do Homem ( www.ldh-france.org) continua presente. </w:t>
      </w:r>
    </w:p>
    <w:p w14:paraId="7D8A6FAA"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O exemplo possibilita a generalização do juízo reflexivo. Seguindo essa percepção afirma Lafer:</w:t>
      </w:r>
      <w:r w:rsidRPr="002C1356">
        <w:rPr>
          <w:rStyle w:val="Refdenotaderodap"/>
          <w:rFonts w:ascii="Times New Roman" w:hAnsi="Times New Roman"/>
          <w:sz w:val="24"/>
          <w:szCs w:val="24"/>
        </w:rPr>
        <w:footnoteReference w:id="74"/>
      </w:r>
      <w:r w:rsidRPr="002C1356">
        <w:rPr>
          <w:rFonts w:ascii="Times New Roman" w:hAnsi="Times New Roman"/>
          <w:sz w:val="24"/>
          <w:szCs w:val="24"/>
        </w:rPr>
        <w:t xml:space="preserve"> “(…) Assim como os esquemas permitem a cognição, assim também os exemplos guiam e conduzem a generalização dos juízos reflexivos, pois se supõe que são particulares no qual se contém uma regra geral”.</w:t>
      </w:r>
      <w:r w:rsidRPr="002C1356">
        <w:rPr>
          <w:rFonts w:ascii="Times New Roman" w:hAnsi="Times New Roman"/>
          <w:i/>
          <w:sz w:val="24"/>
          <w:szCs w:val="24"/>
        </w:rPr>
        <w:t xml:space="preserve"> </w:t>
      </w:r>
    </w:p>
    <w:p w14:paraId="42EAD5E0"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artigo em tela é uma reação a uma situação de injustiça, exercendo uma função de réplica no transcurso do debate público. Mostrando a adequação de meu argumento, é pertinente o comentário de Assy:</w:t>
      </w:r>
      <w:r w:rsidRPr="002C1356">
        <w:rPr>
          <w:rStyle w:val="Refdenotaderodap"/>
          <w:rFonts w:ascii="Times New Roman" w:hAnsi="Times New Roman"/>
          <w:sz w:val="24"/>
          <w:szCs w:val="24"/>
        </w:rPr>
        <w:footnoteReference w:id="75"/>
      </w:r>
      <w:r w:rsidRPr="002C1356">
        <w:rPr>
          <w:rFonts w:ascii="Times New Roman" w:hAnsi="Times New Roman"/>
          <w:sz w:val="24"/>
          <w:szCs w:val="24"/>
        </w:rPr>
        <w:t xml:space="preserve"> </w:t>
      </w:r>
    </w:p>
    <w:p w14:paraId="35CC10C1" w14:textId="28A1DE2C" w:rsidR="003D7DAB" w:rsidRPr="002C1356" w:rsidRDefault="008301C5" w:rsidP="003D7DAB">
      <w:pPr>
        <w:pStyle w:val="Citao1"/>
        <w:ind w:firstLine="0"/>
      </w:pPr>
      <w:r w:rsidRPr="002C1356">
        <w:t xml:space="preserve"> </w:t>
      </w:r>
      <w:r w:rsidR="003D7DAB" w:rsidRPr="002C1356">
        <w:t xml:space="preserve">(…) Ser afetado por um sentimento de injustiça, acredito, é uma das formas mais fortes de passagem do escopo da generalidade do julgamento </w:t>
      </w:r>
      <w:r w:rsidR="003D7DAB" w:rsidRPr="002C1356">
        <w:lastRenderedPageBreak/>
        <w:t xml:space="preserve">para sua experiência particular mais factual. O juízo crítico nos afeta na experiência da injustiça. A partilha comum das injustiças nos impulsiona à contestação política. Aqui a constituição do sujeito e a ação política operam uma espécie de simetria ontológica. </w:t>
      </w:r>
    </w:p>
    <w:p w14:paraId="70AB8850"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7F995AD9"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exemplo, no contexto da proposta teórica do juízo reflexivo em Hannah Arendt deve ser usado da forma mais ampla possível, uma vez que atua como um sustentáculo do juízo reflexivo. Importa ter claro que, para teoria política de Arendt, acontecimentos históricos transformados em exemplos são adequados, posto que seu objetivo é uma proposta teórica ancorada no conhecimento que surge da experiência existencial. Esclarece Lafer:</w:t>
      </w:r>
      <w:r w:rsidRPr="002C1356">
        <w:rPr>
          <w:rStyle w:val="Refdenotaderodap"/>
          <w:rFonts w:ascii="Times New Roman" w:hAnsi="Times New Roman"/>
          <w:sz w:val="24"/>
          <w:szCs w:val="24"/>
        </w:rPr>
        <w:footnoteReference w:id="76"/>
      </w:r>
      <w:r w:rsidRPr="002C1356">
        <w:rPr>
          <w:rFonts w:ascii="Times New Roman" w:hAnsi="Times New Roman"/>
          <w:sz w:val="24"/>
          <w:szCs w:val="24"/>
        </w:rPr>
        <w:t xml:space="preserve"> </w:t>
      </w:r>
    </w:p>
    <w:p w14:paraId="4688C48A" w14:textId="77777777" w:rsidR="003D7DAB" w:rsidRPr="002C1356" w:rsidRDefault="003D7DAB" w:rsidP="003D7DAB">
      <w:pPr>
        <w:pStyle w:val="Citao1"/>
        <w:ind w:firstLine="0"/>
      </w:pPr>
      <w:r w:rsidRPr="002C1356">
        <w:t xml:space="preserve">A validade exemplar em Hannah Arendt não se cinge a objetos estéticos ou indivíduos que são paradigmas de certas virtudes, mas estende-se a eventos do passado que carregam um significado que vai além do mero acontecimento, como aponta Maurizio Passarin d’Entrèves (200, p.251). São, assim, um apoio do juízo. Daí a importância da narratividade, pois ela se propôs, como observa Ronald Beiner, uma teoria política a partir de estórias e experiências, e não dos precários universais de leis gerais do processo histórico. </w:t>
      </w:r>
    </w:p>
    <w:p w14:paraId="07E8A99E"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70BAA12A" w14:textId="20BB71A4" w:rsidR="003D7DAB" w:rsidRPr="002C1356" w:rsidRDefault="003D7DAB" w:rsidP="00647ACF">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Como foi apresentado anteriormente ,de acordo com Hans Joas, o início da gênese histórica de um valor, na vida social, ocorre por meio da elaboração de uma narrativa. Penso ser importante complementar essa tese de Joas, uma vez que, a meu juízo, não é toda e qualquer narrativa que torna possível a emergência de um valor. Mas a narrativa usada como embasamento de um juízo reflexivo. É o que o artigo “Os Intelectuais e o Individualismo” indica e sugere.</w:t>
      </w:r>
    </w:p>
    <w:p w14:paraId="42C5ADC9"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p>
    <w:p w14:paraId="34A8D6A8" w14:textId="77777777" w:rsidR="003D7DAB" w:rsidRPr="002C1356" w:rsidRDefault="003D7DAB" w:rsidP="003D7DAB">
      <w:pPr>
        <w:widowControl w:val="0"/>
        <w:autoSpaceDE w:val="0"/>
        <w:autoSpaceDN w:val="0"/>
        <w:adjustRightInd w:val="0"/>
        <w:spacing w:after="0" w:line="360" w:lineRule="auto"/>
        <w:ind w:firstLine="708"/>
        <w:jc w:val="both"/>
        <w:rPr>
          <w:rFonts w:ascii="Times New Roman" w:hAnsi="Times New Roman"/>
          <w:sz w:val="24"/>
          <w:szCs w:val="24"/>
        </w:rPr>
      </w:pPr>
      <w:r w:rsidRPr="002C1356">
        <w:rPr>
          <w:rFonts w:ascii="Times New Roman" w:hAnsi="Times New Roman"/>
          <w:b/>
          <w:sz w:val="24"/>
          <w:szCs w:val="24"/>
        </w:rPr>
        <w:t xml:space="preserve">1.2) Missão Sagrada da Civilização </w:t>
      </w:r>
    </w:p>
    <w:p w14:paraId="4C3FAE51"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420F379C"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No ano de 2017 a Organização das Nações Unidas (ONU) tem entre seus membros efetivos 193 países. Todos reconhecidos como Estados Soberanos. Por volta de 1875, a comunidade internacional era bem mais reduzida. Considerados Estados soberanos havia dezessete (17) na Europa (seis “potências” Grã-Bretanha, França, Alemanha, Rússia, </w:t>
      </w:r>
      <w:r w:rsidRPr="002C1356">
        <w:rPr>
          <w:rFonts w:ascii="Times New Roman" w:hAnsi="Times New Roman"/>
          <w:sz w:val="24"/>
          <w:szCs w:val="24"/>
        </w:rPr>
        <w:lastRenderedPageBreak/>
        <w:t xml:space="preserve">Áustria-Hungria, Itália e o Império Otomano), dezenove (19) nas três Américas, quatro (4) ou cinco (5) na Ásia (Japão e dois antigos impérios: chinês e persa). No continente africano três (03): Marrocos, Etiópia e Libéria. Em um total máximo de quarenta e quatro (44) Estados soberanos. </w:t>
      </w:r>
      <w:r w:rsidRPr="002C1356">
        <w:rPr>
          <w:rStyle w:val="Refdenotaderodap"/>
          <w:rFonts w:ascii="Times New Roman" w:hAnsi="Times New Roman"/>
          <w:sz w:val="24"/>
          <w:szCs w:val="24"/>
        </w:rPr>
        <w:footnoteReference w:id="77"/>
      </w:r>
      <w:r w:rsidRPr="002C1356">
        <w:rPr>
          <w:rFonts w:ascii="Times New Roman" w:hAnsi="Times New Roman"/>
          <w:sz w:val="24"/>
          <w:szCs w:val="24"/>
        </w:rPr>
        <w:t xml:space="preserve"> </w:t>
      </w:r>
    </w:p>
    <w:p w14:paraId="5CD541DF"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Na segunda metade do século XIX e início do século XX , diversos de seus governantes proclamavam-se “imperadores”. Entre esses autonomeados imperadores é possível elencar: Alemanha, Áustria, Rússia, Turquia, Grã-Bretanha (no continente europeu); China e Japão (na Ásia) e Etiópia e Marrocos (esclarece Hobsbawm que o sultão do Marrocos preferia o título de “rei”) na África, e o Brasil na América do Sul. Tais impérios (com exceção do Brasil) exerciam seu poder diretamente sobre outros países, considerados então colônias. A situação do continente africano é ilustrativa da colonização. É o que descreve Hobsbawm:</w:t>
      </w:r>
      <w:r w:rsidRPr="002C1356">
        <w:rPr>
          <w:rStyle w:val="Refdenotaderodap"/>
          <w:rFonts w:ascii="Times New Roman" w:hAnsi="Times New Roman"/>
          <w:sz w:val="24"/>
          <w:szCs w:val="24"/>
        </w:rPr>
        <w:footnoteReference w:id="78"/>
      </w:r>
      <w:r w:rsidRPr="002C1356">
        <w:rPr>
          <w:rFonts w:ascii="Times New Roman" w:hAnsi="Times New Roman"/>
          <w:sz w:val="24"/>
          <w:szCs w:val="24"/>
        </w:rPr>
        <w:t xml:space="preserve"> “(…) por volta de 1914, a África pertencia inteiramente aos impérios britânico, francês, alemão, belga, português e, marginalmente, espanhol, à exceção da Etiópia, da insignificante Libéria e daquela parte do Marrocos que ainda resistia à conquista completa”.</w:t>
      </w:r>
    </w:p>
    <w:p w14:paraId="30DC87B1" w14:textId="65E5BA24" w:rsidR="003D7DAB" w:rsidRPr="002C1356" w:rsidRDefault="003D7DAB" w:rsidP="003D7DAB">
      <w:pPr>
        <w:spacing w:line="360" w:lineRule="auto"/>
        <w:contextualSpacing/>
        <w:jc w:val="both"/>
        <w:rPr>
          <w:rFonts w:ascii="Times New Roman" w:hAnsi="Times New Roman"/>
          <w:sz w:val="24"/>
          <w:szCs w:val="24"/>
        </w:rPr>
      </w:pPr>
      <w:r w:rsidRPr="002C1356">
        <w:rPr>
          <w:rFonts w:ascii="Times New Roman" w:hAnsi="Times New Roman"/>
          <w:sz w:val="24"/>
          <w:szCs w:val="24"/>
        </w:rPr>
        <w:tab/>
        <w:t>O império é a forma pela qual um Estado, juridicamente reconhecido como tal, usurpa e controla o poder político (potencialmente soberano) de um determinado povo, não reconhecido como Estado pela comunidade internacional. É o que elucida Michel Doyle:</w:t>
      </w:r>
      <w:r w:rsidRPr="002C1356">
        <w:rPr>
          <w:rStyle w:val="Refdenotaderodap"/>
          <w:rFonts w:ascii="Times New Roman" w:hAnsi="Times New Roman"/>
          <w:sz w:val="24"/>
          <w:szCs w:val="24"/>
        </w:rPr>
        <w:footnoteReference w:id="79"/>
      </w:r>
      <w:r w:rsidRPr="002C1356">
        <w:rPr>
          <w:rFonts w:ascii="Times New Roman" w:hAnsi="Times New Roman"/>
          <w:sz w:val="24"/>
          <w:szCs w:val="24"/>
        </w:rPr>
        <w:t xml:space="preserve"> </w:t>
      </w:r>
    </w:p>
    <w:p w14:paraId="174E50C5" w14:textId="77777777" w:rsidR="003D7DAB" w:rsidRPr="002C1356" w:rsidRDefault="003D7DAB" w:rsidP="003D7DAB">
      <w:pPr>
        <w:pStyle w:val="Citao1"/>
        <w:ind w:firstLine="0"/>
      </w:pPr>
      <w:r w:rsidRPr="002C1356">
        <w:t>O império é uma relação, formal ou informal, em que um Estado controla a soberania política efetiva de outra sociedade política. Ele pode ser alcançado pela força, pela colaboração política, por dependência econômica, social ou cultural. O imperialismo é simplesmente o processo ou a política de estabelecer ou manter um império.</w:t>
      </w:r>
    </w:p>
    <w:p w14:paraId="327D4346" w14:textId="77777777" w:rsidR="003D7DAB" w:rsidRPr="002C1356" w:rsidRDefault="003D7DAB" w:rsidP="003D7DAB">
      <w:pPr>
        <w:pStyle w:val="Citao1"/>
        <w:ind w:firstLine="0"/>
      </w:pPr>
    </w:p>
    <w:p w14:paraId="04272BEF" w14:textId="3922DE54"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Essa distribuição das mais diversas colônias entre um pequeno número de países foi constitutiva do processo de colonização e é descrita por Hobsbawm</w:t>
      </w:r>
      <w:r w:rsidRPr="002C1356">
        <w:rPr>
          <w:rStyle w:val="Refdenotaderodap"/>
          <w:rFonts w:ascii="Times New Roman" w:hAnsi="Times New Roman"/>
          <w:sz w:val="24"/>
          <w:szCs w:val="24"/>
        </w:rPr>
        <w:footnoteReference w:id="80"/>
      </w:r>
      <w:r w:rsidRPr="002C1356">
        <w:rPr>
          <w:rFonts w:ascii="Times New Roman" w:hAnsi="Times New Roman"/>
          <w:sz w:val="24"/>
          <w:szCs w:val="24"/>
        </w:rPr>
        <w:t xml:space="preserve"> da seguinte forma: </w:t>
      </w:r>
    </w:p>
    <w:p w14:paraId="6DCD2133" w14:textId="77777777" w:rsidR="003D7DAB" w:rsidRPr="002C1356" w:rsidRDefault="003D7DAB" w:rsidP="003D7DAB">
      <w:pPr>
        <w:pStyle w:val="Citao1"/>
        <w:ind w:firstLine="0"/>
      </w:pPr>
      <w:r w:rsidRPr="002C1356">
        <w:t xml:space="preserve">Essa repartição do mundo entre um pequeno número de Estados, que dá título ao presente volume, foi a expressão mais espetacular da crescente </w:t>
      </w:r>
      <w:r w:rsidRPr="002C1356">
        <w:lastRenderedPageBreak/>
        <w:t>divisão do planeta em fortes e fracos, em “avançados” e “atrasados”, que já observamos. Foi também notavelmente nova. Entre 1876 e 1915, cerca de um quarto da superfície do globo foi distribuído ou redistribuído, como colônia, entre meia dúzia de Estados. A Grã-Bretanha aumentou seus territórios em cerca de 10 milhões de quilômetros quadrados, a França em cerca de 9, a Alemanha conquistou mais de 2 milhões e meio, a Bélgica e a Itália pouco menos que essa extensão cada uma. (...)</w:t>
      </w:r>
    </w:p>
    <w:p w14:paraId="717F9643" w14:textId="77777777" w:rsidR="003D7DAB" w:rsidRPr="002C1356" w:rsidRDefault="003D7DAB" w:rsidP="003D7DAB">
      <w:pPr>
        <w:pStyle w:val="Citao1"/>
        <w:ind w:firstLine="0"/>
      </w:pPr>
    </w:p>
    <w:p w14:paraId="46B4888B"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Edward W. Said apresenta uma definição do processo histórico do Colonialismo diretamente ligado a política imperial. Afirma Said:</w:t>
      </w:r>
      <w:r w:rsidRPr="002C1356">
        <w:rPr>
          <w:rStyle w:val="Refdenotaderodap"/>
          <w:rFonts w:ascii="Times New Roman" w:hAnsi="Times New Roman"/>
          <w:sz w:val="24"/>
          <w:szCs w:val="24"/>
        </w:rPr>
        <w:footnoteReference w:id="81"/>
      </w:r>
    </w:p>
    <w:p w14:paraId="16E70E3F" w14:textId="77777777" w:rsidR="003D7DAB" w:rsidRPr="002C1356" w:rsidRDefault="003D7DAB" w:rsidP="003D7DAB">
      <w:pPr>
        <w:pStyle w:val="Citao1"/>
        <w:ind w:firstLine="0"/>
      </w:pPr>
      <w:r w:rsidRPr="002C1356">
        <w:t>Usarei o termo “imperialismo” para designar a prática, a teoria e as atitudes de um centro metropolitano dominante governando um território distante; o “colonialismo” quase sempre uma consequência do imperialismo, é a implantação de colônias em territórios distantes.</w:t>
      </w:r>
    </w:p>
    <w:p w14:paraId="391A40E2" w14:textId="77777777" w:rsidR="003D7DAB" w:rsidRPr="002C1356" w:rsidRDefault="003D7DAB" w:rsidP="003D7DAB">
      <w:pPr>
        <w:pStyle w:val="Citao1"/>
        <w:ind w:firstLine="0"/>
      </w:pPr>
    </w:p>
    <w:p w14:paraId="5ED40561" w14:textId="09B821E6"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Simultaneamente aos fenômenos históricos do imperialismo e colonialismo, outros acontecimentos integravam a agenda política internacional e atuavam como “fonte material” na fase inicial do processo de internacionalização dos direitos humanos. Nessa direção afirma Lafer:</w:t>
      </w:r>
      <w:r w:rsidRPr="002C1356">
        <w:rPr>
          <w:rStyle w:val="Refdenotaderodap"/>
          <w:rFonts w:ascii="Times New Roman" w:hAnsi="Times New Roman"/>
          <w:sz w:val="24"/>
          <w:szCs w:val="24"/>
        </w:rPr>
        <w:footnoteReference w:id="82"/>
      </w:r>
      <w:r w:rsidRPr="002C1356">
        <w:rPr>
          <w:rFonts w:ascii="Times New Roman" w:hAnsi="Times New Roman"/>
          <w:sz w:val="24"/>
          <w:szCs w:val="24"/>
        </w:rPr>
        <w:t xml:space="preserve"> </w:t>
      </w:r>
    </w:p>
    <w:p w14:paraId="06DF4910" w14:textId="77777777" w:rsidR="003D7DAB" w:rsidRPr="002C1356" w:rsidRDefault="003D7DAB" w:rsidP="003D7DAB">
      <w:pPr>
        <w:pStyle w:val="Citao1"/>
        <w:ind w:firstLine="0"/>
      </w:pPr>
      <w:r w:rsidRPr="002C1356">
        <w:t>Assim, por exemplo, no século XIX, cabe lembrar o empenho na proibição do tráfico de escravos, fruto da ação inglesa e da esquadra britânica, voltada para a abolição da escravatura, como uma instituição incompatível com a modernidade política e econômica. Como se sabe, esse foi um dos grandes temas da agenda diplomática do Brasil-Império no seu relacionamento com a Grã-Bretanha. Outro exemplo é o da intervenção da humanidade, ou seja, a intervenção da humanidade em favor de nacionais de outros estados vítimas de violações flagrantes e atrozes de direitos humanos. Foi o que praticou a Inglaterra em favor dos gregos em 1830.</w:t>
      </w:r>
    </w:p>
    <w:p w14:paraId="3F0290BA" w14:textId="77777777" w:rsidR="003D7DAB" w:rsidRPr="002C1356" w:rsidRDefault="003D7DAB" w:rsidP="003D7DAB">
      <w:pPr>
        <w:pStyle w:val="Citao1"/>
        <w:ind w:firstLine="0"/>
      </w:pPr>
    </w:p>
    <w:p w14:paraId="4DAF0953"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fim de ter clareza da forma de pensar que tornou possível a elaboração da DUDH é relevante compreender o pensamento político social que tornou possível a presença dos temas relacionados aos direitos humanos na elaboração do Tratado de </w:t>
      </w:r>
      <w:r w:rsidRPr="002C1356">
        <w:rPr>
          <w:rFonts w:ascii="Times New Roman" w:hAnsi="Times New Roman"/>
          <w:sz w:val="24"/>
          <w:szCs w:val="24"/>
        </w:rPr>
        <w:lastRenderedPageBreak/>
        <w:t xml:space="preserve">Versalhes (instrumento jurídico o qual o Pacto da Sociedade das Nações integra), bem como a atuação da SDN referente a essas questões no período de sua duração (1919-1946). </w:t>
      </w:r>
    </w:p>
    <w:p w14:paraId="4F058972" w14:textId="77777777" w:rsidR="003D7DAB" w:rsidRPr="002C1356" w:rsidRDefault="003D7DAB" w:rsidP="003D7DAB">
      <w:pPr>
        <w:spacing w:line="360" w:lineRule="auto"/>
        <w:contextualSpacing/>
        <w:jc w:val="both"/>
        <w:rPr>
          <w:rFonts w:ascii="Times New Roman" w:hAnsi="Times New Roman"/>
          <w:i/>
          <w:sz w:val="24"/>
          <w:szCs w:val="24"/>
        </w:rPr>
      </w:pPr>
      <w:r w:rsidRPr="002C1356">
        <w:rPr>
          <w:rFonts w:ascii="Times New Roman" w:hAnsi="Times New Roman"/>
          <w:i/>
          <w:sz w:val="24"/>
          <w:szCs w:val="24"/>
        </w:rPr>
        <w:t xml:space="preserve"> </w:t>
      </w:r>
    </w:p>
    <w:p w14:paraId="2276C184" w14:textId="77777777" w:rsidR="003D7DAB" w:rsidRPr="002C1356" w:rsidRDefault="003D7DAB" w:rsidP="003D7DAB">
      <w:pPr>
        <w:spacing w:line="360" w:lineRule="auto"/>
        <w:contextualSpacing/>
        <w:jc w:val="both"/>
        <w:rPr>
          <w:rFonts w:ascii="Times New Roman" w:hAnsi="Times New Roman"/>
          <w:b/>
          <w:sz w:val="24"/>
          <w:szCs w:val="24"/>
        </w:rPr>
      </w:pPr>
      <w:r w:rsidRPr="002C1356">
        <w:rPr>
          <w:rFonts w:ascii="Times New Roman" w:hAnsi="Times New Roman"/>
          <w:sz w:val="24"/>
          <w:szCs w:val="24"/>
        </w:rPr>
        <w:tab/>
      </w:r>
      <w:r w:rsidRPr="002C1356">
        <w:rPr>
          <w:rFonts w:ascii="Times New Roman" w:hAnsi="Times New Roman"/>
          <w:b/>
          <w:sz w:val="24"/>
          <w:szCs w:val="24"/>
        </w:rPr>
        <w:t>1.2.1 Do Direito Internacional das Nações Civilizadas (1815-1919) ao Direito Internacional da Humanidade (1919-em diante)</w:t>
      </w:r>
    </w:p>
    <w:p w14:paraId="40EABC65" w14:textId="77777777" w:rsidR="003D7DAB" w:rsidRPr="002C1356" w:rsidRDefault="003D7DAB" w:rsidP="003D7DAB">
      <w:pPr>
        <w:spacing w:line="360" w:lineRule="auto"/>
        <w:contextualSpacing/>
        <w:jc w:val="both"/>
        <w:rPr>
          <w:rFonts w:ascii="Times New Roman" w:hAnsi="Times New Roman"/>
          <w:b/>
          <w:sz w:val="24"/>
          <w:szCs w:val="24"/>
        </w:rPr>
      </w:pPr>
    </w:p>
    <w:p w14:paraId="084A478F" w14:textId="77777777" w:rsidR="003D7DAB" w:rsidRPr="002C1356" w:rsidRDefault="003D7DAB" w:rsidP="003D7DAB">
      <w:pPr>
        <w:spacing w:line="360" w:lineRule="auto"/>
        <w:contextualSpacing/>
        <w:jc w:val="both"/>
        <w:rPr>
          <w:rFonts w:ascii="Times New Roman" w:hAnsi="Times New Roman"/>
          <w:sz w:val="20"/>
          <w:szCs w:val="20"/>
        </w:rPr>
      </w:pPr>
      <w:r w:rsidRPr="002C1356">
        <w:rPr>
          <w:rFonts w:ascii="Times New Roman" w:hAnsi="Times New Roman"/>
          <w:b/>
          <w:sz w:val="24"/>
          <w:szCs w:val="24"/>
        </w:rPr>
        <w:tab/>
      </w:r>
      <w:r w:rsidRPr="002C1356">
        <w:rPr>
          <w:rFonts w:ascii="Times New Roman" w:hAnsi="Times New Roman"/>
          <w:i/>
          <w:sz w:val="20"/>
          <w:szCs w:val="20"/>
        </w:rPr>
        <w:t>A criação de significado jurídico – “jurisgênese” (“jurisgenesis”)- ocorre sempre através de um ambiente essencialmente cultural.</w:t>
      </w:r>
      <w:r w:rsidRPr="002C1356">
        <w:rPr>
          <w:rStyle w:val="Refdenotaderodap"/>
          <w:rFonts w:ascii="Times New Roman" w:hAnsi="Times New Roman"/>
          <w:i/>
          <w:sz w:val="20"/>
          <w:szCs w:val="20"/>
        </w:rPr>
        <w:footnoteReference w:id="83"/>
      </w:r>
    </w:p>
    <w:p w14:paraId="24A7FCC3" w14:textId="77777777" w:rsidR="003D7DAB" w:rsidRPr="002C1356" w:rsidRDefault="003D7DAB" w:rsidP="003D7DAB">
      <w:pPr>
        <w:spacing w:line="360" w:lineRule="auto"/>
        <w:contextualSpacing/>
        <w:jc w:val="both"/>
        <w:rPr>
          <w:rFonts w:ascii="Times New Roman" w:hAnsi="Times New Roman"/>
          <w:b/>
          <w:sz w:val="24"/>
          <w:szCs w:val="24"/>
        </w:rPr>
      </w:pPr>
      <w:r w:rsidRPr="002C1356">
        <w:rPr>
          <w:rFonts w:ascii="Times New Roman" w:hAnsi="Times New Roman"/>
          <w:b/>
          <w:sz w:val="24"/>
          <w:szCs w:val="24"/>
        </w:rPr>
        <w:tab/>
      </w:r>
    </w:p>
    <w:p w14:paraId="5B988713"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Os trabalhos de elaboração do Tratado de Versalhes duraram seis meses e foram coordenados por: Woodrow Wilson (presidente norte-americano); David Lloyd George (primeiro-ministro do Império Britânico) e Georges Clemenceau (primeiro-ministro da França). O tratado foi assinado, no dia 28 de junho de 1919, por vinte e sete (27) países (entre eles o Brasil) contendo quatrocentos e quarenta (440) artigos. O Pacto da Sociedade das Nações – documento integrante do Tratado – apresentava vinte e seis artigos.</w:t>
      </w:r>
      <w:r w:rsidRPr="002C1356">
        <w:rPr>
          <w:rStyle w:val="Refdenotaderodap"/>
          <w:rFonts w:ascii="Times New Roman" w:hAnsi="Times New Roman"/>
          <w:sz w:val="24"/>
          <w:szCs w:val="24"/>
        </w:rPr>
        <w:footnoteReference w:id="84"/>
      </w:r>
    </w:p>
    <w:p w14:paraId="0582D3A0"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tratado é um marco histórico na periodização do Direito Internacional, uma vez que separa dois períodos o Direito Internacional das Nações Civilizadas (1815-1919) do Direito Internacional da Humanidade (1919-até o momento presente). A divisão em tela é proposta por Heinhard Steiger,</w:t>
      </w:r>
      <w:r w:rsidRPr="002C1356">
        <w:rPr>
          <w:rStyle w:val="Refdenotaderodap"/>
          <w:rFonts w:ascii="Times New Roman" w:hAnsi="Times New Roman"/>
          <w:sz w:val="24"/>
          <w:szCs w:val="24"/>
        </w:rPr>
        <w:footnoteReference w:id="85"/>
      </w:r>
      <w:r w:rsidRPr="002C1356">
        <w:rPr>
          <w:rFonts w:ascii="Times New Roman" w:hAnsi="Times New Roman"/>
          <w:sz w:val="24"/>
          <w:szCs w:val="24"/>
        </w:rPr>
        <w:t xml:space="preserve"> que indica quatro períodos, a saber: 1) Direito Internacional da Cristantade (século XIII ao século XVIII), 2) Direito Internacional das Nações Civilizadas (1815-1919), 3) Direito Internacional da Humanidade (1919-até os dias atuais) e 4) Direito Internacional dos Cidadãos do Mundo (em formação). </w:t>
      </w:r>
      <w:r w:rsidRPr="002C1356">
        <w:rPr>
          <w:rFonts w:ascii="Times New Roman" w:hAnsi="Times New Roman"/>
          <w:sz w:val="24"/>
          <w:szCs w:val="24"/>
        </w:rPr>
        <w:tab/>
      </w:r>
    </w:p>
    <w:p w14:paraId="06FD4DF0"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nome de cada período está relacionado com a ideia central da mentalidade que o Direito Internacional assumia em cada momento. Essas ideias não eram estanques e perpassavam uma fase para outra.</w:t>
      </w:r>
      <w:r w:rsidRPr="002C1356">
        <w:rPr>
          <w:rStyle w:val="Refdenotaderodap"/>
          <w:rFonts w:ascii="Times New Roman" w:hAnsi="Times New Roman"/>
          <w:sz w:val="24"/>
          <w:szCs w:val="24"/>
        </w:rPr>
        <w:footnoteReference w:id="86"/>
      </w:r>
      <w:r w:rsidRPr="002C1356">
        <w:rPr>
          <w:rFonts w:ascii="Times New Roman" w:hAnsi="Times New Roman"/>
          <w:sz w:val="24"/>
          <w:szCs w:val="24"/>
        </w:rPr>
        <w:t xml:space="preserve"> Para perceber a diferença existente ente período 2</w:t>
      </w:r>
      <w:r w:rsidRPr="002C1356">
        <w:rPr>
          <w:rFonts w:ascii="Times New Roman" w:hAnsi="Times New Roman"/>
          <w:b/>
          <w:sz w:val="24"/>
          <w:szCs w:val="24"/>
        </w:rPr>
        <w:t xml:space="preserve"> </w:t>
      </w:r>
      <w:r w:rsidRPr="002C1356">
        <w:rPr>
          <w:rFonts w:ascii="Times New Roman" w:hAnsi="Times New Roman"/>
          <w:sz w:val="24"/>
          <w:szCs w:val="24"/>
        </w:rPr>
        <w:t>e o</w:t>
      </w:r>
      <w:r w:rsidRPr="002C1356">
        <w:rPr>
          <w:rFonts w:ascii="Times New Roman" w:hAnsi="Times New Roman"/>
          <w:b/>
          <w:sz w:val="24"/>
          <w:szCs w:val="24"/>
        </w:rPr>
        <w:t xml:space="preserve"> </w:t>
      </w:r>
      <w:r w:rsidRPr="002C1356">
        <w:rPr>
          <w:rFonts w:ascii="Times New Roman" w:hAnsi="Times New Roman"/>
          <w:sz w:val="24"/>
          <w:szCs w:val="24"/>
        </w:rPr>
        <w:t>3</w:t>
      </w:r>
      <w:r w:rsidRPr="002C1356">
        <w:rPr>
          <w:rFonts w:ascii="Times New Roman" w:hAnsi="Times New Roman"/>
          <w:b/>
          <w:sz w:val="24"/>
          <w:szCs w:val="24"/>
        </w:rPr>
        <w:t xml:space="preserve"> </w:t>
      </w:r>
      <w:r w:rsidRPr="002C1356">
        <w:rPr>
          <w:rFonts w:ascii="Times New Roman" w:hAnsi="Times New Roman"/>
          <w:sz w:val="24"/>
          <w:szCs w:val="24"/>
        </w:rPr>
        <w:t>pretendo analisar, de forma sintética, o significado dos conceitos de: nação civilizada e humanidade.</w:t>
      </w:r>
    </w:p>
    <w:p w14:paraId="249CDB85" w14:textId="052602AF"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Nação civilizada é um conceito limitado e excludente. Esclarece Steiger</w:t>
      </w:r>
      <w:r w:rsidRPr="002C1356">
        <w:rPr>
          <w:rStyle w:val="Refdenotaderodap"/>
          <w:rFonts w:ascii="Times New Roman" w:hAnsi="Times New Roman"/>
          <w:sz w:val="24"/>
          <w:szCs w:val="24"/>
        </w:rPr>
        <w:footnoteReference w:id="87"/>
      </w:r>
      <w:r w:rsidRPr="002C1356">
        <w:rPr>
          <w:rFonts w:ascii="Times New Roman" w:hAnsi="Times New Roman"/>
          <w:sz w:val="24"/>
          <w:szCs w:val="24"/>
        </w:rPr>
        <w:t xml:space="preserve"> </w:t>
      </w:r>
    </w:p>
    <w:p w14:paraId="309E5090" w14:textId="77777777" w:rsidR="003D7DAB" w:rsidRPr="002C1356" w:rsidRDefault="003D7DAB" w:rsidP="003D7DAB">
      <w:pPr>
        <w:pStyle w:val="Citao1"/>
        <w:ind w:firstLine="0"/>
      </w:pPr>
      <w:r w:rsidRPr="002C1356">
        <w:lastRenderedPageBreak/>
        <w:t xml:space="preserve">(…) As nações civilizadas encaram “os povos bárbaros”, ou “ignorantes”, como, afinal das contas, fossem apenas capazes de formas limitadas de órgãos governamentais organizados. Apenas as nações civilizadas poderiam se organizar na forma de Estados, ter leis e executá-las. Apenas seria possível entre essas nações ter uma lei consensual completa e desenvolvida que estabeleça uma ordem do comum baseada na soberania e na equidade. </w:t>
      </w:r>
    </w:p>
    <w:p w14:paraId="44857695" w14:textId="77777777" w:rsidR="003D7DAB" w:rsidRPr="002C1356" w:rsidRDefault="003D7DAB" w:rsidP="003D7DAB">
      <w:pPr>
        <w:pStyle w:val="Citao1"/>
        <w:ind w:firstLine="0"/>
      </w:pPr>
    </w:p>
    <w:p w14:paraId="4F231CE7"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Para uma compreensão alinhada ao pensamento jurídico do século XIX, apresento as definições de: nação, civilização, civilizado e bárbaro. Integrantes do Dicionário de Direito Internacional Público e Privado, de Charles Calvo, publicado no ano de 1885. </w:t>
      </w:r>
    </w:p>
    <w:p w14:paraId="786085E1" w14:textId="1E419AB0"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dicionário Calvo</w:t>
      </w:r>
      <w:r w:rsidRPr="002C1356">
        <w:rPr>
          <w:rStyle w:val="Refdenotaderodap"/>
          <w:rFonts w:ascii="Times New Roman" w:hAnsi="Times New Roman"/>
          <w:sz w:val="24"/>
          <w:szCs w:val="24"/>
        </w:rPr>
        <w:footnoteReference w:id="88"/>
      </w:r>
      <w:r w:rsidRPr="002C1356">
        <w:rPr>
          <w:rFonts w:ascii="Times New Roman" w:hAnsi="Times New Roman"/>
          <w:sz w:val="24"/>
          <w:szCs w:val="24"/>
        </w:rPr>
        <w:t xml:space="preserve"> define nação do seguinte modo: </w:t>
      </w:r>
    </w:p>
    <w:p w14:paraId="29FD0545" w14:textId="77777777" w:rsidR="003D7DAB" w:rsidRPr="002C1356" w:rsidRDefault="003D7DAB" w:rsidP="003D7DAB">
      <w:pPr>
        <w:pStyle w:val="Citao1"/>
        <w:ind w:firstLine="0"/>
      </w:pPr>
      <w:r w:rsidRPr="002C1356">
        <w:t>Em Direito Internacional, a nação pode ser definida como o conjunto de todos os indivíduos regidos por um mesmo governo, mesmo que eles não integrem o mesmo território. Pois uma colônia, frequentemente distante, situada para além dos mares faz parte do domínio nacional, pois este conjunto é considerado relativamente as outras nações. Da mesma forma que a nação compreende territórios diversos e separados um dos outros, também pode compreender povos de costume legislação e línguas diferentes.</w:t>
      </w:r>
    </w:p>
    <w:p w14:paraId="6ABFFDB5"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3CAF2A27" w14:textId="55D824BB"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definição de Calvo</w:t>
      </w:r>
      <w:r w:rsidRPr="002C1356">
        <w:rPr>
          <w:rStyle w:val="Refdenotaderodap"/>
          <w:rFonts w:ascii="Times New Roman" w:hAnsi="Times New Roman"/>
          <w:sz w:val="24"/>
          <w:szCs w:val="24"/>
        </w:rPr>
        <w:footnoteReference w:id="89"/>
      </w:r>
      <w:r w:rsidRPr="002C1356">
        <w:rPr>
          <w:rFonts w:ascii="Times New Roman" w:hAnsi="Times New Roman"/>
          <w:sz w:val="24"/>
          <w:szCs w:val="24"/>
        </w:rPr>
        <w:t xml:space="preserve"> a propósito do conceito de civilização é reveladora: </w:t>
      </w:r>
    </w:p>
    <w:p w14:paraId="26F0F9C7" w14:textId="77777777" w:rsidR="003D7DAB" w:rsidRPr="002C1356" w:rsidRDefault="003D7DAB" w:rsidP="003D7DAB">
      <w:pPr>
        <w:pStyle w:val="Citao1"/>
        <w:ind w:firstLine="0"/>
      </w:pPr>
      <w:r w:rsidRPr="002C1356">
        <w:t>A civilização é a resultante da ação recíproca da indústria, das letras, da religião, em uma palavra, de tudo o que pode ter uma influência sobre o espírito dos homens contribuir ao exercício e para o desenvolvimento dessas faculdades, a satisfação de suas necessidades, e seu bem-estar em geral.</w:t>
      </w:r>
    </w:p>
    <w:p w14:paraId="05AB1872" w14:textId="77777777" w:rsidR="003D7DAB" w:rsidRPr="002C1356" w:rsidRDefault="003D7DAB" w:rsidP="003D7DAB">
      <w:pPr>
        <w:pStyle w:val="Citao1"/>
        <w:ind w:firstLine="0"/>
      </w:pPr>
      <w:r w:rsidRPr="002C1356">
        <w:t>O Direito Internacional é um dos frutos mais preciosos da civilização, pois ele se tornou uma das bases de organização da sociedade e, em consequência, um elemento essencial da marcha harmônica da humanidade.</w:t>
      </w:r>
    </w:p>
    <w:p w14:paraId="0FD57607" w14:textId="77777777" w:rsidR="003D7DAB" w:rsidRPr="002C1356" w:rsidRDefault="003D7DAB" w:rsidP="003D7DAB">
      <w:pPr>
        <w:pStyle w:val="Citao1"/>
        <w:ind w:firstLine="0"/>
      </w:pPr>
    </w:p>
    <w:p w14:paraId="0CD919BF" w14:textId="60060F1F"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A revelação do sentido do adjetivo civilizada ilustra a forma de organização do processo colonial. Segue a definição de Calvo</w:t>
      </w:r>
      <w:r w:rsidRPr="002C1356">
        <w:rPr>
          <w:rStyle w:val="Refdenotaderodap"/>
          <w:rFonts w:ascii="Times New Roman" w:hAnsi="Times New Roman"/>
          <w:sz w:val="24"/>
          <w:szCs w:val="24"/>
        </w:rPr>
        <w:footnoteReference w:id="90"/>
      </w:r>
      <w:r w:rsidRPr="002C1356">
        <w:rPr>
          <w:rFonts w:ascii="Times New Roman" w:hAnsi="Times New Roman"/>
          <w:sz w:val="24"/>
          <w:szCs w:val="24"/>
        </w:rPr>
        <w:t xml:space="preserve">: </w:t>
      </w:r>
    </w:p>
    <w:p w14:paraId="7FBD72A6" w14:textId="77777777" w:rsidR="003D7DAB" w:rsidRPr="002C1356" w:rsidRDefault="003D7DAB" w:rsidP="003D7DAB">
      <w:pPr>
        <w:pStyle w:val="Citao1"/>
        <w:ind w:firstLine="0"/>
      </w:pPr>
      <w:r w:rsidRPr="002C1356">
        <w:t>(…) As nações civilizadas, por oposição às nações bárbaras ou selvagens.</w:t>
      </w:r>
    </w:p>
    <w:p w14:paraId="21E44856" w14:textId="77777777" w:rsidR="003D7DAB" w:rsidRPr="002C1356" w:rsidRDefault="003D7DAB" w:rsidP="003D7DAB">
      <w:pPr>
        <w:pStyle w:val="Citao1"/>
        <w:ind w:firstLine="0"/>
      </w:pPr>
      <w:r w:rsidRPr="002C1356">
        <w:t>Pode-se admitir que existe o dever das nações civilizadas de empreender a educação, a direção, em uma palavra a civilização dos povos selvagens, de ampliar cada vez mais o território das nações civilizadas, de constituir autoridades civilizadas no maior número possível de lugares, mas, para atingir esse objetivo, as nações civilizadas não têm o direito de rejeitar as raças selvagens ou bárbaras, de as destruir, ou de usurpar a terra nas quais elas vivem.</w:t>
      </w:r>
    </w:p>
    <w:p w14:paraId="4DB7D2CC" w14:textId="77777777" w:rsidR="003D7DAB" w:rsidRPr="002C1356" w:rsidRDefault="003D7DAB" w:rsidP="003D7DAB">
      <w:pPr>
        <w:spacing w:line="360" w:lineRule="auto"/>
        <w:ind w:firstLine="708"/>
        <w:contextualSpacing/>
        <w:jc w:val="both"/>
        <w:rPr>
          <w:rFonts w:ascii="Times New Roman" w:hAnsi="Times New Roman"/>
          <w:i/>
          <w:sz w:val="24"/>
          <w:szCs w:val="24"/>
        </w:rPr>
      </w:pPr>
    </w:p>
    <w:p w14:paraId="201EC7DC"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A compatibilidade do conceito de humanidade com o conceito de civilização é revelado por Delmas-Marty</w:t>
      </w:r>
      <w:r w:rsidRPr="002C1356">
        <w:rPr>
          <w:rStyle w:val="Refdenotaderodap"/>
          <w:rFonts w:ascii="Times New Roman" w:hAnsi="Times New Roman"/>
          <w:sz w:val="24"/>
          <w:szCs w:val="24"/>
        </w:rPr>
        <w:footnoteReference w:id="91"/>
      </w:r>
      <w:r w:rsidRPr="002C1356">
        <w:rPr>
          <w:rFonts w:ascii="Times New Roman" w:hAnsi="Times New Roman"/>
          <w:sz w:val="24"/>
          <w:szCs w:val="24"/>
        </w:rPr>
        <w:t>: “Essa boa consciência civilizadora impregnou tanto os juristas que eles ainda sonhavam, no Congresso de Direito Comparado que aconteceu em Paris (1900) – ano da grande exposição universal – de um ‘Direito da Humanidade Civilizada’”.</w:t>
      </w:r>
    </w:p>
    <w:p w14:paraId="57E5FE0A"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adjetivo humanitário (como aquele que está preenchido de humanidade) surge no século XVIII. Propiciou seu surgimento um terremoto em Lisboa, no ano de 1755, que destruiu a maior parte da cidade e ocasionou a morte de duas mil pessoas.</w:t>
      </w:r>
      <w:r w:rsidRPr="002C1356">
        <w:rPr>
          <w:rStyle w:val="Refdenotaderodap"/>
          <w:rFonts w:ascii="Times New Roman" w:hAnsi="Times New Roman"/>
          <w:sz w:val="24"/>
          <w:szCs w:val="24"/>
        </w:rPr>
        <w:footnoteReference w:id="92"/>
      </w:r>
    </w:p>
    <w:p w14:paraId="2D4FAB89"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Nessa época, um segmento da intelectualidade europeia indica como responsável direto pelo acontecimento as forças sobrenaturais e concluía seu raciocínio dizendo que atos de magia iriam cessar o terremoto. Indignados com essa afirmação, que destina a história do gênero humano a irracionalidade, os pensadores iluministas concebem o adjetivo humanitário designando com ele a pessoa que se sente parte da humanidade e, portanto, preocupado com seu destino.</w:t>
      </w:r>
    </w:p>
    <w:p w14:paraId="647481CE"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ser humano, na visão em tela, embora sujeito às forças da natureza, pode apenas contar com si próprio para minimizar seus efeitos devastadores, de onde surge a ideia de “ser humanitário”. Dito de outro modo o ser humano que considera a si próprio integrando algo maior, vale dizer: a humanidade.</w:t>
      </w:r>
    </w:p>
    <w:p w14:paraId="64A4B046"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Afirma Rufin</w:t>
      </w:r>
      <w:r w:rsidRPr="002C1356">
        <w:rPr>
          <w:rStyle w:val="Refdenotaderodap"/>
          <w:rFonts w:ascii="Times New Roman" w:hAnsi="Times New Roman"/>
          <w:sz w:val="24"/>
          <w:szCs w:val="24"/>
        </w:rPr>
        <w:footnoteReference w:id="93"/>
      </w:r>
      <w:r w:rsidRPr="002C1356">
        <w:rPr>
          <w:rFonts w:ascii="Times New Roman" w:hAnsi="Times New Roman"/>
          <w:sz w:val="24"/>
          <w:szCs w:val="24"/>
        </w:rPr>
        <w:t xml:space="preserve"> a propósito do surgimento do conceito no século XVIII: </w:t>
      </w:r>
    </w:p>
    <w:p w14:paraId="1D0B519C" w14:textId="77777777" w:rsidR="003D7DAB" w:rsidRPr="002C1356" w:rsidRDefault="003D7DAB" w:rsidP="003D7DAB">
      <w:pPr>
        <w:pStyle w:val="Citao1"/>
        <w:ind w:firstLine="0"/>
      </w:pPr>
      <w:r w:rsidRPr="002C1356">
        <w:lastRenderedPageBreak/>
        <w:t xml:space="preserve">O conceito de “humanidade” surge nessa época. Ele designa tanto a totalidade do gênero humano, como a atenção que dispensamos a ele como a obrigação de melhorarmos seu destino. De 1830 em diante, ter “humanidade” passou a designar “ser humanitário”. </w:t>
      </w:r>
    </w:p>
    <w:p w14:paraId="5646A1E4"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6EBD87F5"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ideia de humanidade entendida como o </w:t>
      </w:r>
      <w:r w:rsidRPr="002C1356">
        <w:rPr>
          <w:rFonts w:ascii="Times New Roman" w:hAnsi="Times New Roman"/>
          <w:i/>
          <w:sz w:val="24"/>
          <w:szCs w:val="24"/>
        </w:rPr>
        <w:t>conjunto de características comuns a todos os homens</w:t>
      </w:r>
      <w:r w:rsidRPr="002C1356">
        <w:rPr>
          <w:rStyle w:val="Refdenotaderodap"/>
          <w:rFonts w:ascii="Times New Roman" w:hAnsi="Times New Roman"/>
          <w:sz w:val="24"/>
          <w:szCs w:val="24"/>
        </w:rPr>
        <w:footnoteReference w:id="94"/>
      </w:r>
      <w:r w:rsidRPr="002C1356">
        <w:rPr>
          <w:rFonts w:ascii="Times New Roman" w:hAnsi="Times New Roman"/>
          <w:sz w:val="24"/>
          <w:szCs w:val="24"/>
        </w:rPr>
        <w:t xml:space="preserve"> não era incompatível com o processo de colonização. O que existe de novo a partir da segunda metade do século XIX, e foi confirmada no Tratado de Versalhes, é a atuação marcante do Direito Internacional na organização da sociedade internacional para uma “</w:t>
      </w:r>
      <w:r w:rsidRPr="00A931C3">
        <w:rPr>
          <w:rFonts w:ascii="Times New Roman" w:hAnsi="Times New Roman"/>
          <w:sz w:val="24"/>
        </w:rPr>
        <w:t>marcha harmônica da humanidade</w:t>
      </w:r>
      <w:r w:rsidRPr="002C1356">
        <w:rPr>
          <w:rFonts w:ascii="Times New Roman" w:hAnsi="Times New Roman"/>
          <w:sz w:val="24"/>
          <w:szCs w:val="24"/>
        </w:rPr>
        <w:t>”.</w:t>
      </w:r>
      <w:r w:rsidRPr="002C1356">
        <w:rPr>
          <w:rStyle w:val="Refdenotaderodap"/>
          <w:rFonts w:ascii="Times New Roman" w:hAnsi="Times New Roman"/>
          <w:sz w:val="24"/>
          <w:szCs w:val="24"/>
        </w:rPr>
        <w:footnoteReference w:id="95"/>
      </w:r>
    </w:p>
    <w:p w14:paraId="7815C3ED"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No próximo item, apresentarei a vida e obra de Roger Casement como um exemplo histórico da conjugação da missão civilizatória e a preocupação com a humanidade.</w:t>
      </w:r>
    </w:p>
    <w:p w14:paraId="062F6CCB" w14:textId="77777777" w:rsidR="003D7DAB" w:rsidRPr="002C1356" w:rsidRDefault="003D7DAB" w:rsidP="00A931C3">
      <w:pPr>
        <w:spacing w:line="360" w:lineRule="auto"/>
        <w:contextualSpacing/>
        <w:jc w:val="both"/>
        <w:rPr>
          <w:rFonts w:ascii="Times New Roman" w:hAnsi="Times New Roman"/>
          <w:sz w:val="24"/>
          <w:szCs w:val="24"/>
        </w:rPr>
      </w:pPr>
    </w:p>
    <w:p w14:paraId="05C09A93" w14:textId="77777777" w:rsidR="003D7DAB" w:rsidRPr="002C1356" w:rsidRDefault="003D7DAB" w:rsidP="003D7DAB">
      <w:pPr>
        <w:spacing w:line="360" w:lineRule="auto"/>
        <w:contextualSpacing/>
        <w:jc w:val="both"/>
        <w:rPr>
          <w:rFonts w:ascii="Times New Roman" w:hAnsi="Times New Roman"/>
          <w:b/>
          <w:sz w:val="24"/>
          <w:szCs w:val="24"/>
        </w:rPr>
      </w:pPr>
      <w:r w:rsidRPr="002C1356">
        <w:rPr>
          <w:rFonts w:ascii="Times New Roman" w:hAnsi="Times New Roman"/>
          <w:b/>
          <w:sz w:val="24"/>
          <w:szCs w:val="24"/>
        </w:rPr>
        <w:t>1.2.2 Roger Casement (1864-1916) em nome da Civilização e da Humanidade</w:t>
      </w:r>
    </w:p>
    <w:p w14:paraId="48F6A203" w14:textId="77777777" w:rsidR="003D7DAB" w:rsidRPr="002C1356" w:rsidRDefault="003D7DAB" w:rsidP="003D7DAB">
      <w:pPr>
        <w:spacing w:after="0" w:line="360" w:lineRule="auto"/>
        <w:ind w:firstLine="709"/>
        <w:contextualSpacing/>
        <w:jc w:val="both"/>
        <w:rPr>
          <w:rFonts w:ascii="Times New Roman" w:hAnsi="Times New Roman"/>
          <w:i/>
          <w:sz w:val="24"/>
          <w:szCs w:val="24"/>
          <w:lang w:val="en-US"/>
        </w:rPr>
      </w:pPr>
      <w:r w:rsidRPr="002C1356">
        <w:rPr>
          <w:rFonts w:ascii="Times New Roman" w:hAnsi="Times New Roman"/>
          <w:b/>
          <w:sz w:val="24"/>
          <w:szCs w:val="24"/>
        </w:rPr>
        <w:tab/>
      </w:r>
    </w:p>
    <w:p w14:paraId="38B2382A"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Roger Casement nasceu em Dublin (atual capital da Irlanda) no ano de 1864 e faleceu, em Londres em 3 de agosto de 1916 . Casement, um ex-diplomata do Império Britânico, foi morto por enforcamento, acusado de “alta traição” por ter participado do Levante da Páscoa (sublevação de rebeldes republicanos irlandeses ocorrida no mesmo ano).</w:t>
      </w:r>
      <w:r w:rsidRPr="002C1356">
        <w:rPr>
          <w:rStyle w:val="Refdenotaderodap"/>
          <w:rFonts w:ascii="Times New Roman" w:hAnsi="Times New Roman"/>
          <w:sz w:val="24"/>
          <w:szCs w:val="24"/>
        </w:rPr>
        <w:footnoteReference w:id="96"/>
      </w:r>
    </w:p>
    <w:p w14:paraId="28216C64" w14:textId="6F53D094"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Vargas Llosa escreveu o romance </w:t>
      </w:r>
      <w:r w:rsidRPr="002C1356">
        <w:rPr>
          <w:rFonts w:ascii="Times New Roman" w:hAnsi="Times New Roman"/>
          <w:i/>
          <w:sz w:val="24"/>
          <w:szCs w:val="24"/>
        </w:rPr>
        <w:t>O Sonho do Celta</w:t>
      </w:r>
      <w:r w:rsidR="00A24AED">
        <w:rPr>
          <w:rFonts w:ascii="Times New Roman" w:hAnsi="Times New Roman"/>
          <w:i/>
          <w:sz w:val="24"/>
          <w:szCs w:val="24"/>
        </w:rPr>
        <w:t>,</w:t>
      </w:r>
      <w:r w:rsidRPr="00A24AED">
        <w:rPr>
          <w:rStyle w:val="Refdenotaderodap"/>
          <w:rFonts w:ascii="Times New Roman" w:hAnsi="Times New Roman"/>
          <w:sz w:val="24"/>
          <w:szCs w:val="24"/>
        </w:rPr>
        <w:footnoteReference w:id="97"/>
      </w:r>
      <w:r w:rsidRPr="002C1356">
        <w:rPr>
          <w:rFonts w:ascii="Times New Roman" w:hAnsi="Times New Roman"/>
          <w:sz w:val="24"/>
          <w:szCs w:val="24"/>
        </w:rPr>
        <w:t xml:space="preserve"> que é uma biografia romanceada da vida de Casement, dividida em três partes: I) Congo, II) Amazônia e III) Irlanda. Para o objetivo da presente tese interessam a primeira e segunda etapas de sua vida.</w:t>
      </w:r>
    </w:p>
    <w:p w14:paraId="2547F698" w14:textId="77777777" w:rsidR="003D7DAB" w:rsidRPr="002C1356" w:rsidRDefault="003D7DAB" w:rsidP="003D7DAB">
      <w:pPr>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Casement foi para a África no ano de 1884, “como um funcionário colonial na empresa do rei Leopoldo II, no Estado livre do Congo”.</w:t>
      </w:r>
      <w:r w:rsidRPr="002C1356">
        <w:rPr>
          <w:rStyle w:val="Refdenotaderodap"/>
          <w:rFonts w:ascii="Times New Roman" w:hAnsi="Times New Roman"/>
          <w:sz w:val="24"/>
          <w:szCs w:val="24"/>
        </w:rPr>
        <w:footnoteReference w:id="98"/>
      </w:r>
      <w:r w:rsidRPr="002C1356">
        <w:rPr>
          <w:rFonts w:ascii="Times New Roman" w:hAnsi="Times New Roman"/>
          <w:sz w:val="24"/>
          <w:szCs w:val="24"/>
        </w:rPr>
        <w:t xml:space="preserve"> Em 15 de novembro desse ano, teve início a Conferência de Berlim, cujo objetivo era determinar parâmetros </w:t>
      </w:r>
      <w:r w:rsidRPr="002C1356">
        <w:rPr>
          <w:rFonts w:ascii="Times New Roman" w:hAnsi="Times New Roman"/>
          <w:sz w:val="24"/>
          <w:szCs w:val="24"/>
        </w:rPr>
        <w:lastRenderedPageBreak/>
        <w:t>internacionais para a colonização da África Central. No discurso de abertura Otto Von Bismark {chanceler alemão (1815-1898)} afirmou o quanto segue a respeito dos objetivos da conferência:</w:t>
      </w:r>
      <w:r w:rsidRPr="002C1356">
        <w:rPr>
          <w:rStyle w:val="Refdenotaderodap"/>
          <w:rFonts w:ascii="Times New Roman" w:hAnsi="Times New Roman"/>
          <w:sz w:val="24"/>
          <w:szCs w:val="24"/>
        </w:rPr>
        <w:footnoteReference w:id="99"/>
      </w:r>
      <w:r w:rsidRPr="002C1356">
        <w:rPr>
          <w:rFonts w:ascii="Times New Roman" w:hAnsi="Times New Roman"/>
          <w:i/>
          <w:sz w:val="24"/>
          <w:szCs w:val="24"/>
        </w:rPr>
        <w:t xml:space="preserve"> </w:t>
      </w:r>
    </w:p>
    <w:p w14:paraId="54CBFCE2" w14:textId="77777777" w:rsidR="003D7DAB" w:rsidRPr="002C1356" w:rsidRDefault="003D7DAB" w:rsidP="003D7DAB">
      <w:pPr>
        <w:pStyle w:val="Citao1"/>
        <w:ind w:firstLine="3"/>
      </w:pPr>
      <w:r w:rsidRPr="002C1356">
        <w:t xml:space="preserve">(…) associar os indígenas da África à civilização abrindo o interior desse continente ao comércio, propiciando a seus habitantes os meios de instrução, encorajando as missões e empresas de natureza a propagar os conhecimentos úteis e preparando a supressão da escravidão, sobretudo em relação aos negros. </w:t>
      </w:r>
    </w:p>
    <w:p w14:paraId="30B157DF" w14:textId="77777777" w:rsidR="003D7DAB" w:rsidRPr="002C1356" w:rsidRDefault="003D7DAB" w:rsidP="003D7DAB">
      <w:pPr>
        <w:spacing w:after="0" w:line="360" w:lineRule="auto"/>
        <w:ind w:firstLine="709"/>
        <w:contextualSpacing/>
        <w:jc w:val="both"/>
        <w:rPr>
          <w:rFonts w:ascii="Times New Roman" w:hAnsi="Times New Roman"/>
          <w:i/>
          <w:sz w:val="24"/>
          <w:szCs w:val="24"/>
        </w:rPr>
      </w:pPr>
    </w:p>
    <w:p w14:paraId="1E84E3D3"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Todavia, a realidade da colonização do Congo era outra, uma vez que a força pública do Rei Leopoldo da Bélgica realizava uma série de tratamentos cruéis contra a população nativa, tais como: massacre de vilas inteiras, amputação de membros de nativos mortos ou que ofereciam resistência. Entre 8 a 10 milhões de nativos foram mortos.</w:t>
      </w:r>
      <w:r w:rsidRPr="002C1356">
        <w:rPr>
          <w:rStyle w:val="Refdenotaderodap"/>
          <w:rFonts w:ascii="Times New Roman" w:hAnsi="Times New Roman"/>
          <w:sz w:val="24"/>
          <w:szCs w:val="24"/>
        </w:rPr>
        <w:footnoteReference w:id="100"/>
      </w:r>
      <w:r w:rsidRPr="002C1356">
        <w:rPr>
          <w:rFonts w:ascii="Times New Roman" w:hAnsi="Times New Roman"/>
          <w:sz w:val="24"/>
          <w:szCs w:val="24"/>
        </w:rPr>
        <w:t xml:space="preserve"> </w:t>
      </w:r>
    </w:p>
    <w:p w14:paraId="6B24D903"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Ao final da Conferência de Berlim, em 26 de fevereiro de 1885, foi promulgado o “Ato Geral de Berlim”. Em tese o Congo, passou a ser administrado pela</w:t>
      </w:r>
      <w:r w:rsidRPr="002C1356">
        <w:rPr>
          <w:rFonts w:ascii="Times New Roman" w:hAnsi="Times New Roman"/>
          <w:b/>
          <w:i/>
          <w:sz w:val="24"/>
          <w:szCs w:val="24"/>
        </w:rPr>
        <w:t xml:space="preserve"> </w:t>
      </w:r>
      <w:r w:rsidRPr="002C1356">
        <w:rPr>
          <w:rFonts w:ascii="Times New Roman" w:hAnsi="Times New Roman"/>
          <w:sz w:val="24"/>
          <w:szCs w:val="24"/>
        </w:rPr>
        <w:t>Associação Internacional do Congo do Rei Leopoldo</w:t>
      </w:r>
      <w:r w:rsidRPr="002C1356">
        <w:rPr>
          <w:rFonts w:ascii="Times New Roman" w:hAnsi="Times New Roman"/>
          <w:i/>
          <w:sz w:val="24"/>
          <w:szCs w:val="24"/>
        </w:rPr>
        <w:t>.</w:t>
      </w:r>
      <w:r w:rsidRPr="002C1356">
        <w:rPr>
          <w:rFonts w:ascii="Times New Roman" w:hAnsi="Times New Roman"/>
          <w:sz w:val="24"/>
          <w:szCs w:val="24"/>
        </w:rPr>
        <w:t xml:space="preserve"> “Se a ideia inicial da conferência era internacionalizar o centro da África (inclusive, o Congo), ele se tornou belga.”</w:t>
      </w:r>
      <w:r w:rsidRPr="002C1356">
        <w:rPr>
          <w:rStyle w:val="Refdenotaderodap"/>
          <w:rFonts w:ascii="Times New Roman" w:hAnsi="Times New Roman"/>
          <w:sz w:val="24"/>
          <w:szCs w:val="24"/>
        </w:rPr>
        <w:footnoteReference w:id="101"/>
      </w:r>
      <w:r w:rsidRPr="002C1356">
        <w:rPr>
          <w:rFonts w:ascii="Times New Roman" w:hAnsi="Times New Roman"/>
          <w:sz w:val="24"/>
          <w:szCs w:val="24"/>
        </w:rPr>
        <w:t xml:space="preserve"> </w:t>
      </w:r>
    </w:p>
    <w:p w14:paraId="7FA62D3D"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 Na África desde 1884, Casement adquiriu um vasto conhecimento a respeito da questão de tratamentos cruéis contra a população local. Em 1892, ingressou no serviço colonial britânico e posteriormente foi nomeado cônsul. Em 1903, elaborou o relatório Casement, no qual denunciou os tratamentos cruéis. Nesse mesmo ano, Casement, o militante e ativista Edmund Morel (1873-1924) e sua amiga e historiadora irlandesa Alice Stopford Green (1847-1929) fundaram a “Congo Reform Association” com o objetivo de lutar a favor dos povos nativos.</w:t>
      </w:r>
      <w:r w:rsidRPr="002C1356">
        <w:rPr>
          <w:rStyle w:val="Refdenotaderodap"/>
          <w:rFonts w:ascii="Times New Roman" w:hAnsi="Times New Roman"/>
          <w:sz w:val="24"/>
          <w:szCs w:val="24"/>
        </w:rPr>
        <w:footnoteReference w:id="102"/>
      </w:r>
      <w:r w:rsidRPr="002C1356">
        <w:rPr>
          <w:rFonts w:ascii="Times New Roman" w:hAnsi="Times New Roman"/>
          <w:sz w:val="24"/>
          <w:szCs w:val="24"/>
        </w:rPr>
        <w:t xml:space="preserve"> </w:t>
      </w:r>
    </w:p>
    <w:p w14:paraId="252285C2"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Após a sua presença na África, Casement veio para o Brasil, onde ocupou as seguintes posições: cônsul britânico em Santos (1906-1908); em Belém do Pará (1908-1909) e cônsul-geral no Rio de Janeiro (1909-1913). Depois da publicação do artigo </w:t>
      </w:r>
      <w:r w:rsidRPr="002C1356">
        <w:rPr>
          <w:rFonts w:ascii="Times New Roman" w:hAnsi="Times New Roman"/>
          <w:i/>
          <w:sz w:val="24"/>
          <w:szCs w:val="24"/>
        </w:rPr>
        <w:t xml:space="preserve">The </w:t>
      </w:r>
      <w:r w:rsidRPr="002C1356">
        <w:rPr>
          <w:rFonts w:ascii="Times New Roman" w:hAnsi="Times New Roman"/>
          <w:i/>
          <w:sz w:val="24"/>
          <w:szCs w:val="24"/>
        </w:rPr>
        <w:lastRenderedPageBreak/>
        <w:t xml:space="preserve">Devil’s Paradise: A British-Owned Congo </w:t>
      </w:r>
      <w:r w:rsidRPr="002C1356">
        <w:rPr>
          <w:rFonts w:ascii="Times New Roman" w:hAnsi="Times New Roman"/>
          <w:sz w:val="24"/>
          <w:szCs w:val="24"/>
        </w:rPr>
        <w:t>(“O paraíso do demônio: um Congo britânico”) em 22 de setembro de 1909, por Sidney Paternoster. O Império Britânico indicou Casement para elaborar um relatório a respeito da situação de tratamento dos nativos no Vale do rio Putumayo, região fronteiriça entre Colômbia, Peru e Brasil.</w:t>
      </w:r>
      <w:r w:rsidRPr="002C1356">
        <w:rPr>
          <w:rStyle w:val="Refdenotaderodap"/>
          <w:rFonts w:ascii="Times New Roman" w:hAnsi="Times New Roman"/>
          <w:sz w:val="24"/>
          <w:szCs w:val="24"/>
        </w:rPr>
        <w:footnoteReference w:id="103"/>
      </w:r>
      <w:r w:rsidRPr="002C1356">
        <w:rPr>
          <w:rFonts w:ascii="Times New Roman" w:hAnsi="Times New Roman"/>
          <w:sz w:val="24"/>
          <w:szCs w:val="24"/>
        </w:rPr>
        <w:t xml:space="preserve"> </w:t>
      </w:r>
    </w:p>
    <w:p w14:paraId="38721C0C" w14:textId="77777777" w:rsidR="003D7DAB" w:rsidRPr="002C1356" w:rsidRDefault="003D7DAB" w:rsidP="003D7DAB">
      <w:pPr>
        <w:spacing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Depois de realizar a investigação demandada pelo Império Britânico, seu relatório foi publicado em julho de 1912 com o nome de “Treatment of British Colonial Subjects and Native Indians Employed in the Collection of Rubber in the Putumayo District” e ficou conhecido como </w:t>
      </w:r>
      <w:r w:rsidRPr="002C1356">
        <w:rPr>
          <w:rFonts w:ascii="Times New Roman" w:hAnsi="Times New Roman"/>
          <w:i/>
          <w:sz w:val="24"/>
          <w:szCs w:val="24"/>
        </w:rPr>
        <w:t>Blue Book</w:t>
      </w:r>
      <w:r w:rsidRPr="002C1356">
        <w:rPr>
          <w:rFonts w:ascii="Times New Roman" w:hAnsi="Times New Roman"/>
          <w:sz w:val="24"/>
          <w:szCs w:val="24"/>
        </w:rPr>
        <w:t>.</w:t>
      </w:r>
      <w:r w:rsidRPr="002C1356">
        <w:rPr>
          <w:rStyle w:val="Refdenotaderodap"/>
          <w:rFonts w:ascii="Times New Roman" w:hAnsi="Times New Roman"/>
          <w:sz w:val="24"/>
          <w:szCs w:val="24"/>
        </w:rPr>
        <w:footnoteReference w:id="104"/>
      </w:r>
      <w:r w:rsidRPr="002C1356">
        <w:rPr>
          <w:rFonts w:ascii="Times New Roman" w:hAnsi="Times New Roman"/>
          <w:sz w:val="24"/>
          <w:szCs w:val="24"/>
        </w:rPr>
        <w:t xml:space="preserve"> Várias décadas após essa publicação, no ano de 1977, foi publicado por Angus Mitchell </w:t>
      </w:r>
      <w:r w:rsidRPr="002C1356">
        <w:rPr>
          <w:rFonts w:ascii="Times New Roman" w:hAnsi="Times New Roman"/>
          <w:i/>
          <w:sz w:val="24"/>
          <w:szCs w:val="24"/>
        </w:rPr>
        <w:t>The Amazon Journal of Roger Casement</w:t>
      </w:r>
      <w:r w:rsidRPr="002C1356">
        <w:rPr>
          <w:rFonts w:ascii="Times New Roman" w:hAnsi="Times New Roman"/>
          <w:sz w:val="24"/>
          <w:szCs w:val="24"/>
        </w:rPr>
        <w:t>. Referida obra é constituída de uma seleção de trechos do diário particular mantido por Roger Casement.</w:t>
      </w:r>
      <w:r w:rsidRPr="002C1356">
        <w:rPr>
          <w:rStyle w:val="Refdenotaderodap"/>
          <w:rFonts w:ascii="Times New Roman" w:hAnsi="Times New Roman"/>
          <w:sz w:val="24"/>
          <w:szCs w:val="24"/>
        </w:rPr>
        <w:footnoteReference w:id="105"/>
      </w:r>
      <w:r w:rsidRPr="002C1356">
        <w:rPr>
          <w:rFonts w:ascii="Times New Roman" w:hAnsi="Times New Roman"/>
          <w:sz w:val="24"/>
          <w:szCs w:val="24"/>
        </w:rPr>
        <w:t xml:space="preserve"> </w:t>
      </w:r>
    </w:p>
    <w:p w14:paraId="111AD705" w14:textId="44BE087A" w:rsidR="003D7DAB" w:rsidRPr="002C1356" w:rsidRDefault="003D7DAB" w:rsidP="00647ACF">
      <w:pPr>
        <w:spacing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Casement foi o principal líder de uma comissão para investigar o tratamento dispensado aos nativos pela “Peruvian Air Company”. A caminho da região do Putumayo, acompanhado por David Cazes, da Companhia de Comércio de Iquitos, que tinha algum conhecimento da população local, Casement, por meio da conversa com diversas pessoas da região do Putumayo, amplia sua percepção a respeito da relação dos “civilizados” com a população nativa. </w:t>
      </w:r>
      <w:r w:rsidRPr="002C1356">
        <w:rPr>
          <w:rStyle w:val="Refdenotaderodap"/>
          <w:rFonts w:ascii="Times New Roman" w:hAnsi="Times New Roman"/>
          <w:sz w:val="24"/>
          <w:szCs w:val="24"/>
        </w:rPr>
        <w:footnoteReference w:id="106"/>
      </w:r>
      <w:r w:rsidRPr="002C1356">
        <w:rPr>
          <w:rFonts w:ascii="Times New Roman" w:hAnsi="Times New Roman"/>
          <w:sz w:val="24"/>
          <w:szCs w:val="24"/>
        </w:rPr>
        <w:t xml:space="preserve"> No próximo trecho o relato de uma conversa com Monsieur Vatam, comerciante francês: </w:t>
      </w:r>
    </w:p>
    <w:p w14:paraId="4DB79C27" w14:textId="77777777" w:rsidR="003D7DAB" w:rsidRPr="002C1356" w:rsidRDefault="003D7DAB" w:rsidP="003D7DAB">
      <w:pPr>
        <w:pStyle w:val="Citao1"/>
        <w:ind w:firstLine="0"/>
      </w:pPr>
      <w:r w:rsidRPr="002C1356">
        <w:t xml:space="preserve">Declarou que os “pagamentos” feitos aos índios eram “ridículos” e que o sistema inteiro era de completa escravidão. </w:t>
      </w:r>
      <w:r w:rsidRPr="002C1356">
        <w:rPr>
          <w:i/>
        </w:rPr>
        <w:t>Monsieur</w:t>
      </w:r>
      <w:r w:rsidRPr="002C1356">
        <w:t xml:space="preserve"> Vatan impressionou-me com sua inteligência e honestidade, e Cazes me assegurou que ele era um dos residentes estrangeiros mais confiáveis em Iquitos. (…) </w:t>
      </w:r>
    </w:p>
    <w:p w14:paraId="17EE6CFF" w14:textId="77777777" w:rsidR="003D7DAB" w:rsidRPr="002C1356" w:rsidRDefault="003D7DAB" w:rsidP="003D7DAB">
      <w:pPr>
        <w:spacing w:after="0" w:line="360" w:lineRule="auto"/>
        <w:ind w:firstLine="709"/>
        <w:contextualSpacing/>
        <w:jc w:val="both"/>
        <w:rPr>
          <w:rFonts w:ascii="Times New Roman" w:hAnsi="Times New Roman"/>
          <w:i/>
          <w:sz w:val="24"/>
          <w:szCs w:val="24"/>
        </w:rPr>
      </w:pPr>
    </w:p>
    <w:p w14:paraId="6FE49093" w14:textId="49580F08" w:rsidR="003D7DAB" w:rsidRPr="002C1356"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próximo item, que recebeu o título de “Em nome da Civilização”, Casement já tendo vencido a primeira metade de sua missão, tem maior clareza do trato dispensado aos índios:</w:t>
      </w:r>
      <w:r w:rsidRPr="002C1356">
        <w:rPr>
          <w:rStyle w:val="Refdenotaderodap"/>
          <w:rFonts w:ascii="Times New Roman" w:hAnsi="Times New Roman"/>
          <w:sz w:val="24"/>
          <w:szCs w:val="24"/>
        </w:rPr>
        <w:footnoteReference w:id="107"/>
      </w:r>
      <w:r w:rsidRPr="002C1356">
        <w:rPr>
          <w:rFonts w:ascii="Times New Roman" w:hAnsi="Times New Roman"/>
          <w:sz w:val="24"/>
          <w:szCs w:val="24"/>
        </w:rPr>
        <w:t xml:space="preserve"> </w:t>
      </w:r>
    </w:p>
    <w:p w14:paraId="2E8B4A32" w14:textId="77777777" w:rsidR="003D7DAB" w:rsidRPr="002C1356" w:rsidRDefault="003D7DAB" w:rsidP="003D7DAB">
      <w:pPr>
        <w:pStyle w:val="Citao1"/>
        <w:ind w:firstLine="0"/>
      </w:pPr>
      <w:r w:rsidRPr="002C1356">
        <w:lastRenderedPageBreak/>
        <w:t>(...) Além disso, deve-se ter sempre em mente que o índio não tem parte no contrato. É obrigado pela força brutal e totalmente descontrolada – depois de caçado, capturado, flagelado, acorrentado, preso por longos períodos e de sofrer de inanição – a concordar em “trabalhar” para a companhia e, em seguida, quando é liberado desse processo de domesticação, e esse lixo equivalente a cinco xelins que lhe é dado como pagamento, ele é novamente caçado, perseguido, vigiado, açoitado, tem a comida roubada e suas mulheres violentadas, até que traga de duzentas ou até trezentas vezes o valor das mercadorias que é forçado a aceitar.</w:t>
      </w:r>
    </w:p>
    <w:p w14:paraId="30AA1E22" w14:textId="77777777" w:rsidR="003D7DAB" w:rsidRPr="002C1356" w:rsidRDefault="003D7DAB" w:rsidP="003D7DAB">
      <w:pPr>
        <w:spacing w:after="0" w:line="360" w:lineRule="auto"/>
        <w:ind w:firstLine="709"/>
        <w:contextualSpacing/>
        <w:jc w:val="both"/>
        <w:rPr>
          <w:rFonts w:ascii="Times New Roman" w:hAnsi="Times New Roman"/>
          <w:sz w:val="24"/>
          <w:szCs w:val="24"/>
        </w:rPr>
      </w:pPr>
    </w:p>
    <w:p w14:paraId="0952BA26"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É relevante lembrar que Casement é considerado por diversos políticos e estudiosos um defensor dos direitos humanos. Nas palavras do presidente da Irlanda Michael D. Higgins descrevendo Casement:</w:t>
      </w:r>
      <w:r w:rsidRPr="002C1356">
        <w:rPr>
          <w:rStyle w:val="Refdenotaderodap"/>
          <w:rFonts w:ascii="Times New Roman" w:hAnsi="Times New Roman"/>
          <w:sz w:val="24"/>
          <w:szCs w:val="24"/>
        </w:rPr>
        <w:footnoteReference w:id="108"/>
      </w:r>
      <w:r w:rsidRPr="002C1356">
        <w:rPr>
          <w:rFonts w:ascii="Times New Roman" w:hAnsi="Times New Roman"/>
          <w:sz w:val="24"/>
          <w:szCs w:val="24"/>
        </w:rPr>
        <w:t xml:space="preserve"> “(…) seu profundo comprometimento com os valores universais de respeito pela dignidade humana e pelos direitos individuais, bem como por seu compromisso com o desenvolvimento de condições de trabalho humanizadas e com a ética nos negócios”.</w:t>
      </w:r>
    </w:p>
    <w:p w14:paraId="56BF9A31" w14:textId="52457029" w:rsidR="003D7DAB" w:rsidRPr="00647ACF"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Enquanto um inquestionável defensor da proteção da sacralidade da pessoa dos povos indígenas, Casement</w:t>
      </w:r>
      <w:r w:rsidRPr="002C1356">
        <w:rPr>
          <w:rStyle w:val="Refdenotaderodap"/>
          <w:rFonts w:ascii="Times New Roman" w:hAnsi="Times New Roman"/>
          <w:sz w:val="24"/>
          <w:szCs w:val="24"/>
        </w:rPr>
        <w:footnoteReference w:id="109"/>
      </w:r>
      <w:r w:rsidRPr="002C1356">
        <w:rPr>
          <w:rFonts w:ascii="Times New Roman" w:hAnsi="Times New Roman"/>
          <w:sz w:val="24"/>
          <w:szCs w:val="24"/>
        </w:rPr>
        <w:t xml:space="preserve"> defende uma outra forma de colonização para a Amazônia: </w:t>
      </w:r>
    </w:p>
    <w:p w14:paraId="0F8B1B40" w14:textId="77777777" w:rsidR="003D7DAB" w:rsidRPr="002C1356" w:rsidRDefault="003D7DAB" w:rsidP="003D7DAB">
      <w:pPr>
        <w:pStyle w:val="Citao1"/>
        <w:ind w:firstLine="0"/>
      </w:pPr>
      <w:r w:rsidRPr="002C1356">
        <w:t xml:space="preserve">(…) Os portugueses (peruanos e outros) exterminaram de modo covarde e vergonhoso os aborígenes, cujo número, caso os jesuítas tivessem prevalecido contra Pombal e os colonos, estaria hoje na casa de milhões de indivíduos. Os assassinos nada puseram no lugar daqueles que destruíram, nem civilização no lugar da selvageria, nem humanidade branca para substituir os homens cor de cobre. Tudo o que podiam fazer e fizeram foi demolir, nunca construir ou criar. Esse rio poderoso, muito além de suas margens neste grande continente, espera a mão da civilização. Quatrocentos anos do espanhol em suas nascentes e trezentos anos do português em sua foz transformaram-no primeiro num inferno e depois num deserto. Nada poderia ser mais agradável do que ver a bandeira da civilização teutônica avançar floresta adentro. </w:t>
      </w:r>
    </w:p>
    <w:p w14:paraId="66A12ABC" w14:textId="77777777" w:rsidR="003D7DAB" w:rsidRPr="002C1356" w:rsidRDefault="003D7DAB" w:rsidP="003D7DAB">
      <w:pPr>
        <w:pStyle w:val="Citao1"/>
        <w:ind w:firstLine="0"/>
      </w:pPr>
    </w:p>
    <w:p w14:paraId="4FF148E2"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 xml:space="preserve"> O texto em tela é um exemplo patente que o processo civilizatório em benefício da humanidade não exclui a oposição entre nações civilizadas e povos selvagens e bárbaros. E complementar a essa oposição a ideia de que os civilizados, em benefício da humanidade, devem levar a civilização aos selvagens da terra.</w:t>
      </w:r>
    </w:p>
    <w:p w14:paraId="7685F717"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próprio Casement, com inquestionável sensibilidade no que se refere proteção dos povos indígenas, defende a colonização como tarefa de aperfeiçoamento da humanidade. Tal fato ilustra como essa mentalidade era presente, entre os cidadãos europeus, no final do século XIX início do século XX.</w:t>
      </w:r>
    </w:p>
    <w:p w14:paraId="0C652A44" w14:textId="77777777" w:rsidR="003D7DAB" w:rsidRPr="002C1356" w:rsidRDefault="003D7DAB" w:rsidP="003D7DAB">
      <w:pPr>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Essa forma de pensar esteve presente na elaboração do Pacto da Sociedades das Nações.</w:t>
      </w:r>
      <w:r w:rsidRPr="002C1356">
        <w:rPr>
          <w:rFonts w:ascii="Times New Roman" w:hAnsi="Times New Roman"/>
          <w:i/>
          <w:sz w:val="24"/>
          <w:szCs w:val="24"/>
        </w:rPr>
        <w:t xml:space="preserve"> </w:t>
      </w:r>
    </w:p>
    <w:p w14:paraId="188191D6" w14:textId="77777777" w:rsidR="003D7DAB" w:rsidRPr="002C1356" w:rsidRDefault="003D7DAB" w:rsidP="003D7DAB">
      <w:pPr>
        <w:spacing w:line="360" w:lineRule="auto"/>
        <w:contextualSpacing/>
        <w:jc w:val="both"/>
        <w:rPr>
          <w:rFonts w:ascii="Times New Roman" w:hAnsi="Times New Roman"/>
          <w:i/>
          <w:sz w:val="24"/>
          <w:szCs w:val="24"/>
        </w:rPr>
      </w:pPr>
    </w:p>
    <w:p w14:paraId="3DC4785D" w14:textId="77777777" w:rsidR="003D7DAB" w:rsidRPr="002C1356" w:rsidRDefault="003D7DAB" w:rsidP="003D7DAB">
      <w:pPr>
        <w:spacing w:line="360" w:lineRule="auto"/>
        <w:contextualSpacing/>
        <w:jc w:val="both"/>
        <w:rPr>
          <w:rFonts w:ascii="Times New Roman" w:hAnsi="Times New Roman"/>
          <w:b/>
          <w:sz w:val="24"/>
          <w:szCs w:val="24"/>
        </w:rPr>
      </w:pPr>
      <w:r w:rsidRPr="002C1356">
        <w:rPr>
          <w:rFonts w:ascii="Times New Roman" w:hAnsi="Times New Roman"/>
          <w:b/>
          <w:sz w:val="24"/>
          <w:szCs w:val="24"/>
        </w:rPr>
        <w:t>1.2.3 A Sociedade das Nações (1919) e os temas de direitos humanos</w:t>
      </w:r>
    </w:p>
    <w:p w14:paraId="354A5569" w14:textId="77777777" w:rsidR="003D7DAB" w:rsidRPr="002C1356" w:rsidRDefault="003D7DAB" w:rsidP="003D7DAB">
      <w:pPr>
        <w:spacing w:line="360" w:lineRule="auto"/>
        <w:ind w:firstLine="708"/>
        <w:contextualSpacing/>
        <w:jc w:val="both"/>
        <w:rPr>
          <w:rFonts w:ascii="Times New Roman" w:hAnsi="Times New Roman"/>
          <w:b/>
          <w:sz w:val="24"/>
          <w:szCs w:val="24"/>
        </w:rPr>
      </w:pPr>
    </w:p>
    <w:p w14:paraId="56D8E752" w14:textId="4CECAEF5"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Em 8 de janeiro de 1918, Woodrow Wilson, presidente dos Estados Unidos, dirigiu uma mensagem ao Congresso norte-americano apresentando os catorze pontos para a construção da paz no continente europeu. O décimo quarto ponto e o parágrafo seguinte a ele são uma referência explícita a futura SDN.</w:t>
      </w:r>
    </w:p>
    <w:p w14:paraId="5A2F12D3" w14:textId="77777777" w:rsidR="003D7DAB" w:rsidRPr="002C1356" w:rsidRDefault="003D7DAB" w:rsidP="003D7DAB">
      <w:pPr>
        <w:pStyle w:val="Citao1"/>
        <w:ind w:firstLine="0"/>
      </w:pPr>
      <w:r w:rsidRPr="002C1356">
        <w:rPr>
          <w:b/>
        </w:rPr>
        <w:t>XIV</w:t>
      </w:r>
      <w:r w:rsidRPr="002C1356">
        <w:t xml:space="preserve"> Uma associação geral deve ser formada sob acordos com o propósito de garantir garantias mútuas de independência política e integridade territorial tanto para Estados maiores quanto menores. </w:t>
      </w:r>
    </w:p>
    <w:p w14:paraId="5AF200EB" w14:textId="77777777" w:rsidR="003D7DAB" w:rsidRPr="002C1356" w:rsidRDefault="003D7DAB" w:rsidP="003D7DAB">
      <w:pPr>
        <w:pStyle w:val="Citao1"/>
        <w:ind w:firstLine="0"/>
      </w:pPr>
      <w:r w:rsidRPr="002C1356">
        <w:t>A respeito dessas retificações essenciais de erros e afirmações de direitos, nós mesmos nos sentimos parceiros de todos os governos e povos associados contra os imperialistas. Não podemos ser separados por interesses ou divididos em propósitos, nos mantemos juntos até o fim.</w:t>
      </w:r>
    </w:p>
    <w:p w14:paraId="111A102A" w14:textId="77777777" w:rsidR="003D7DAB" w:rsidRPr="002C1356" w:rsidRDefault="003D7DAB" w:rsidP="003D7DAB">
      <w:pPr>
        <w:pStyle w:val="Citao1"/>
        <w:ind w:firstLine="0"/>
      </w:pPr>
    </w:p>
    <w:p w14:paraId="2FEAD81A"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Apesar da intenção de “igualdade entre as nações” expressa pelo presidente Wilson, a formação dos órgãos diretivos da SDN indicou uma assimetria de poder. O Conselho da SDN (órgão equivalente ao poder executivo) foi ocupado pelas potências vencedoras da primeira guerra mundial, vale dizer: Estados Unidos, Império Britânico, França, Itália e Japão.</w:t>
      </w:r>
      <w:r w:rsidRPr="002C1356">
        <w:rPr>
          <w:rStyle w:val="Refdenotaderodap"/>
          <w:rFonts w:ascii="Times New Roman" w:hAnsi="Times New Roman"/>
          <w:sz w:val="24"/>
          <w:szCs w:val="24"/>
        </w:rPr>
        <w:footnoteReference w:id="110"/>
      </w:r>
      <w:r w:rsidRPr="002C1356">
        <w:rPr>
          <w:rFonts w:ascii="Times New Roman" w:hAnsi="Times New Roman"/>
          <w:sz w:val="24"/>
          <w:szCs w:val="24"/>
        </w:rPr>
        <w:t xml:space="preserve"> O Brasil, apesar de vários protestos, ocupou uma cadeira como membro não permanente até 1926, momento no qual deixou a SDN.</w:t>
      </w:r>
      <w:r w:rsidRPr="002C1356">
        <w:rPr>
          <w:rStyle w:val="Refdenotaderodap"/>
          <w:rFonts w:ascii="Times New Roman" w:hAnsi="Times New Roman"/>
          <w:sz w:val="24"/>
          <w:szCs w:val="24"/>
        </w:rPr>
        <w:footnoteReference w:id="111"/>
      </w:r>
    </w:p>
    <w:p w14:paraId="5F7123CD"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 xml:space="preserve">As nações vencedoras da Primeira Guerra Mundial, no momento histórico do final da fase do Direito Internacional das Nações Civilizadas e início da fase do Direito Internacional da Humanidade elaboraram um documento ambivalente que mantém a ideia da superioridade das nações civilizadas mas aponta para uma perspectiva holística que torna viável incluir a humanidade como um todo na sua visão de comunidade internacional. </w:t>
      </w:r>
    </w:p>
    <w:p w14:paraId="12775ED2"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John Humphrey (1905-1995) jurista canadense, professor de Direito Internacional da MaCGill Univesity, secretário-geral da Comissão de Direitos Humanos da ONU que elaborou a DUDH, afirma que o conceito de direitos humanos não foi incluído no texto do Pacto da SDN. Todavia, dois artigos tratam de temas relacionados a esse tema, vale dizer: o artigo 22 e o artigo 23.</w:t>
      </w:r>
      <w:r w:rsidRPr="002C1356">
        <w:rPr>
          <w:rStyle w:val="Refdenotaderodap"/>
          <w:rFonts w:ascii="Times New Roman" w:hAnsi="Times New Roman"/>
          <w:sz w:val="24"/>
          <w:szCs w:val="24"/>
        </w:rPr>
        <w:footnoteReference w:id="112"/>
      </w:r>
    </w:p>
    <w:p w14:paraId="087D4E9F"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Entre os antecedentes históricos que tornaram possível a elaboração do artigo 22, é relevante citar quatro: 1)</w:t>
      </w:r>
      <w:r w:rsidRPr="002C1356">
        <w:rPr>
          <w:rFonts w:ascii="Times New Roman" w:hAnsi="Times New Roman"/>
          <w:b/>
          <w:sz w:val="24"/>
          <w:szCs w:val="24"/>
        </w:rPr>
        <w:t xml:space="preserve"> </w:t>
      </w:r>
      <w:r w:rsidRPr="002C1356">
        <w:rPr>
          <w:rFonts w:ascii="Times New Roman" w:hAnsi="Times New Roman"/>
          <w:sz w:val="24"/>
          <w:szCs w:val="24"/>
        </w:rPr>
        <w:t>Ato Geral de Berlim, 26 de fevereiro de 1885; 2)</w:t>
      </w:r>
      <w:r w:rsidRPr="002C1356">
        <w:rPr>
          <w:rFonts w:ascii="Times New Roman" w:hAnsi="Times New Roman"/>
          <w:b/>
          <w:sz w:val="24"/>
          <w:szCs w:val="24"/>
        </w:rPr>
        <w:t xml:space="preserve"> </w:t>
      </w:r>
      <w:r w:rsidRPr="002C1356">
        <w:rPr>
          <w:rFonts w:ascii="Times New Roman" w:hAnsi="Times New Roman"/>
          <w:sz w:val="24"/>
          <w:szCs w:val="24"/>
        </w:rPr>
        <w:t>Ato Geral de Bruxelas, 2 de junho de 1890 (instrumento jurídico resultado de uma Conferência antiescravidão); o quinto ponto dos catorze do presidente Wilson, que propõe: 3) “Um reajuste livre, aberto e absolutamente imparcial da política colonialista, baseado na observação estrita do princípio de que a soberania dos interesses das populações colonizadas deve ter o mesmo peso dos pedidos equiparáveis das nações civilizadas”;</w:t>
      </w:r>
      <w:r w:rsidRPr="002C1356">
        <w:rPr>
          <w:rFonts w:ascii="Times New Roman" w:hAnsi="Times New Roman"/>
          <w:i/>
          <w:sz w:val="24"/>
          <w:szCs w:val="24"/>
        </w:rPr>
        <w:t xml:space="preserve"> </w:t>
      </w:r>
      <w:r w:rsidRPr="002C1356">
        <w:rPr>
          <w:rFonts w:ascii="Times New Roman" w:hAnsi="Times New Roman"/>
          <w:sz w:val="24"/>
          <w:szCs w:val="24"/>
        </w:rPr>
        <w:t>4)</w:t>
      </w:r>
      <w:r w:rsidRPr="002C1356">
        <w:rPr>
          <w:rFonts w:ascii="Times New Roman" w:hAnsi="Times New Roman"/>
          <w:b/>
          <w:sz w:val="24"/>
          <w:szCs w:val="24"/>
        </w:rPr>
        <w:t xml:space="preserve"> </w:t>
      </w:r>
      <w:r w:rsidRPr="002C1356">
        <w:rPr>
          <w:rFonts w:ascii="Times New Roman" w:hAnsi="Times New Roman"/>
          <w:sz w:val="24"/>
          <w:szCs w:val="24"/>
        </w:rPr>
        <w:t xml:space="preserve">O projeto do general Smuts (chefe das tropas britânicas na África do Sul) publicado, em dezembro de 1918, em uma brochura intitulada </w:t>
      </w:r>
      <w:r w:rsidRPr="002C1356">
        <w:rPr>
          <w:rFonts w:ascii="Times New Roman" w:hAnsi="Times New Roman"/>
          <w:i/>
          <w:sz w:val="24"/>
          <w:szCs w:val="24"/>
        </w:rPr>
        <w:t>The League of Nations: A Pratical Suggestion</w:t>
      </w:r>
      <w:r w:rsidRPr="00A931C3">
        <w:rPr>
          <w:rStyle w:val="Refdenotaderodap"/>
          <w:rFonts w:ascii="Times New Roman" w:hAnsi="Times New Roman"/>
          <w:sz w:val="24"/>
        </w:rPr>
        <w:footnoteReference w:id="113"/>
      </w:r>
      <w:r w:rsidRPr="002C1356">
        <w:rPr>
          <w:rFonts w:ascii="Times New Roman" w:hAnsi="Times New Roman"/>
          <w:sz w:val="24"/>
          <w:szCs w:val="24"/>
        </w:rPr>
        <w:t xml:space="preserve"> que estava de acordo com o proposta de Wilson, dando-lhe maior concretude e precisão ao propor um projeto de governo por meio de uma potência agindo na qualidade de mandatário da SDN e supervisionada por ela.</w:t>
      </w:r>
      <w:r w:rsidRPr="002C1356">
        <w:rPr>
          <w:rStyle w:val="Refdenotaderodap"/>
          <w:rFonts w:ascii="Times New Roman" w:hAnsi="Times New Roman"/>
          <w:sz w:val="24"/>
          <w:szCs w:val="24"/>
        </w:rPr>
        <w:footnoteReference w:id="114"/>
      </w:r>
    </w:p>
    <w:p w14:paraId="4A3DE34E"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Pode-se afirmar que artigo 22 foi “o resultado de uma transação a propósito da questão dos territórios coloniais subtraídos do inimigo, entre o sistema de anexação pura e simples e o sistema de sua internacionalização absoluta”.</w:t>
      </w:r>
      <w:r w:rsidRPr="002C1356">
        <w:rPr>
          <w:rStyle w:val="Refdenotaderodap"/>
          <w:rFonts w:ascii="Times New Roman" w:hAnsi="Times New Roman"/>
          <w:sz w:val="24"/>
          <w:szCs w:val="24"/>
        </w:rPr>
        <w:footnoteReference w:id="115"/>
      </w:r>
      <w:r w:rsidRPr="002C1356">
        <w:rPr>
          <w:rFonts w:ascii="Times New Roman" w:hAnsi="Times New Roman"/>
          <w:sz w:val="24"/>
          <w:szCs w:val="24"/>
        </w:rPr>
        <w:t xml:space="preserve"> Como resultado final, obteve-se um mosaico de duas diferentes perspectivas, a saber: a imperialista e a internacionalista. </w:t>
      </w:r>
    </w:p>
    <w:p w14:paraId="4346145B"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artigo 22 é composto de nove parágrafos, quatrocentos e vinte e quatro (424) palavras distribuídas em quarenta e três (43) linhas. O artigo em tela preenche todas as </w:t>
      </w:r>
      <w:r w:rsidRPr="002C1356">
        <w:rPr>
          <w:rFonts w:ascii="Times New Roman" w:hAnsi="Times New Roman"/>
          <w:sz w:val="24"/>
          <w:szCs w:val="24"/>
        </w:rPr>
        <w:lastRenderedPageBreak/>
        <w:t>características para ser considerado uma narrativa, posto que apresenta uma série de eventos passados, presentes e futuros relacionados a organização da comunidade internacional, na primeira metade do século XX, com o suporte de uma norma jurídica.</w:t>
      </w:r>
    </w:p>
    <w:p w14:paraId="7287CBE9"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Robert M. Cover mostra a importância da narrativa para elaboração da norma jurídica:</w:t>
      </w:r>
      <w:r w:rsidRPr="002C1356">
        <w:rPr>
          <w:rStyle w:val="Refdenotaderodap"/>
          <w:rFonts w:ascii="Times New Roman" w:hAnsi="Times New Roman"/>
          <w:sz w:val="24"/>
          <w:szCs w:val="24"/>
        </w:rPr>
        <w:footnoteReference w:id="116"/>
      </w:r>
      <w:r w:rsidRPr="002C1356">
        <w:rPr>
          <w:rFonts w:ascii="Times New Roman" w:hAnsi="Times New Roman"/>
          <w:sz w:val="24"/>
          <w:szCs w:val="24"/>
        </w:rPr>
        <w:t xml:space="preserve"> </w:t>
      </w:r>
    </w:p>
    <w:p w14:paraId="5EA69637" w14:textId="1FE55931" w:rsidR="003D7DAB" w:rsidRPr="00A24AED" w:rsidRDefault="003D7DAB" w:rsidP="003D7DAB">
      <w:pPr>
        <w:pStyle w:val="Citao1"/>
        <w:ind w:firstLine="0"/>
      </w:pPr>
      <w:r w:rsidRPr="00A24AED">
        <w:t>Uma tradição legal é, portanto, parte integrante de um complexo mundo normativo. A tradição inclui não apenas um corpus juris, mas também uma linguagem e um mythos – narrativas em que o corpus juris é localizado por aqueles cujas vontades têm efeito sobre ele. Esses mitos estabelecem os paradigmas de comportamento. Eles cons</w:t>
      </w:r>
      <w:r w:rsidR="00C147DF" w:rsidRPr="00A24AED">
        <w:t>troem entre o universo normativo</w:t>
      </w:r>
      <w:r w:rsidRPr="00A24AED">
        <w:t xml:space="preserve"> e material, entre as restrições da realidade e as demandas de uma ética. Esses mitos estabelecem um repertório de movimentos – um léxico de ação normativa – que pode ser combinado para gerar significado – padrões inteiros selecionados dos padrões significativos do passado. (…) </w:t>
      </w:r>
    </w:p>
    <w:p w14:paraId="37DD9D77"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4BEE9DC5"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“missão sagrada da civilização” é a narrativa inspiradora da fase do Direito Internacional das Nações Civilizadas, ainda presente no início da fase do Direito Internacional da Humanidade. É o que será verificado por meio da análise do artigo 22.</w:t>
      </w:r>
    </w:p>
    <w:p w14:paraId="1C27699B"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primeiro parágrafo estabelece dois requisitos para a instauração de um sistema de mandatos: </w:t>
      </w:r>
    </w:p>
    <w:p w14:paraId="5AD8ECC8" w14:textId="77777777" w:rsidR="003D7DAB" w:rsidRPr="002C1356" w:rsidRDefault="003D7DAB" w:rsidP="003D7DAB">
      <w:pPr>
        <w:pStyle w:val="Citao1"/>
        <w:ind w:firstLine="0"/>
      </w:pPr>
      <w:r w:rsidRPr="002C1356">
        <w:t xml:space="preserve">Art. 22 Os princípios seguintes aplicam-se 1) às colônias e territórios que, em consequência da guerra, cessaram de estar sob a soberania dos Estados que precedentemente os governavam e 2) são habitados por povos ainda incapazes de se dirigirem por si próprios nas condições particularmente difíceis do mundo moderno. A definição da incapacidade de “autogoverno” definida pela SDN será superada com a utilização do sistema de mandatos. O Pacto esclarece o objetivo maior desse sistema: (…) O bem-estar e o desenvolvimento desses povos formam uma </w:t>
      </w:r>
      <w:r w:rsidRPr="002C1356">
        <w:rPr>
          <w:u w:val="single"/>
        </w:rPr>
        <w:t>missão sagrada de civilização</w:t>
      </w:r>
      <w:r w:rsidRPr="002C1356">
        <w:t>, e convém incorporar no presente Pacto garantias para o cumprimento dessa missão. (grifo do autor)</w:t>
      </w:r>
    </w:p>
    <w:p w14:paraId="4F0088E0" w14:textId="77777777" w:rsidR="003D7DAB" w:rsidRPr="002C1356" w:rsidRDefault="003D7DAB" w:rsidP="003D7DAB">
      <w:pPr>
        <w:pStyle w:val="Citao1"/>
        <w:ind w:firstLine="0"/>
      </w:pPr>
    </w:p>
    <w:p w14:paraId="628FD982"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 xml:space="preserve">O segundo e o terceiro parágrafo esclarecem que o sistema de mandatos é um princípio para organização da sociedade internacional apresentando uma justificativa para esse sistema, a forma básica que deveria assumir, além de justificativas para diversos tipos de mandato: </w:t>
      </w:r>
    </w:p>
    <w:p w14:paraId="3FD4BCE0" w14:textId="77777777" w:rsidR="003D7DAB" w:rsidRPr="002C1356" w:rsidRDefault="003D7DAB" w:rsidP="003D7DAB">
      <w:pPr>
        <w:pStyle w:val="Citao1"/>
        <w:ind w:firstLine="0"/>
      </w:pPr>
      <w:r w:rsidRPr="002C1356">
        <w:t xml:space="preserve">O melhor método de realizar praticamente esse princípio é confiar a tutela desses povos às nações desenvolvidas que, em razão de seus recursos, de sua experiência ou de sua posição geográfica, estão em situação de bem assumir essa responsabilidade e que consistam em aceitá-la: elas exerceriam a tutela na qualidade de mandatários e em nome da Sociedade. </w:t>
      </w:r>
    </w:p>
    <w:p w14:paraId="5F5EA4B5" w14:textId="77777777" w:rsidR="003D7DAB" w:rsidRPr="002C1356" w:rsidRDefault="003D7DAB" w:rsidP="003D7DAB">
      <w:pPr>
        <w:pStyle w:val="Citao1"/>
        <w:ind w:firstLine="0"/>
      </w:pPr>
      <w:r w:rsidRPr="002C1356">
        <w:t>O caráter do mandato deve ser diferente conforme o grau de desenvolvimento do povo, a situação geográfica do território, suas condições econômicas e todas as outras circunstâncias análogas.</w:t>
      </w:r>
    </w:p>
    <w:p w14:paraId="4CE18A98"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19DD6598" w14:textId="1E2875E2"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Do quarto ao sexto parágrafo, é feita referência a “povos, comunidades e territórios” com diferentes situações geográficas e de autogoverno: </w:t>
      </w:r>
    </w:p>
    <w:p w14:paraId="5D8F3775" w14:textId="77777777" w:rsidR="003D7DAB" w:rsidRPr="002C1356" w:rsidRDefault="003D7DAB" w:rsidP="003D7DAB">
      <w:pPr>
        <w:pStyle w:val="Citao1"/>
        <w:ind w:firstLine="0"/>
      </w:pPr>
      <w:r w:rsidRPr="002C1356">
        <w:t>Certas comunidades que outrora pertenciam ao Império Otomano atingiram tal grau de desenvolvimento que sua existência como nações independentes pode ser reconhecida provisoriamente, com a condição que os conselhos e o auxílio de um mandatário guiem sua administração até o momento que forem capazes de se conduzirem sozinhas. Os desejos dessas comunidades devem ser tomados em primeiro lugar em consideração para escolha do mandatário.</w:t>
      </w:r>
    </w:p>
    <w:p w14:paraId="5A4F6908" w14:textId="77777777" w:rsidR="003D7DAB" w:rsidRPr="002C1356" w:rsidRDefault="003D7DAB" w:rsidP="003D7DAB">
      <w:pPr>
        <w:pStyle w:val="Citao1"/>
        <w:ind w:firstLine="0"/>
      </w:pPr>
    </w:p>
    <w:p w14:paraId="659F55E9" w14:textId="113F204B"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No quinto parágrafo também são definidas obrigações para os Estados, relacionadas com a proteção da dignidade da pessoa: </w:t>
      </w:r>
    </w:p>
    <w:p w14:paraId="2CAFADF4" w14:textId="77777777" w:rsidR="003D7DAB" w:rsidRPr="002C1356" w:rsidRDefault="003D7DAB" w:rsidP="003D7DAB">
      <w:pPr>
        <w:pStyle w:val="Citao1"/>
        <w:ind w:firstLine="0"/>
      </w:pPr>
      <w:r w:rsidRPr="002C1356">
        <w:t xml:space="preserve">O grau de desenvolvimento em que se encontram outros povos, especialmente os da África Central, exige que o mandatário assuma o governo do território em condições que, com </w:t>
      </w:r>
      <w:r w:rsidRPr="002C1356">
        <w:rPr>
          <w:u w:val="single"/>
        </w:rPr>
        <w:t>a proibição de abusos, tais como o tráfico de escravos, o comércio de armas e álcool</w:t>
      </w:r>
      <w:r w:rsidRPr="002C1356">
        <w:t xml:space="preserve">, garantam </w:t>
      </w:r>
      <w:r w:rsidRPr="002C1356">
        <w:rPr>
          <w:u w:val="single"/>
        </w:rPr>
        <w:t>a liberdade de consciência e religião,</w:t>
      </w:r>
      <w:r w:rsidRPr="002C1356">
        <w:t xml:space="preserve"> sem outras restrições, além das que pode impor a manutenção da ordem pública e dos bons costumes, e a </w:t>
      </w:r>
      <w:r w:rsidRPr="002C1356">
        <w:rPr>
          <w:u w:val="single"/>
        </w:rPr>
        <w:t>interdição</w:t>
      </w:r>
      <w:r w:rsidRPr="002C1356">
        <w:t xml:space="preserve"> de estabelecer fortificações, bases militares ou navais e </w:t>
      </w:r>
      <w:r w:rsidRPr="002C1356">
        <w:rPr>
          <w:u w:val="single"/>
        </w:rPr>
        <w:t xml:space="preserve">de dar aos indígenas instrução militar, </w:t>
      </w:r>
      <w:r w:rsidRPr="002C1356">
        <w:t xml:space="preserve">a não ser para a polícia ou a defesa do </w:t>
      </w:r>
      <w:r w:rsidRPr="002C1356">
        <w:lastRenderedPageBreak/>
        <w:t>território, e assegurarem aos outros membros da Sociedade condições de igualdade para trocas e comércio. (grifos do autor)</w:t>
      </w:r>
    </w:p>
    <w:p w14:paraId="6AB1291A" w14:textId="77777777" w:rsidR="003D7DAB" w:rsidRPr="002C1356" w:rsidRDefault="003D7DAB" w:rsidP="003D7DAB">
      <w:pPr>
        <w:pStyle w:val="Citao1"/>
        <w:ind w:firstLine="0"/>
      </w:pPr>
      <w:r w:rsidRPr="002C1356">
        <w:t>Enfim, há territórios como o sudoeste africano e certas ilhas do Pacífico austral, que, em razão da fraca densidade de sua população, de sua superfície restrita, de seu afastamento dos centros de civilização, de sua contiguidade geográfica com o território do mandatário ou de outras circunstâncias, não poderiam ser melhor administrados do que pelas próprias leis do mandatário, como parte integrante de seu território, sob reserva das garantias previstas acima no interesse das populações indígena.</w:t>
      </w:r>
    </w:p>
    <w:p w14:paraId="2982C4E1" w14:textId="77777777" w:rsidR="003D7DAB" w:rsidRPr="002C1356" w:rsidRDefault="003D7DAB" w:rsidP="003D7DAB">
      <w:pPr>
        <w:pStyle w:val="Citao1"/>
        <w:ind w:firstLine="0"/>
      </w:pPr>
    </w:p>
    <w:p w14:paraId="18C7BDF0"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O sétimo parágrafo determina a obrigação do Estado mandatário em relação ao Conselho da SDN: “Em todos os casos, o mandatário deverá enviar anualmente ao Conselho um relatório acerca dos territórios de que foi encarregado”</w:t>
      </w:r>
      <w:r w:rsidRPr="002C1356">
        <w:rPr>
          <w:rFonts w:ascii="Times New Roman" w:hAnsi="Times New Roman"/>
          <w:i/>
          <w:sz w:val="24"/>
          <w:szCs w:val="24"/>
        </w:rPr>
        <w:t>.</w:t>
      </w:r>
    </w:p>
    <w:p w14:paraId="24EAC13B" w14:textId="3DC691C5"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oitavo e o nono parágrafo determinam outras tarefas do Conselho da SDN: </w:t>
      </w:r>
    </w:p>
    <w:p w14:paraId="5D03C2CF" w14:textId="77777777" w:rsidR="003D7DAB" w:rsidRPr="002C1356" w:rsidRDefault="003D7DAB" w:rsidP="003D7DAB">
      <w:pPr>
        <w:pStyle w:val="Citao1"/>
        <w:ind w:firstLine="0"/>
      </w:pPr>
      <w:r w:rsidRPr="002C1356">
        <w:t>Se o grau de autoridade, fiscalização ou administração a ser exercido pelo mandatário não faz objeto de uma convenção anterior entre os membros da sociedade, será estatuído expressamente nesses três aspectos pelo Conselho.</w:t>
      </w:r>
    </w:p>
    <w:p w14:paraId="745558E3" w14:textId="77777777" w:rsidR="003D7DAB" w:rsidRPr="002C1356" w:rsidRDefault="003D7DAB" w:rsidP="003D7DAB">
      <w:pPr>
        <w:pStyle w:val="Citao1"/>
        <w:ind w:firstLine="0"/>
      </w:pPr>
      <w:r w:rsidRPr="002C1356">
        <w:t>Uma comissão permanente será encarregada de receber e examinar os relatórios anuais dos mandatários e de dar ao Conselho sua opinião sobre todas as questões relativas à execução dos mandatos.</w:t>
      </w:r>
    </w:p>
    <w:p w14:paraId="093FE691"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1E0D2864" w14:textId="05D31912"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artigo 22, a época dos fatos, foi saudado como revolucionário sendo comparado a Declaração dos Direitos do Homem e do Cidadão (1789). É o que afirma Bentwich:</w:t>
      </w:r>
      <w:r w:rsidRPr="002C1356">
        <w:rPr>
          <w:rStyle w:val="Refdenotaderodap"/>
          <w:rFonts w:ascii="Times New Roman" w:hAnsi="Times New Roman"/>
          <w:sz w:val="24"/>
          <w:szCs w:val="24"/>
        </w:rPr>
        <w:footnoteReference w:id="117"/>
      </w:r>
      <w:r w:rsidRPr="002C1356">
        <w:rPr>
          <w:rFonts w:ascii="Times New Roman" w:hAnsi="Times New Roman"/>
          <w:sz w:val="24"/>
          <w:szCs w:val="24"/>
        </w:rPr>
        <w:t xml:space="preserve"> </w:t>
      </w:r>
    </w:p>
    <w:p w14:paraId="79D35745" w14:textId="77777777" w:rsidR="003D7DAB" w:rsidRPr="002C1356" w:rsidRDefault="003D7DAB" w:rsidP="003D7DAB">
      <w:pPr>
        <w:pStyle w:val="Citao1"/>
        <w:ind w:firstLine="0"/>
      </w:pPr>
      <w:r w:rsidRPr="002C1356">
        <w:t>(…) O artigo do Pacto não é um instrumento legal e preciso formulado por um comitê de juristas; mas uma declaração de princípios políticos e éticos que devem ser retomados e ampliados no texto dos documentos que fixarão as condições dos regimes de cada território em particular, que nomeamos mandatos. O artigo do Pacto é, por assim dizer, uma declaração de direitos de certos povos menores que estiveram depois de séculos sob o domínio otomano, e dos povos atrasados que tenham sido englobados pelo Império Alemão. Podemos compará-lo a Declaração dos Direitos do Homem e do Cidadão de 1789.</w:t>
      </w:r>
    </w:p>
    <w:p w14:paraId="3BC7F531" w14:textId="77777777" w:rsidR="003D7DAB" w:rsidRPr="002C1356" w:rsidRDefault="003D7DAB" w:rsidP="003D7DAB">
      <w:pPr>
        <w:pStyle w:val="Citao1"/>
        <w:ind w:firstLine="0"/>
      </w:pPr>
    </w:p>
    <w:p w14:paraId="4AE99787" w14:textId="0E758D9A"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No mesmo texto Bentwich</w:t>
      </w:r>
      <w:r w:rsidRPr="002C1356">
        <w:rPr>
          <w:rStyle w:val="Refdenotaderodap"/>
          <w:rFonts w:ascii="Times New Roman" w:hAnsi="Times New Roman"/>
          <w:sz w:val="24"/>
          <w:szCs w:val="24"/>
        </w:rPr>
        <w:footnoteReference w:id="118"/>
      </w:r>
      <w:r w:rsidRPr="002C1356">
        <w:rPr>
          <w:rFonts w:ascii="Times New Roman" w:hAnsi="Times New Roman"/>
          <w:sz w:val="24"/>
          <w:szCs w:val="24"/>
        </w:rPr>
        <w:t xml:space="preserve"> define o papel de um mandatário no sistema proposto: </w:t>
      </w:r>
    </w:p>
    <w:p w14:paraId="7E66EAA2" w14:textId="77777777" w:rsidR="003D7DAB" w:rsidRPr="002C1356" w:rsidRDefault="003D7DAB" w:rsidP="003D7DAB">
      <w:pPr>
        <w:pStyle w:val="Citao1"/>
        <w:ind w:firstLine="0"/>
      </w:pPr>
      <w:r w:rsidRPr="002C1356">
        <w:t>O mandatário é um protetor com uma consciência, e, o que é talvez o mais importante, ele tem um guardião da sua consciência, e obrigado a conduzir um governo de acordo com os princípios definidos. Dito de outra forma, a nova característica na concepção do mandato é um “trust” que é definido com exatidão e de forma precisa, e supervisionado por uma organização internacional.</w:t>
      </w:r>
    </w:p>
    <w:p w14:paraId="4D44574A" w14:textId="77777777" w:rsidR="003D7DAB" w:rsidRPr="002C1356" w:rsidRDefault="003D7DAB" w:rsidP="003D7DAB">
      <w:pPr>
        <w:pStyle w:val="Citao1"/>
        <w:ind w:firstLine="0"/>
      </w:pPr>
    </w:p>
    <w:p w14:paraId="51D59743"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instituto </w:t>
      </w:r>
      <w:r w:rsidRPr="002C1356">
        <w:rPr>
          <w:rFonts w:ascii="Times New Roman" w:hAnsi="Times New Roman"/>
          <w:i/>
          <w:sz w:val="24"/>
          <w:szCs w:val="24"/>
        </w:rPr>
        <w:t xml:space="preserve">protectorat </w:t>
      </w:r>
      <w:r w:rsidRPr="002C1356">
        <w:rPr>
          <w:rFonts w:ascii="Times New Roman" w:hAnsi="Times New Roman"/>
          <w:sz w:val="24"/>
          <w:szCs w:val="24"/>
        </w:rPr>
        <w:t>(protetorado) do Direito do Império Britânico foi um dos modelos do sistema de mandatos da SDN e pode ser considerado como um dos antecedentes históricos do que viria a ser: a Proteção Internacional dos Direitos Humanos.</w:t>
      </w:r>
    </w:p>
    <w:p w14:paraId="0A18B5F7"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processo colonial realizado em nome da civilização e, em benefício da humanidade, tem continuidade, a novidade histórica é o surgimento de: 1) a concessão de um mandato para uma determinada potência; 2)</w:t>
      </w:r>
      <w:r w:rsidRPr="002C1356">
        <w:rPr>
          <w:rFonts w:ascii="Times New Roman" w:hAnsi="Times New Roman"/>
          <w:b/>
          <w:sz w:val="24"/>
          <w:szCs w:val="24"/>
        </w:rPr>
        <w:t xml:space="preserve"> </w:t>
      </w:r>
      <w:r w:rsidRPr="002C1356">
        <w:rPr>
          <w:rFonts w:ascii="Times New Roman" w:hAnsi="Times New Roman"/>
          <w:sz w:val="24"/>
          <w:szCs w:val="24"/>
        </w:rPr>
        <w:t>a supervisão internacional do mandato por uma comissão de mandatos da SDN.</w:t>
      </w:r>
    </w:p>
    <w:p w14:paraId="15E4BD71" w14:textId="4EC5FA0D" w:rsidR="003D7DAB" w:rsidRPr="002C1356" w:rsidRDefault="003D7DAB" w:rsidP="00647ACF">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Para Susan Pedersen</w:t>
      </w:r>
      <w:r w:rsidRPr="002C1356">
        <w:rPr>
          <w:rStyle w:val="Refdenotaderodap"/>
          <w:rFonts w:ascii="Times New Roman" w:hAnsi="Times New Roman"/>
          <w:sz w:val="24"/>
          <w:szCs w:val="24"/>
        </w:rPr>
        <w:footnoteReference w:id="119"/>
      </w:r>
      <w:r w:rsidRPr="002C1356">
        <w:rPr>
          <w:rFonts w:ascii="Times New Roman" w:hAnsi="Times New Roman"/>
          <w:sz w:val="24"/>
          <w:szCs w:val="24"/>
        </w:rPr>
        <w:t xml:space="preserve"> o artigo 22 foi sempre muito mais retórico do que real,</w:t>
      </w:r>
    </w:p>
    <w:p w14:paraId="03445EB6" w14:textId="77777777" w:rsidR="003D7DAB" w:rsidRPr="002C1356" w:rsidRDefault="003D7DAB" w:rsidP="003D7DAB">
      <w:pPr>
        <w:pStyle w:val="Citao1"/>
        <w:ind w:firstLine="0"/>
      </w:pPr>
      <w:r w:rsidRPr="002C1356">
        <w:t xml:space="preserve">sempre mais um assunto para conversa em Genebra e Londres do que uma prática em Jerusalém ou Lomé. O lado positivo é que por submeter as potências mandatórias a um regular questionamento e proporcionando um mecanismo de petição e protesto, e especialmente por publicar e distribuir seus relatórios, o sistema de mandatos abriu o governo imperial para uma onda incontrolável de escrutínio e conversas. </w:t>
      </w:r>
    </w:p>
    <w:p w14:paraId="70F22A9B"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155968E3"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Para Lafer o tema dos direitos humanos está também contemplado no artigo 23 do Pacto:</w:t>
      </w:r>
      <w:r w:rsidRPr="002C1356">
        <w:rPr>
          <w:rFonts w:ascii="Times New Roman" w:hAnsi="Times New Roman"/>
          <w:i/>
          <w:sz w:val="24"/>
          <w:szCs w:val="24"/>
        </w:rPr>
        <w:t xml:space="preserve"> </w:t>
      </w:r>
    </w:p>
    <w:p w14:paraId="22197826" w14:textId="77777777" w:rsidR="003D7DAB" w:rsidRPr="002C1356" w:rsidRDefault="003D7DAB" w:rsidP="003D7DAB">
      <w:pPr>
        <w:pStyle w:val="Citao1"/>
        <w:ind w:firstLine="0"/>
      </w:pPr>
      <w:r w:rsidRPr="002C1356">
        <w:t xml:space="preserve">(…) Este menciona o tratamento equitativo de populações indígenas e se refere ao tráfico de mulheres e crianças, ao tráfico de ópio e outras drogas nociva e à importância da fiscalização do comércio de armas e munições. Em outras palavras, representa uma abertura ao direito à diversidade e lide com crimes transfronteiras, inserindo na agenda importância da </w:t>
      </w:r>
      <w:r w:rsidRPr="002C1356">
        <w:lastRenderedPageBreak/>
        <w:t>cooperação penal internacional que tem significado para a tutela da dignidade da pessoa humana.</w:t>
      </w:r>
    </w:p>
    <w:p w14:paraId="46231FAC"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4C82E978"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Outras três iniciativas relacionadas a questão dos direitos humanos, que, apesar de não previstos no Pacto, foram encaminhadas pela SDN, vale dizer: a proteção das minorias, a Convenção sobre a escravidão (1926), o diversos organismos relacionados ao tema de refugiados (a ser analisado na Parte II dessa tese).</w:t>
      </w:r>
    </w:p>
    <w:p w14:paraId="55436E38"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proteção das minorias foi viabilizada por meio de uma série de tratados patrocinados pela SDN que visava a proteção de povos minoritários que viviam em uma determinada Nação, diferente da sua, como por exemplo a Polônia que apresentava uma população total de 26.300.000 (vinte e seis milhões e trezentos mil) habitantes sendo: 18.100.00 (dezoito milhões e cem mil) poloneses; 4.000.000 (quatro milhões) de ucranianos; 2.400.000 (dois milhões e quatrocentos mil) judeus; 1.300.000 (um milhão e trezentos mil) bielo-russos e 500.000 (quinhentos mil) alemães. Em um total de 8.200.000 (oito milhões e duzentos mil) alógenos.</w:t>
      </w:r>
      <w:r w:rsidRPr="002C1356">
        <w:rPr>
          <w:rStyle w:val="Refdenotaderodap"/>
          <w:rFonts w:ascii="Times New Roman" w:hAnsi="Times New Roman"/>
          <w:sz w:val="24"/>
          <w:szCs w:val="24"/>
        </w:rPr>
        <w:footnoteReference w:id="120"/>
      </w:r>
      <w:r w:rsidRPr="002C1356">
        <w:rPr>
          <w:rFonts w:ascii="Times New Roman" w:hAnsi="Times New Roman"/>
          <w:sz w:val="24"/>
          <w:szCs w:val="24"/>
        </w:rPr>
        <w:t xml:space="preserve"> Os tratados visavam garantir para os povos minoritários em determinado Estado: 1) a proteção do exercício dos direitos da vida, liberdade, liberdade de religião; 2) garantia de que seriam tratados igualmente sem nenhuma espécie de discriminação baseada raça, religião, nacionalidade; 3) proteção das características essenciais do povo minoritário (raça, religião e língua) contra indesejada assimilação a nacionalidade do Estado nação.</w:t>
      </w:r>
      <w:r w:rsidRPr="002C1356">
        <w:rPr>
          <w:rStyle w:val="Refdenotaderodap"/>
          <w:rFonts w:ascii="Times New Roman" w:hAnsi="Times New Roman"/>
          <w:sz w:val="24"/>
          <w:szCs w:val="24"/>
        </w:rPr>
        <w:footnoteReference w:id="121"/>
      </w:r>
      <w:r w:rsidRPr="002C1356">
        <w:rPr>
          <w:rFonts w:ascii="Times New Roman" w:hAnsi="Times New Roman"/>
          <w:sz w:val="24"/>
          <w:szCs w:val="24"/>
        </w:rPr>
        <w:t xml:space="preserve"> O sistema de proteção das minorias funcionou adequadamente durante a primeira década da SDN, mas acabou fracassando.</w:t>
      </w:r>
      <w:r w:rsidRPr="002C1356">
        <w:rPr>
          <w:rStyle w:val="Refdenotaderodap"/>
          <w:rFonts w:ascii="Times New Roman" w:hAnsi="Times New Roman"/>
          <w:sz w:val="24"/>
          <w:szCs w:val="24"/>
        </w:rPr>
        <w:footnoteReference w:id="122"/>
      </w:r>
    </w:p>
    <w:p w14:paraId="16E83B14"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A Convenção sobre a Escravidão foi assinada em 26 de novembro de 1926 e, até 1937, vinte e nove Estados haviam ratificado o instrumento. A convenção não obriga os Estados abolirem a escravidão de forma imediata, mas que “trabalhem na perspectiva da abolição da escravidão”.</w:t>
      </w:r>
      <w:r w:rsidRPr="002C1356">
        <w:rPr>
          <w:rStyle w:val="Refdenotaderodap"/>
          <w:rFonts w:ascii="Times New Roman" w:hAnsi="Times New Roman"/>
          <w:sz w:val="24"/>
          <w:szCs w:val="24"/>
        </w:rPr>
        <w:footnoteReference w:id="123"/>
      </w:r>
      <w:r w:rsidRPr="002C1356">
        <w:rPr>
          <w:rFonts w:ascii="Times New Roman" w:hAnsi="Times New Roman"/>
          <w:sz w:val="24"/>
          <w:szCs w:val="24"/>
        </w:rPr>
        <w:t xml:space="preserve"> Uma comissão de experts foi criada pela Convenção, referida comissão realizou apenas uma visita </w:t>
      </w:r>
      <w:r w:rsidRPr="002C1356">
        <w:rPr>
          <w:rFonts w:ascii="Times New Roman" w:hAnsi="Times New Roman"/>
          <w:i/>
          <w:sz w:val="24"/>
          <w:szCs w:val="24"/>
        </w:rPr>
        <w:t xml:space="preserve">in loco </w:t>
      </w:r>
      <w:r w:rsidRPr="002C1356">
        <w:rPr>
          <w:rFonts w:ascii="Times New Roman" w:hAnsi="Times New Roman"/>
          <w:sz w:val="24"/>
          <w:szCs w:val="24"/>
        </w:rPr>
        <w:t>a Libéria. No relatório da comissão foi feita uma recomendação que ilustra a mentalidade da época: “descobrir que seu lugar na comunidade de nações está comprometido”.</w:t>
      </w:r>
      <w:r w:rsidRPr="002C1356">
        <w:rPr>
          <w:rStyle w:val="Refdenotaderodap"/>
          <w:rFonts w:ascii="Times New Roman" w:hAnsi="Times New Roman"/>
          <w:sz w:val="24"/>
          <w:szCs w:val="24"/>
        </w:rPr>
        <w:footnoteReference w:id="124"/>
      </w:r>
    </w:p>
    <w:p w14:paraId="662F34D9"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que é importante ter em mente é que os temas de direitos humanos sejam aqueles previstos no Pacto ou no trabalho posterior da SDN não se dirigem as pessoas, mas têm </w:t>
      </w:r>
      <w:r w:rsidRPr="002C1356">
        <w:rPr>
          <w:rFonts w:ascii="Times New Roman" w:hAnsi="Times New Roman"/>
          <w:sz w:val="24"/>
          <w:szCs w:val="24"/>
        </w:rPr>
        <w:lastRenderedPageBreak/>
        <w:t>como único destinatário os Estados estabelecendo obrigações ou recomendações. As pessoas não são qualificadas enquanto sujeitos de Direito mas objetos de proteção estatal.</w:t>
      </w:r>
    </w:p>
    <w:p w14:paraId="3C0B46B8" w14:textId="4EAD1FE2"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No próximo item, que inicia a segunda parte desse estudo, será analisado o surgimento da pessoa no Direito Internacional Público, o que foi possível graças a Declaração Universal dos Direitos Humanos (1948).</w:t>
      </w:r>
    </w:p>
    <w:p w14:paraId="62ACF146" w14:textId="77777777" w:rsidR="003D7DAB" w:rsidRPr="002C1356" w:rsidRDefault="003D7DAB">
      <w:pPr>
        <w:rPr>
          <w:rFonts w:ascii="Times New Roman" w:hAnsi="Times New Roman"/>
          <w:sz w:val="24"/>
          <w:szCs w:val="24"/>
        </w:rPr>
      </w:pPr>
      <w:r w:rsidRPr="002C1356">
        <w:rPr>
          <w:rFonts w:ascii="Times New Roman" w:hAnsi="Times New Roman"/>
          <w:sz w:val="24"/>
          <w:szCs w:val="24"/>
        </w:rPr>
        <w:br w:type="page"/>
      </w:r>
    </w:p>
    <w:p w14:paraId="1FB0F1E8" w14:textId="77777777" w:rsidR="003D7DAB" w:rsidRPr="002C1356" w:rsidRDefault="003D7DAB" w:rsidP="00EE6EF5">
      <w:pPr>
        <w:spacing w:line="360" w:lineRule="auto"/>
        <w:contextualSpacing/>
        <w:jc w:val="both"/>
        <w:rPr>
          <w:rFonts w:ascii="Times New Roman" w:hAnsi="Times New Roman"/>
          <w:b/>
          <w:sz w:val="24"/>
          <w:szCs w:val="24"/>
        </w:rPr>
      </w:pPr>
      <w:r w:rsidRPr="002C1356">
        <w:rPr>
          <w:rFonts w:ascii="Times New Roman" w:hAnsi="Times New Roman"/>
          <w:b/>
          <w:sz w:val="24"/>
          <w:szCs w:val="24"/>
        </w:rPr>
        <w:lastRenderedPageBreak/>
        <w:t xml:space="preserve">Parte II </w:t>
      </w:r>
      <w:bookmarkStart w:id="4" w:name="_Hlk494219795"/>
      <w:r w:rsidRPr="002C1356">
        <w:rPr>
          <w:rFonts w:ascii="Times New Roman" w:hAnsi="Times New Roman"/>
          <w:b/>
          <w:sz w:val="24"/>
          <w:szCs w:val="24"/>
        </w:rPr>
        <w:t xml:space="preserve">Emergência do Sujeito de Direito nas três vertentes da Proteção Internacional dos Direitos da Pessoa Humana </w:t>
      </w:r>
    </w:p>
    <w:bookmarkEnd w:id="4"/>
    <w:p w14:paraId="623D2533" w14:textId="77777777" w:rsidR="003D7DAB" w:rsidRPr="002C1356" w:rsidRDefault="003D7DAB" w:rsidP="00A931C3">
      <w:pPr>
        <w:pStyle w:val="citao"/>
        <w:spacing w:line="360" w:lineRule="auto"/>
        <w:ind w:left="2126"/>
        <w:contextualSpacing/>
      </w:pPr>
      <w:r w:rsidRPr="002C1356">
        <w:t>(...) Sabíamos que as pessoas estavam mortas quando deixavam de gritar. Normalmente, esperávamos uma meia hora antes de abrir e retirar os corpos. Depois de retirar os corpos da câmara de gás, os nossos comandos especiais recolhiam os anéis e extraiam os dentes de ouro dos cadáveres. Uma outra melhoria em relação à Teblinka eram as nossa câmaras de gás, prontas para receber 2000 pessoas de cada vez.</w:t>
      </w:r>
      <w:r w:rsidRPr="002C1356">
        <w:rPr>
          <w:vertAlign w:val="superscript"/>
        </w:rPr>
        <w:footnoteReference w:id="125"/>
      </w:r>
      <w:r w:rsidRPr="002C1356">
        <w:t xml:space="preserve">  </w:t>
      </w:r>
    </w:p>
    <w:p w14:paraId="5EC90026"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trecho é parte do depoimento de Rudolph Hess (1894-1987), responsável por Auschwitz, observando as vantagens do seu campo de concentração em relação a Treblinka. A ausência de qualquer traço de sentimento de compaixão é ilustrativa do que foi conhecido como a indústria da morte. </w:t>
      </w:r>
    </w:p>
    <w:p w14:paraId="60179DDA"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O campo de concentração é o fenômeno histórico crucial para o conhecimento do totalitarismo. Deixa de estar presente a clássica divisão entre governantes e governados, governantes que têm deveres em relação aos governados, e governados com direitos em relação a governantes. O que existiu foi uma máquina de terror cujo objetivo central era a eliminação de seres humanos. Imperando a ausência de todo e qualquer critério de moralidade. </w:t>
      </w:r>
    </w:p>
    <w:p w14:paraId="050F8B31"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Nessa perspectiva, o totalitarismo, por considerar a pessoa um objeto descartável, e estabelecer uma forma até então inédita de exercício de poder, deve ser considerado um evento de ruptura. Nas palavras de Aduz Lafer:</w:t>
      </w:r>
      <w:r w:rsidRPr="002C1356">
        <w:rPr>
          <w:rStyle w:val="Refdenotaderodap"/>
          <w:rFonts w:ascii="Times New Roman" w:hAnsi="Times New Roman"/>
          <w:sz w:val="24"/>
          <w:szCs w:val="24"/>
        </w:rPr>
        <w:footnoteReference w:id="126"/>
      </w:r>
      <w:r w:rsidRPr="002C1356">
        <w:rPr>
          <w:rFonts w:ascii="Times New Roman" w:hAnsi="Times New Roman"/>
          <w:sz w:val="24"/>
          <w:szCs w:val="24"/>
        </w:rPr>
        <w:t xml:space="preserve"> </w:t>
      </w:r>
    </w:p>
    <w:p w14:paraId="405B85DB" w14:textId="77777777" w:rsidR="003D7DAB" w:rsidRPr="002C1356" w:rsidRDefault="003D7DAB" w:rsidP="00A931C3">
      <w:pPr>
        <w:pStyle w:val="citao"/>
        <w:spacing w:line="360" w:lineRule="auto"/>
        <w:ind w:left="2126"/>
      </w:pPr>
      <w:r w:rsidRPr="002C1356">
        <w:t>A ruptura tem como marco definitivo o totalitarismo enquanto forma de governo e dominação baseada no terror e na ideologia, cujo ineditismo as categorias clássicas do pensamento político não captam e cujos crimes não podem ser julgados pelos padrões morais usuais, nem punidos dentro do quadro de referência dos sistemas jurídicos tradicionais.</w:t>
      </w:r>
    </w:p>
    <w:p w14:paraId="7D75A28A" w14:textId="77777777" w:rsidR="00A24AED"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DUDH tem como um de seus objetivos principais dar uma resposta no âmbito do Direito ao totalitarismo. A fim de atingir esse desiderato, o Direito Internacional, a partir de 1945, conheceu uma mudança radical com a proibição do uso da força (Carta da </w:t>
      </w:r>
      <w:r w:rsidRPr="002C1356">
        <w:rPr>
          <w:rFonts w:ascii="Times New Roman" w:hAnsi="Times New Roman"/>
          <w:sz w:val="24"/>
          <w:szCs w:val="24"/>
        </w:rPr>
        <w:lastRenderedPageBreak/>
        <w:t>ONU) e, posteriormente, a concretização do valor da dignidade da pessoa humana, o que foi concretizado, de forma explícita, tanto no preâmbulo da Carta da ONU como no artigo 1 da DUDH. Referidas normas fizeram surgir, de forma até então inédita, o tema da proteção da pessoa humana no âmbito do Direito Internacional Público.</w:t>
      </w:r>
    </w:p>
    <w:p w14:paraId="122AFF19" w14:textId="24E9942D"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 </w:t>
      </w:r>
    </w:p>
    <w:p w14:paraId="25ECEB07" w14:textId="77777777" w:rsidR="003D7DAB" w:rsidRPr="002C1356" w:rsidRDefault="003D7DAB" w:rsidP="003D7DAB">
      <w:pPr>
        <w:spacing w:after="0" w:line="360" w:lineRule="auto"/>
        <w:ind w:left="708"/>
        <w:contextualSpacing/>
        <w:jc w:val="both"/>
        <w:rPr>
          <w:rFonts w:ascii="Times New Roman" w:hAnsi="Times New Roman"/>
          <w:b/>
          <w:sz w:val="24"/>
          <w:szCs w:val="24"/>
        </w:rPr>
      </w:pPr>
      <w:r w:rsidRPr="002C1356">
        <w:rPr>
          <w:rFonts w:ascii="Times New Roman" w:hAnsi="Times New Roman"/>
          <w:b/>
          <w:sz w:val="24"/>
          <w:szCs w:val="24"/>
        </w:rPr>
        <w:t xml:space="preserve">2.1) Histórico da Proteção da Pessoa Humana no Direito Internacional </w:t>
      </w:r>
    </w:p>
    <w:p w14:paraId="0D0120E5" w14:textId="77777777" w:rsidR="003D7DAB" w:rsidRPr="002C1356" w:rsidRDefault="003D7DAB" w:rsidP="003D7DAB">
      <w:pPr>
        <w:spacing w:line="360" w:lineRule="auto"/>
        <w:ind w:firstLine="708"/>
        <w:contextualSpacing/>
        <w:jc w:val="both"/>
        <w:rPr>
          <w:rFonts w:ascii="Times New Roman" w:hAnsi="Times New Roman"/>
          <w:sz w:val="24"/>
          <w:szCs w:val="24"/>
        </w:rPr>
      </w:pPr>
    </w:p>
    <w:p w14:paraId="7F57B140" w14:textId="77777777"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segundo fenômeno de ruptura do século XX ocorreu, no dia 6 de agosto de 1945, ocasião na qual o avião B-29 Enola Gay lançou a primeira bomba atômica sob a cidade japonesa de Hiroshima. Resultado: 78.000 (setenta e oito mil) mortos em um milionésimo de segundo. Imediatamente após esse acontecimento, a Casa Branca informa o Japão que na hipótese do não anúncio de sua rendição: “they may expect a rain of ruin from the air”. A rendição japonesa não é anunciada e, no dia 9 de agosto de 1945, outro avião B-29 ataca com uma nova bomba atômica a cidade de Nagasaki, exterminando 25.000 (vinte e cinco mil) pessoas. </w:t>
      </w:r>
    </w:p>
    <w:p w14:paraId="6237F010" w14:textId="2F4CFCDD" w:rsidR="003D7DAB" w:rsidRPr="002C1356" w:rsidRDefault="003D7DAB" w:rsidP="003D7DAB">
      <w:pPr>
        <w:spacing w:line="360" w:lineRule="auto"/>
        <w:ind w:firstLine="708"/>
        <w:contextualSpacing/>
        <w:jc w:val="both"/>
        <w:rPr>
          <w:rFonts w:ascii="Times New Roman" w:hAnsi="Times New Roman"/>
          <w:sz w:val="24"/>
          <w:szCs w:val="24"/>
        </w:rPr>
      </w:pPr>
      <w:r w:rsidRPr="002C1356">
        <w:rPr>
          <w:rFonts w:ascii="Times New Roman" w:hAnsi="Times New Roman"/>
          <w:sz w:val="24"/>
          <w:szCs w:val="24"/>
        </w:rPr>
        <w:t>O final da Segunda Guerra Mundial é concomitante ao início da era nuclear. Um tempo – que até hoje perdura – no qual a possibilidade de destruição pla</w:t>
      </w:r>
      <w:r w:rsidR="00C619DE">
        <w:rPr>
          <w:rFonts w:ascii="Times New Roman" w:hAnsi="Times New Roman"/>
          <w:sz w:val="24"/>
          <w:szCs w:val="24"/>
        </w:rPr>
        <w:t xml:space="preserve">netária é inquestionável. É de </w:t>
      </w:r>
      <w:r w:rsidRPr="002C1356">
        <w:rPr>
          <w:rFonts w:ascii="Times New Roman" w:hAnsi="Times New Roman"/>
          <w:sz w:val="24"/>
          <w:szCs w:val="24"/>
        </w:rPr>
        <w:t>Bobbio</w:t>
      </w:r>
      <w:r w:rsidRPr="002C1356">
        <w:rPr>
          <w:rStyle w:val="Refdenotaderodap"/>
          <w:rFonts w:ascii="Times New Roman" w:hAnsi="Times New Roman"/>
          <w:sz w:val="24"/>
          <w:szCs w:val="24"/>
        </w:rPr>
        <w:footnoteReference w:id="127"/>
      </w:r>
      <w:r w:rsidRPr="002C1356">
        <w:rPr>
          <w:rFonts w:ascii="Times New Roman" w:hAnsi="Times New Roman"/>
          <w:sz w:val="24"/>
          <w:szCs w:val="24"/>
        </w:rPr>
        <w:t xml:space="preserve"> o seguinte comentário: “O ineditismo da situação atual no qual se encontra a humanidade diante da ameaça da guerra atômica é tão radical, tão perturbador, que coloca em crise todas as respostas dadas no passado à pergunta sobre o sentido da guerra (...)”.</w:t>
      </w:r>
    </w:p>
    <w:p w14:paraId="170193EB" w14:textId="77777777" w:rsidR="003D7DAB" w:rsidRPr="002C1356" w:rsidRDefault="003D7DAB" w:rsidP="003D7DAB">
      <w:pPr>
        <w:spacing w:line="360" w:lineRule="auto"/>
        <w:ind w:firstLine="708"/>
        <w:contextualSpacing/>
        <w:jc w:val="both"/>
        <w:rPr>
          <w:rFonts w:ascii="Times New Roman" w:hAnsi="Times New Roman"/>
          <w:i/>
          <w:sz w:val="24"/>
          <w:szCs w:val="24"/>
        </w:rPr>
      </w:pPr>
      <w:r w:rsidRPr="002C1356">
        <w:rPr>
          <w:rFonts w:ascii="Times New Roman" w:hAnsi="Times New Roman"/>
          <w:sz w:val="24"/>
          <w:szCs w:val="24"/>
        </w:rPr>
        <w:t xml:space="preserve">A possibilidade do conflito termonuclear transforma o próprio conceito de guerra. Quanto a esse aspecto a Guerra Fria (1945-1991) é um exemplo dessa afirmação, uma vez que foi um conflito que não teve nenhuma batalha concreta; todavia, possibilitou o armazenamento de armamentos atômicos que possibilitavam a destruição do planeta terra, centenas de vezes. </w:t>
      </w:r>
    </w:p>
    <w:p w14:paraId="32946CBF"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Durante séculos, a guerra enquanto método violento de resolução de conflitos foi considerada pelo Direito como uma forma válida de resolução de conflitos.</w:t>
      </w:r>
      <w:r w:rsidRPr="002C1356">
        <w:rPr>
          <w:rStyle w:val="Refdenotaderodap"/>
          <w:rFonts w:ascii="Times New Roman" w:hAnsi="Times New Roman"/>
          <w:sz w:val="24"/>
          <w:szCs w:val="24"/>
        </w:rPr>
        <w:footnoteReference w:id="128"/>
      </w:r>
      <w:r w:rsidRPr="002C1356">
        <w:rPr>
          <w:rFonts w:ascii="Times New Roman" w:hAnsi="Times New Roman"/>
          <w:sz w:val="24"/>
          <w:szCs w:val="24"/>
        </w:rPr>
        <w:t xml:space="preserve"> No âmbito internacional o percurso histórico do surgimento da “norma proibitiva de guerra” (1919-1945) é ilustrativo tanto da aceitação de métodos violentos de resolução de conflitos como da dificuldade de implementação de métodos não violentos para a solução de </w:t>
      </w:r>
      <w:r w:rsidRPr="002C1356">
        <w:rPr>
          <w:rFonts w:ascii="Times New Roman" w:hAnsi="Times New Roman"/>
          <w:sz w:val="24"/>
          <w:szCs w:val="24"/>
        </w:rPr>
        <w:lastRenderedPageBreak/>
        <w:t>controvérsias. Foi, apenas e tão somente, com a assinatura da Carta de São Francisco (26 de junho de 1945) que a proibição do uso da força surge como norma do direito internacional.</w:t>
      </w:r>
      <w:r w:rsidRPr="002C1356">
        <w:rPr>
          <w:rStyle w:val="Refdenotaderodap"/>
          <w:rFonts w:ascii="Times New Roman" w:hAnsi="Times New Roman"/>
          <w:sz w:val="24"/>
          <w:szCs w:val="24"/>
        </w:rPr>
        <w:footnoteReference w:id="129"/>
      </w:r>
    </w:p>
    <w:p w14:paraId="031CB514"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estabelecimento da ONU não inviabilizou a Guerra Fria, mas tornou possível a plena internacionalização dos direitos humanos. A memória – de forma sintética – do surgimento da ONU é imprescindível para a compreensão da DUDH.</w:t>
      </w:r>
      <w:r w:rsidRPr="002C1356">
        <w:rPr>
          <w:rStyle w:val="Refdenotaderodap"/>
          <w:rFonts w:ascii="Times New Roman" w:hAnsi="Times New Roman"/>
          <w:sz w:val="24"/>
          <w:szCs w:val="24"/>
        </w:rPr>
        <w:footnoteReference w:id="130"/>
      </w:r>
    </w:p>
    <w:p w14:paraId="7F5B83FF"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Antes do final da Segunda Guerra Mundial, em 6 de janeiro de 1941, o presidente dos Estados Unidos Franklin Roosevelt pronunciou um discurso para o Congresso norte-americano no qual afirmou a importância, para a comunidade internacional futura, de quatro liberdades: 1)</w:t>
      </w:r>
      <w:r w:rsidRPr="002C1356">
        <w:rPr>
          <w:rFonts w:ascii="Times New Roman" w:hAnsi="Times New Roman"/>
          <w:b/>
          <w:sz w:val="24"/>
          <w:szCs w:val="24"/>
        </w:rPr>
        <w:t xml:space="preserve"> </w:t>
      </w:r>
      <w:r w:rsidRPr="002C1356">
        <w:rPr>
          <w:rFonts w:ascii="Times New Roman" w:hAnsi="Times New Roman"/>
          <w:sz w:val="24"/>
          <w:szCs w:val="24"/>
        </w:rPr>
        <w:t>liberdade da palavra e expressão; 2)</w:t>
      </w:r>
      <w:r w:rsidRPr="002C1356">
        <w:rPr>
          <w:rFonts w:ascii="Times New Roman" w:hAnsi="Times New Roman"/>
          <w:b/>
          <w:sz w:val="24"/>
          <w:szCs w:val="24"/>
        </w:rPr>
        <w:t xml:space="preserve"> </w:t>
      </w:r>
      <w:r w:rsidRPr="002C1356">
        <w:rPr>
          <w:rFonts w:ascii="Times New Roman" w:hAnsi="Times New Roman"/>
          <w:sz w:val="24"/>
          <w:szCs w:val="24"/>
        </w:rPr>
        <w:t>liberdade de religião; 3)</w:t>
      </w:r>
      <w:r w:rsidRPr="002C1356">
        <w:rPr>
          <w:rFonts w:ascii="Times New Roman" w:hAnsi="Times New Roman"/>
          <w:b/>
          <w:sz w:val="24"/>
          <w:szCs w:val="24"/>
        </w:rPr>
        <w:t xml:space="preserve"> </w:t>
      </w:r>
      <w:r w:rsidRPr="002C1356">
        <w:rPr>
          <w:rFonts w:ascii="Times New Roman" w:hAnsi="Times New Roman"/>
          <w:sz w:val="24"/>
          <w:szCs w:val="24"/>
        </w:rPr>
        <w:t>liberdade de viver ao abrigo da necessidade e 4)</w:t>
      </w:r>
      <w:r w:rsidRPr="002C1356">
        <w:rPr>
          <w:rFonts w:ascii="Times New Roman" w:hAnsi="Times New Roman"/>
          <w:b/>
          <w:sz w:val="24"/>
          <w:szCs w:val="24"/>
        </w:rPr>
        <w:t xml:space="preserve"> </w:t>
      </w:r>
      <w:r w:rsidRPr="002C1356">
        <w:rPr>
          <w:rFonts w:ascii="Times New Roman" w:hAnsi="Times New Roman"/>
          <w:sz w:val="24"/>
          <w:szCs w:val="24"/>
        </w:rPr>
        <w:t xml:space="preserve">liberdade de viver sem medo. As duas últimas liberdades foram reafirmadas na Carta do Atlântico (agosto de 1941), aprovadas por Roosevelt e Churchil, que delineava uma proposta para uma nova comunidade internacional. No ano seguinte (1º de janeiro de 1942) a Declaração das Nações Unidas é assinada pelos representantes de vinte e seis países em guerra contra as potências do Eixo (Alemanha, Itália e Japão), na qual são afirmadas posturas favoráveis à proteção dos direitos humanos, em seus respectivos países e na comunidade internacional. De agosto a outubro de 1944, na Conferência de Dumbarton Oaks, dá-se a elaboração, por parte dos EUA, da Grã-Bretanha, União Soviética e China, do documento que serviu de base para Carta de São Francisco. </w:t>
      </w:r>
    </w:p>
    <w:p w14:paraId="63878C54" w14:textId="2EB5C501" w:rsidR="003D7DAB" w:rsidRPr="002C1356"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tema dos direitos humanos não constou do documento final de Dumbarton Oaks porque os quatro países tinham problemas referentes a esse tema: </w:t>
      </w:r>
    </w:p>
    <w:p w14:paraId="621F62AE" w14:textId="77777777" w:rsidR="003D7DAB" w:rsidRPr="002C1356" w:rsidRDefault="003D7DAB" w:rsidP="00A931C3">
      <w:pPr>
        <w:pStyle w:val="citao"/>
        <w:spacing w:line="360" w:lineRule="auto"/>
        <w:ind w:left="2126"/>
        <w:rPr>
          <w:b/>
        </w:rPr>
      </w:pPr>
      <w:r w:rsidRPr="002C1356">
        <w:t xml:space="preserve">Os EUA viviam ainda os problemas legais da discriminação racial que, sobretudo no sul do país, vitimava a população negra; a Grã-Bretanha ainda era um império colonial; e a União Soviética de Stálin carregava a sombria realidade dos seus </w:t>
      </w:r>
      <w:r w:rsidRPr="002C1356">
        <w:rPr>
          <w:b/>
        </w:rPr>
        <w:t>gulags</w:t>
      </w:r>
      <w:r w:rsidRPr="002C1356">
        <w:t>.</w:t>
      </w:r>
      <w:r w:rsidRPr="002C1356">
        <w:rPr>
          <w:rStyle w:val="Refdenotaderodap"/>
          <w:sz w:val="24"/>
        </w:rPr>
        <w:footnoteReference w:id="131"/>
      </w:r>
    </w:p>
    <w:p w14:paraId="6919AA30"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Carta de São Francisco foi finalmente aberta à assinatura no dia 26 de junho de 1945, e a Organização das Nações Unidas passou a existir oficialmente no dia 24 de outubro de 1945 com um total de cinquenta e um países como membros fundadores, entre eles o Brasil.</w:t>
      </w:r>
    </w:p>
    <w:p w14:paraId="3E472DCD" w14:textId="0E537C00" w:rsidR="003D7DAB" w:rsidRPr="002C1356"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Logo no seu preâmbulo, uma narrativa, afirmou-se:</w:t>
      </w:r>
    </w:p>
    <w:p w14:paraId="4BB4F5F3" w14:textId="77777777" w:rsidR="003D7DAB" w:rsidRPr="002C1356" w:rsidRDefault="003D7DAB" w:rsidP="00A931C3">
      <w:pPr>
        <w:pStyle w:val="citao"/>
        <w:spacing w:line="360" w:lineRule="auto"/>
        <w:ind w:left="2126"/>
      </w:pPr>
      <w:r w:rsidRPr="002C1356">
        <w:t xml:space="preserve">Nós, os povos das Nações Unidas, resolvidos a preservar as gerações vindouras do flagelo da guerra, que por duas vezes, no espaço da nossa vida, trouxe sofrimentos indizíveis à humanidade, e a reafirmar a fé nos direitos fundamentais do homem, na dignidade e no valor do ser humano, na igualdade de direitos de homens e mulheres, assim como das nações grandes e pequenas (…). </w:t>
      </w:r>
    </w:p>
    <w:p w14:paraId="784C5B5E" w14:textId="77777777" w:rsidR="003D7DAB" w:rsidRPr="002C1356" w:rsidRDefault="003D7DAB" w:rsidP="003D7DAB">
      <w:pPr>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Uma vez constituída a ONU, faltava a ela uma carta de direitos, embora o princípio da igualdade, dignidade e não discriminação estivesse presente. A Carta da ONU fez a previsão da “</w:t>
      </w:r>
      <w:r w:rsidRPr="002C1356">
        <w:rPr>
          <w:rFonts w:ascii="Times New Roman" w:hAnsi="Times New Roman"/>
          <w:b/>
          <w:sz w:val="24"/>
          <w:szCs w:val="24"/>
        </w:rPr>
        <w:t>vis directiva</w:t>
      </w:r>
      <w:r w:rsidRPr="002C1356">
        <w:rPr>
          <w:rFonts w:ascii="Times New Roman" w:hAnsi="Times New Roman"/>
          <w:sz w:val="24"/>
          <w:szCs w:val="24"/>
        </w:rPr>
        <w:t xml:space="preserve"> da função promocional dos direitos humanos, que teria como </w:t>
      </w:r>
      <w:r w:rsidRPr="002C1356">
        <w:rPr>
          <w:rFonts w:ascii="Times New Roman" w:hAnsi="Times New Roman"/>
          <w:b/>
          <w:sz w:val="24"/>
          <w:szCs w:val="24"/>
        </w:rPr>
        <w:t xml:space="preserve">locus </w:t>
      </w:r>
      <w:r w:rsidRPr="002C1356">
        <w:rPr>
          <w:rFonts w:ascii="Times New Roman" w:hAnsi="Times New Roman"/>
          <w:sz w:val="24"/>
          <w:szCs w:val="24"/>
        </w:rPr>
        <w:t xml:space="preserve">a própria ONU, (…) A Declaração Universal de 1948 é a primeira e admirável expressão desta </w:t>
      </w:r>
      <w:r w:rsidRPr="002C1356">
        <w:rPr>
          <w:rFonts w:ascii="Times New Roman" w:hAnsi="Times New Roman"/>
          <w:b/>
          <w:sz w:val="24"/>
          <w:szCs w:val="24"/>
        </w:rPr>
        <w:t xml:space="preserve">vis directiva, </w:t>
      </w:r>
      <w:r w:rsidRPr="002C1356">
        <w:rPr>
          <w:rFonts w:ascii="Times New Roman" w:hAnsi="Times New Roman"/>
          <w:sz w:val="24"/>
          <w:szCs w:val="24"/>
        </w:rPr>
        <w:t>harmonizada no seio da ONU”.</w:t>
      </w:r>
      <w:r w:rsidRPr="002C1356">
        <w:rPr>
          <w:rStyle w:val="Refdenotaderodap"/>
          <w:rFonts w:ascii="Times New Roman" w:hAnsi="Times New Roman"/>
          <w:sz w:val="24"/>
          <w:szCs w:val="24"/>
        </w:rPr>
        <w:footnoteReference w:id="132"/>
      </w:r>
    </w:p>
    <w:p w14:paraId="245A1B2A"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Por meio da resolução 1503, em 16 de fevereiro de 1946, o Conselho Econômico e Social (ECOSOC) atribui um mandato a Comissão de Direitos Humanos que, logo na sua primeira sessão plenária janeiro/fevereiro 1947, estabeleceu um grupo de trabalho com o objetivo de redigir uma minuta da Declaração tomando como base um modelo fornecido pelo secretariado da ONU.</w:t>
      </w:r>
    </w:p>
    <w:p w14:paraId="2FD0D108" w14:textId="77777777" w:rsidR="003D7DAB" w:rsidRPr="002C1356" w:rsidRDefault="003D7DAB" w:rsidP="003D7DAB">
      <w:pPr>
        <w:spacing w:after="0" w:line="360" w:lineRule="auto"/>
        <w:ind w:firstLine="708"/>
        <w:contextualSpacing/>
        <w:jc w:val="both"/>
        <w:rPr>
          <w:rFonts w:ascii="Times New Roman" w:hAnsi="Times New Roman"/>
          <w:b/>
          <w:sz w:val="24"/>
          <w:szCs w:val="24"/>
        </w:rPr>
      </w:pPr>
    </w:p>
    <w:p w14:paraId="78EFF146" w14:textId="496EE42E" w:rsidR="003D7DAB" w:rsidRPr="002C1356" w:rsidRDefault="003D7DAB" w:rsidP="003D7DAB">
      <w:pPr>
        <w:spacing w:after="0" w:line="360" w:lineRule="auto"/>
        <w:ind w:firstLine="708"/>
        <w:contextualSpacing/>
        <w:jc w:val="both"/>
        <w:rPr>
          <w:rFonts w:ascii="Times New Roman" w:hAnsi="Times New Roman"/>
          <w:b/>
          <w:sz w:val="24"/>
          <w:szCs w:val="24"/>
        </w:rPr>
      </w:pPr>
      <w:r w:rsidRPr="002C1356">
        <w:rPr>
          <w:rFonts w:ascii="Times New Roman" w:hAnsi="Times New Roman"/>
          <w:b/>
          <w:sz w:val="24"/>
          <w:szCs w:val="24"/>
        </w:rPr>
        <w:t>2.1.1) Declaração dos Direitos Internacionais do Homem (1929)</w:t>
      </w:r>
      <w:r w:rsidR="00C619DE">
        <w:rPr>
          <w:rFonts w:ascii="Times New Roman" w:hAnsi="Times New Roman"/>
          <w:b/>
          <w:sz w:val="24"/>
          <w:szCs w:val="24"/>
        </w:rPr>
        <w:t xml:space="preserve">, o caso Franz Bernheim (1933) </w:t>
      </w:r>
      <w:r w:rsidRPr="002C1356">
        <w:rPr>
          <w:rFonts w:ascii="Times New Roman" w:hAnsi="Times New Roman"/>
          <w:b/>
          <w:sz w:val="24"/>
          <w:szCs w:val="24"/>
        </w:rPr>
        <w:t>e a proteção universal dos Direitos Humanos</w:t>
      </w:r>
    </w:p>
    <w:p w14:paraId="280814AD" w14:textId="77777777" w:rsidR="003D7DAB" w:rsidRPr="002C1356" w:rsidRDefault="003D7DAB" w:rsidP="003D7DAB">
      <w:pPr>
        <w:spacing w:after="0" w:line="360" w:lineRule="auto"/>
        <w:ind w:firstLine="708"/>
        <w:contextualSpacing/>
        <w:jc w:val="both"/>
        <w:rPr>
          <w:rFonts w:ascii="Times New Roman" w:hAnsi="Times New Roman"/>
          <w:i/>
          <w:sz w:val="24"/>
          <w:szCs w:val="24"/>
        </w:rPr>
      </w:pPr>
    </w:p>
    <w:p w14:paraId="590DE944"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ano de 1945 não foi um ano zero para os internacionalistas: as raízes da ONU estavam muito mais firmemente plantadas no passado do que seus fundadores sentiram que seria vantajoso admitir.”</w:t>
      </w:r>
      <w:r w:rsidRPr="002C1356">
        <w:rPr>
          <w:rStyle w:val="Refdenotaderodap"/>
          <w:rFonts w:ascii="Times New Roman" w:hAnsi="Times New Roman"/>
          <w:sz w:val="24"/>
          <w:szCs w:val="24"/>
        </w:rPr>
        <w:footnoteReference w:id="133"/>
      </w:r>
    </w:p>
    <w:p w14:paraId="6A6265D3" w14:textId="5FBF083B" w:rsidR="003D7DAB" w:rsidRPr="00647ACF"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Lafer ao comentar o processo de afirmação dos direitos humanos no âmbito internacional afirma:  </w:t>
      </w:r>
    </w:p>
    <w:p w14:paraId="5BE9369A" w14:textId="77777777" w:rsidR="003D7DAB" w:rsidRPr="002C1356" w:rsidRDefault="003D7DAB" w:rsidP="00A931C3">
      <w:pPr>
        <w:pStyle w:val="citao"/>
        <w:spacing w:line="360" w:lineRule="auto"/>
        <w:ind w:left="2126"/>
      </w:pPr>
      <w:r w:rsidRPr="002C1356">
        <w:t>Não se trata, em síntese, de um processo linear. Está sujeito a descontinuidades. Requer tempos longos. Enfrenta as seletividades políticas dos interesses da “razão de Estado”, interesses que são discricionários na avaliação e no peso atribuído ao descumprimento de normas por distintos países.</w:t>
      </w:r>
    </w:p>
    <w:p w14:paraId="1CE0A1D1"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Essa visão é corroborada por fatos históricos anteriores à elaboração da DUDH. Citarei dois eventos que auxiliam a elucidar a nomogênese da DUDH. O primeiro é a Declaração dos Direitos Internacionais do Homem, de 12 de outubro de 1929, e o segundo, a petição de Franz Bernheim (1889-1990) apresentada à SDN em 17 de maio de 1933.</w:t>
      </w:r>
    </w:p>
    <w:p w14:paraId="70AC89AB"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declaração em tela teve como o seu principal mentor o jurista russo André Nicolayévitch Mandelstam (1869-1949), diplomata durante o regime czarista e consultor jurídico do Ministério de Relações Exteriores da Rússia quando da Revolução de 1917. Temendo ser perseguido pelos bolcheviques, exilou-se em Paris, onde dedicou-se ao ensino e à pesquisa do Direito Internacional.</w:t>
      </w:r>
      <w:r w:rsidRPr="002C1356">
        <w:rPr>
          <w:rStyle w:val="Refdenotaderodap"/>
          <w:rFonts w:ascii="Times New Roman" w:hAnsi="Times New Roman"/>
          <w:sz w:val="24"/>
          <w:szCs w:val="24"/>
        </w:rPr>
        <w:footnoteReference w:id="134"/>
      </w:r>
      <w:r w:rsidRPr="002C1356">
        <w:rPr>
          <w:rFonts w:ascii="Times New Roman" w:hAnsi="Times New Roman"/>
          <w:sz w:val="24"/>
          <w:szCs w:val="24"/>
        </w:rPr>
        <w:t xml:space="preserve"> </w:t>
      </w:r>
    </w:p>
    <w:p w14:paraId="262A4E8C"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Graças à sua iniciativa, o Instituto de Direito Internacional (criado em 1875)</w:t>
      </w:r>
      <w:r w:rsidRPr="002C1356">
        <w:rPr>
          <w:rStyle w:val="Refdenotaderodap"/>
          <w:rFonts w:ascii="Times New Roman" w:hAnsi="Times New Roman"/>
          <w:sz w:val="24"/>
          <w:szCs w:val="24"/>
        </w:rPr>
        <w:footnoteReference w:id="135"/>
      </w:r>
      <w:r w:rsidRPr="002C1356">
        <w:rPr>
          <w:rFonts w:ascii="Times New Roman" w:hAnsi="Times New Roman"/>
          <w:sz w:val="24"/>
          <w:szCs w:val="24"/>
        </w:rPr>
        <w:t xml:space="preserve"> estabeleceu em 1921 uma comissão responsável pelo estudo da proteção das minorias e dos direitos humanos. Mandelstam foi o responsável por essa comissão.</w:t>
      </w:r>
      <w:r w:rsidRPr="002C1356">
        <w:rPr>
          <w:rStyle w:val="Refdenotaderodap"/>
          <w:rFonts w:ascii="Times New Roman" w:hAnsi="Times New Roman"/>
          <w:sz w:val="24"/>
          <w:szCs w:val="24"/>
        </w:rPr>
        <w:footnoteReference w:id="136"/>
      </w:r>
    </w:p>
    <w:p w14:paraId="5E3E8326" w14:textId="3EABB0BA" w:rsidR="003D7DAB" w:rsidRPr="00647ACF"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Como resultado de suas reflexões, Mandelstam publicou o artigo “La Protection Internationale des Droits de L’Homme” (A Proteção Internacional dos Direitos do Homem),</w:t>
      </w:r>
      <w:r w:rsidRPr="002C1356">
        <w:rPr>
          <w:rStyle w:val="Refdenotaderodap"/>
          <w:rFonts w:ascii="Times New Roman" w:hAnsi="Times New Roman"/>
          <w:sz w:val="24"/>
          <w:szCs w:val="24"/>
        </w:rPr>
        <w:footnoteReference w:id="137"/>
      </w:r>
      <w:r w:rsidRPr="002C1356">
        <w:rPr>
          <w:rFonts w:ascii="Times New Roman" w:hAnsi="Times New Roman"/>
          <w:sz w:val="24"/>
          <w:szCs w:val="24"/>
        </w:rPr>
        <w:t xml:space="preserve"> no qual defende a ideia de uma Convenção Mundial sobre a Proteção dos Direitos do Homem. A ligação com o tema da proteção das minorias resta evidente:</w:t>
      </w:r>
      <w:r w:rsidRPr="002C1356">
        <w:rPr>
          <w:rStyle w:val="Refdenotaderodap"/>
          <w:rFonts w:ascii="Times New Roman" w:hAnsi="Times New Roman"/>
          <w:sz w:val="24"/>
          <w:szCs w:val="24"/>
        </w:rPr>
        <w:footnoteReference w:id="138"/>
      </w:r>
    </w:p>
    <w:p w14:paraId="1F3A3A79" w14:textId="77777777" w:rsidR="003D7DAB" w:rsidRPr="002C1356" w:rsidRDefault="003D7DAB" w:rsidP="00A931C3">
      <w:pPr>
        <w:pStyle w:val="citao"/>
        <w:spacing w:line="360" w:lineRule="auto"/>
        <w:ind w:left="2126"/>
      </w:pPr>
      <w:r w:rsidRPr="002C1356">
        <w:t xml:space="preserve">A conclusão de uma Convenção Mundial sobre a Proteção dos Direitos do Homem apresentará ainda uma outra vantagem, pois ela não deixará de exercer uma influência positiva sobre a solução do problema das minorias. Podemos esperar que os </w:t>
      </w:r>
      <w:r w:rsidRPr="002C1356">
        <w:rPr>
          <w:b/>
        </w:rPr>
        <w:t>Estados,</w:t>
      </w:r>
      <w:r w:rsidRPr="002C1356">
        <w:t xml:space="preserve"> cujo receio da formação de minorias artificiais em seu solo não permitem a adesão e a generalização da proteção de minorias, não enxergarão obstáculos à conclusão de uma convenção geral proclamando a inviolabilidade dos direitos do homem.</w:t>
      </w:r>
    </w:p>
    <w:p w14:paraId="402B714E" w14:textId="5BA79B9F" w:rsidR="003D7DAB" w:rsidRPr="002C1356" w:rsidRDefault="003D7DAB" w:rsidP="00647ACF">
      <w:pPr>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Em 12 de outubro de 1929, a Declaração dos Direitos Internacionais do Homem foi aprovada pelo Instituto de Direito Internacional.</w:t>
      </w:r>
      <w:r w:rsidRPr="002C1356">
        <w:rPr>
          <w:rStyle w:val="Refdenotaderodap"/>
          <w:rFonts w:ascii="Times New Roman" w:hAnsi="Times New Roman"/>
          <w:sz w:val="24"/>
          <w:szCs w:val="24"/>
        </w:rPr>
        <w:footnoteReference w:id="139"/>
      </w:r>
      <w:r w:rsidRPr="002C1356">
        <w:rPr>
          <w:rFonts w:ascii="Times New Roman" w:hAnsi="Times New Roman"/>
          <w:sz w:val="24"/>
          <w:szCs w:val="24"/>
        </w:rPr>
        <w:t xml:space="preserve"> A declaração tem apenas seis artigos e seis “considerandos”.</w:t>
      </w:r>
      <w:r w:rsidRPr="002C1356">
        <w:rPr>
          <w:rStyle w:val="Refdenotaderodap"/>
          <w:rFonts w:ascii="Times New Roman" w:hAnsi="Times New Roman"/>
          <w:sz w:val="24"/>
          <w:szCs w:val="24"/>
        </w:rPr>
        <w:footnoteReference w:id="140"/>
      </w:r>
      <w:r w:rsidRPr="002C1356">
        <w:rPr>
          <w:rFonts w:ascii="Times New Roman" w:hAnsi="Times New Roman"/>
          <w:sz w:val="24"/>
          <w:szCs w:val="24"/>
        </w:rPr>
        <w:t xml:space="preserve">  </w:t>
      </w:r>
    </w:p>
    <w:p w14:paraId="5DA681BE" w14:textId="77777777" w:rsidR="003D7DAB" w:rsidRPr="002C1356" w:rsidRDefault="003D7DAB" w:rsidP="00A931C3">
      <w:pPr>
        <w:pStyle w:val="citao"/>
        <w:spacing w:line="360" w:lineRule="auto"/>
        <w:ind w:left="2126" w:firstLine="6"/>
        <w:contextualSpacing/>
      </w:pPr>
      <w:r w:rsidRPr="002C1356">
        <w:lastRenderedPageBreak/>
        <w:t>O Instituto de Direito Internacional considerando:</w:t>
      </w:r>
    </w:p>
    <w:p w14:paraId="57CC5001" w14:textId="77777777" w:rsidR="003D7DAB" w:rsidRPr="002C1356" w:rsidRDefault="003D7DAB" w:rsidP="00A931C3">
      <w:pPr>
        <w:pStyle w:val="citao"/>
        <w:spacing w:line="360" w:lineRule="auto"/>
        <w:ind w:left="2126" w:firstLine="6"/>
        <w:contextualSpacing/>
      </w:pPr>
      <w:r w:rsidRPr="002C1356">
        <w:t>Que a consciência jurídica do mundo civilizado exige o reconhecimento ao indivíduo dos direitos retirados de todo atentado por parte do Estado.</w:t>
      </w:r>
    </w:p>
    <w:p w14:paraId="54262B7A" w14:textId="77777777" w:rsidR="003D7DAB" w:rsidRPr="002C1356" w:rsidRDefault="003D7DAB" w:rsidP="00A931C3">
      <w:pPr>
        <w:pStyle w:val="citao"/>
        <w:spacing w:line="360" w:lineRule="auto"/>
        <w:ind w:left="2126" w:firstLine="6"/>
        <w:contextualSpacing/>
      </w:pPr>
      <w:r w:rsidRPr="002C1356">
        <w:t>(...)</w:t>
      </w:r>
    </w:p>
    <w:p w14:paraId="575EBD7D" w14:textId="77777777" w:rsidR="003D7DAB" w:rsidRPr="002C1356" w:rsidRDefault="003D7DAB" w:rsidP="00A931C3">
      <w:pPr>
        <w:pStyle w:val="citao"/>
        <w:spacing w:line="360" w:lineRule="auto"/>
        <w:ind w:left="2126" w:firstLine="6"/>
        <w:contextualSpacing/>
      </w:pPr>
      <w:r w:rsidRPr="002C1356">
        <w:t>Que importa expandir ao mundo inteiro o reconhecimento internacional dos direitos do homem.</w:t>
      </w:r>
    </w:p>
    <w:p w14:paraId="689839E7" w14:textId="77777777" w:rsidR="003D7DAB" w:rsidRPr="002C1356" w:rsidRDefault="003D7DAB" w:rsidP="00A931C3">
      <w:pPr>
        <w:pStyle w:val="citao"/>
        <w:spacing w:line="360" w:lineRule="auto"/>
        <w:ind w:left="2126" w:firstLine="6"/>
        <w:contextualSpacing/>
        <w:rPr>
          <w:b/>
        </w:rPr>
      </w:pPr>
      <w:r w:rsidRPr="002C1356">
        <w:t>Proclama</w:t>
      </w:r>
    </w:p>
    <w:p w14:paraId="32F2366D" w14:textId="77777777" w:rsidR="003D7DAB" w:rsidRPr="002C1356" w:rsidRDefault="003D7DAB" w:rsidP="00A931C3">
      <w:pPr>
        <w:pStyle w:val="citao"/>
        <w:spacing w:line="360" w:lineRule="auto"/>
        <w:ind w:left="2126" w:firstLine="6"/>
        <w:contextualSpacing/>
      </w:pPr>
      <w:r w:rsidRPr="002C1356">
        <w:t>Artigo primeiro</w:t>
      </w:r>
    </w:p>
    <w:p w14:paraId="111EAF78" w14:textId="77777777" w:rsidR="003D7DAB" w:rsidRPr="002C1356" w:rsidRDefault="003D7DAB" w:rsidP="00A931C3">
      <w:pPr>
        <w:pStyle w:val="citao"/>
        <w:spacing w:line="360" w:lineRule="auto"/>
        <w:ind w:left="2126" w:firstLine="6"/>
        <w:contextualSpacing/>
      </w:pPr>
      <w:r w:rsidRPr="002C1356">
        <w:t>É dever de todo Estado o reconhecimento a todo indivíduo do direito igual à vida, à liberdade e à propriedade, e de propiciar a todos em seu território plena e total proteção do seu direito, sem distinção de nacionalidade, de sexo, de raça ou de religião.</w:t>
      </w:r>
    </w:p>
    <w:p w14:paraId="613E4717" w14:textId="77777777" w:rsidR="003D7DAB" w:rsidRPr="002C1356" w:rsidRDefault="003D7DAB" w:rsidP="00A931C3">
      <w:pPr>
        <w:pStyle w:val="citao"/>
        <w:spacing w:line="360" w:lineRule="auto"/>
        <w:ind w:left="2126" w:firstLine="6"/>
        <w:contextualSpacing/>
      </w:pPr>
      <w:r w:rsidRPr="002C1356">
        <w:t>(...)</w:t>
      </w:r>
    </w:p>
    <w:p w14:paraId="2D3A158C" w14:textId="77777777" w:rsidR="003D7DAB" w:rsidRPr="002C1356" w:rsidRDefault="003D7DAB" w:rsidP="00A931C3">
      <w:pPr>
        <w:pStyle w:val="citao"/>
        <w:spacing w:line="360" w:lineRule="auto"/>
        <w:ind w:left="2126" w:firstLine="6"/>
        <w:contextualSpacing/>
      </w:pPr>
      <w:r w:rsidRPr="002C1356">
        <w:t>Artigo 6</w:t>
      </w:r>
    </w:p>
    <w:p w14:paraId="28596DAF" w14:textId="77777777" w:rsidR="003D7DAB" w:rsidRPr="002C1356" w:rsidRDefault="003D7DAB" w:rsidP="00A931C3">
      <w:pPr>
        <w:pStyle w:val="citao"/>
        <w:spacing w:line="360" w:lineRule="auto"/>
        <w:ind w:left="2126" w:firstLine="6"/>
        <w:contextualSpacing/>
      </w:pPr>
      <w:r w:rsidRPr="002C1356">
        <w:t xml:space="preserve">Nenhum Estado terá o direito de retirar, com exceção dos motivos advindos de sua legislação geral, sua nacionalidade àqueles que, por razões de sexo, raça, língua ou religião, não tenham sido privados das garantias previstas nos artigos precedentes.  </w:t>
      </w:r>
    </w:p>
    <w:p w14:paraId="09D1938A"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Em referido artigo o autor defende a ideia da ampliação da proteção das minorias para todos os indivíduos. A ampliação da proteção deve ocorrer pela imposição de obrigações aos Estados. Essa ideia é evidenciada no artigo 6 da declaração de 1929, no qual fica a estabelecida a possibilidade de um Estado retirar a nacionalidade de um cidadão em virtude de sua legislação interna. </w:t>
      </w:r>
    </w:p>
    <w:p w14:paraId="4815DB1E"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Na primeira metade do século XX os Estados tinham liberdade no que diz respeito ao tratamento de seus nacionais. Estados eram sujeitos, indivíduos, apenas objetos de Direito Internacional. Nas palavras de Lala Oppenheim:</w:t>
      </w:r>
      <w:r w:rsidRPr="002C1356">
        <w:rPr>
          <w:rStyle w:val="Refdenotaderodap"/>
          <w:rFonts w:ascii="Times New Roman" w:hAnsi="Times New Roman"/>
          <w:sz w:val="24"/>
          <w:szCs w:val="24"/>
        </w:rPr>
        <w:footnoteReference w:id="141"/>
      </w:r>
      <w:r w:rsidRPr="002C1356">
        <w:rPr>
          <w:rFonts w:ascii="Times New Roman" w:hAnsi="Times New Roman"/>
          <w:sz w:val="24"/>
          <w:szCs w:val="24"/>
        </w:rPr>
        <w:t xml:space="preserve"> “(...) O Estado tem o direito de tratar tanto os nacionais quanto as pessoas sem Estado da maneira que decidir a forma de tratar não é uma questão a qual o Direito Internacional, de regra, diga respeito”.</w:t>
      </w:r>
    </w:p>
    <w:p w14:paraId="0983DA67"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Como</w:t>
      </w:r>
      <w:r w:rsidRPr="002C1356" w:rsidDel="0066772F">
        <w:rPr>
          <w:rFonts w:ascii="Times New Roman" w:hAnsi="Times New Roman"/>
          <w:sz w:val="24"/>
          <w:szCs w:val="24"/>
        </w:rPr>
        <w:t xml:space="preserve"> </w:t>
      </w:r>
      <w:r w:rsidRPr="002C1356">
        <w:rPr>
          <w:rFonts w:ascii="Times New Roman" w:hAnsi="Times New Roman"/>
          <w:sz w:val="24"/>
          <w:szCs w:val="24"/>
        </w:rPr>
        <w:t>visto anteriormente, “cláusulas de minoria” (</w:t>
      </w:r>
      <w:r w:rsidRPr="002C1356">
        <w:rPr>
          <w:rFonts w:ascii="Times New Roman" w:hAnsi="Times New Roman"/>
          <w:i/>
          <w:sz w:val="24"/>
          <w:szCs w:val="24"/>
        </w:rPr>
        <w:t xml:space="preserve">minority clauses) </w:t>
      </w:r>
      <w:r w:rsidRPr="002C1356">
        <w:rPr>
          <w:rFonts w:ascii="Times New Roman" w:hAnsi="Times New Roman"/>
          <w:sz w:val="24"/>
          <w:szCs w:val="24"/>
        </w:rPr>
        <w:t>estiveram presentes em diversos tratados de paz, bem como em tratados especiais. Também foram inseridas em dois tratados bilaterais, vale dizer: 1)</w:t>
      </w:r>
      <w:r w:rsidRPr="002C1356">
        <w:rPr>
          <w:rFonts w:ascii="Times New Roman" w:hAnsi="Times New Roman"/>
          <w:b/>
          <w:sz w:val="24"/>
          <w:szCs w:val="24"/>
        </w:rPr>
        <w:t xml:space="preserve"> </w:t>
      </w:r>
      <w:r w:rsidRPr="002C1356">
        <w:rPr>
          <w:rFonts w:ascii="Times New Roman" w:hAnsi="Times New Roman"/>
          <w:sz w:val="24"/>
          <w:szCs w:val="24"/>
        </w:rPr>
        <w:t>entre Alemanha e Polônia em relação à Alta Silésia e 2)</w:t>
      </w:r>
      <w:r w:rsidRPr="002C1356">
        <w:rPr>
          <w:rFonts w:ascii="Times New Roman" w:hAnsi="Times New Roman"/>
          <w:b/>
          <w:sz w:val="24"/>
          <w:szCs w:val="24"/>
        </w:rPr>
        <w:t xml:space="preserve"> </w:t>
      </w:r>
      <w:r w:rsidRPr="002C1356">
        <w:rPr>
          <w:rFonts w:ascii="Times New Roman" w:hAnsi="Times New Roman"/>
          <w:sz w:val="24"/>
          <w:szCs w:val="24"/>
        </w:rPr>
        <w:t xml:space="preserve">entre Alemanha e Lituânia em relação ao território Memel. </w:t>
      </w:r>
    </w:p>
    <w:p w14:paraId="225E665B"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Diversos Estados que tinham sua soberania limitada pelas cláusulas ou pelos tratados de minorias protestaram contra tais medidas, uma vez que outros Estados não eram afetados por elas. O único resultado desses protestos foi uma resolução da SDN (21 de setembro de 1922) que expressava a “esperança” de que Estados não vinculados por tais cláusulas as seguissem em relação a suas minorias, no mínimo como um “elevado padrão de justiça e tolerância”. Em 1925, alguns Estados vinculados por cláusulas de minoria propuseram na assembleia da SDN a elaboração de um tratado para todos os membros da liga estabelecendo suas obrigações em relação a minorias. A proposta foi rejeitada. Propostas semelhantes foram apresentadas em 1930 e 1932, ambas rejeitadas.</w:t>
      </w:r>
      <w:r w:rsidRPr="002C1356">
        <w:rPr>
          <w:rStyle w:val="Refdenotaderodap"/>
          <w:rFonts w:ascii="Times New Roman" w:hAnsi="Times New Roman"/>
          <w:sz w:val="24"/>
          <w:szCs w:val="24"/>
        </w:rPr>
        <w:footnoteReference w:id="142"/>
      </w:r>
    </w:p>
    <w:p w14:paraId="1A8968BC"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Tendo em vista o encerramento das atividades da SDN em 1946, a proteção das minorias foi integrada ao sistema ONU por meio da criação da Subcomissão de Prevenção da Discriminação e Proteção das Minorias, formada por “experts independentes” e vinculada à Comissão de Direitos Humanos da ONU.</w:t>
      </w:r>
      <w:r w:rsidRPr="002C1356">
        <w:rPr>
          <w:rStyle w:val="Refdenotaderodap"/>
          <w:rFonts w:ascii="Times New Roman" w:hAnsi="Times New Roman"/>
          <w:sz w:val="24"/>
          <w:szCs w:val="24"/>
        </w:rPr>
        <w:footnoteReference w:id="143"/>
      </w:r>
      <w:r w:rsidRPr="002C1356">
        <w:rPr>
          <w:rFonts w:ascii="Times New Roman" w:hAnsi="Times New Roman"/>
          <w:sz w:val="24"/>
          <w:szCs w:val="24"/>
        </w:rPr>
        <w:t xml:space="preserve"> </w:t>
      </w:r>
    </w:p>
    <w:p w14:paraId="2483A633"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Um caso do sistema de proteção das minorias que ocorreu logo após a ascensão de Adolf Hitler ao poder ilustra tanto o potencial da proteção internacional quanto suas limitações, trata-se da Bernheim Petition (Petição de Bernheim).</w:t>
      </w:r>
    </w:p>
    <w:p w14:paraId="698BCB51"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Franz Bernheim (um alemão descendente de judeus de 32 anos) morava na cidade de Gleiwitz, região da Alta Silesia (Polônia), que estabelecera um tratado com a Alemanha em 1922 no qual tinha sido prevista a proteção das minorias. Adolf Hitler (1889-1945) assume o poder em 30 de janeiro de 1933, e tem início a perseguição aos judeus. Bernheim é demitido em abril de 1933 sob a alegação de ser judeu, e todos os empregados judeus deveriam ser demitidos.</w:t>
      </w:r>
      <w:r w:rsidRPr="002C1356">
        <w:rPr>
          <w:rStyle w:val="Refdenotaderodap"/>
          <w:rFonts w:ascii="Times New Roman" w:hAnsi="Times New Roman"/>
          <w:sz w:val="24"/>
          <w:szCs w:val="24"/>
        </w:rPr>
        <w:footnoteReference w:id="144"/>
      </w:r>
    </w:p>
    <w:p w14:paraId="3303C5A2"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Diante desse fato, Bernheim apresentou uma petição ao Conselho da SDN em 12 de maio de 1933 que tem como fundamento o tratado em tela e elencou uma série de normas e medidas administrativas do governo alemão discriminatórias contra os judeus e em completo desacordo com o tratado. Bernheim demandou ao conselho que declarasse essas normas e medidas nulas e inválidas para Alta Silésia, que os judeus reassumissem suas posições e recebessem uma compensação financeira. O conselho da SDN recebeu a petição, que foi encaminhada para uma comissão mista a qual, por sua vez, instalou um procedimento que, ao final, determinou o pagamento de uma compensação financeira de </w:t>
      </w:r>
      <w:r w:rsidRPr="002C1356">
        <w:rPr>
          <w:rFonts w:ascii="Times New Roman" w:hAnsi="Times New Roman"/>
          <w:sz w:val="24"/>
          <w:szCs w:val="24"/>
        </w:rPr>
        <w:lastRenderedPageBreak/>
        <w:t>mil e seiscentos (1600) marcos. Diversos outros casos de empregados, advogados e médicos judeus foram resolvidos de forma semelhante.</w:t>
      </w:r>
      <w:r w:rsidRPr="002C1356">
        <w:rPr>
          <w:rStyle w:val="Refdenotaderodap"/>
          <w:rFonts w:ascii="Times New Roman" w:hAnsi="Times New Roman"/>
          <w:sz w:val="24"/>
          <w:szCs w:val="24"/>
        </w:rPr>
        <w:footnoteReference w:id="145"/>
      </w:r>
    </w:p>
    <w:p w14:paraId="32C19E36" w14:textId="000412A0"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dia 25 de setembro de 1933, teve início a sessão anual da assembleia geral da SDN, que terminou no dia 11 de outubro de 1933. Durante os debates, as questões referentes à petição Bernheim foram levantadas por diversos participantes. Antoine Frangullis (188-1975), jurista e diplomata grego que representou seu país na SDN de 1920-1922, um dos mais próximos par</w:t>
      </w:r>
      <w:r w:rsidR="00C619DE">
        <w:rPr>
          <w:rFonts w:ascii="Times New Roman" w:hAnsi="Times New Roman"/>
          <w:sz w:val="24"/>
          <w:szCs w:val="24"/>
        </w:rPr>
        <w:t xml:space="preserve">ceiros de André N. Mandelstam, </w:t>
      </w:r>
      <w:r w:rsidRPr="002C1356">
        <w:rPr>
          <w:rFonts w:ascii="Times New Roman" w:hAnsi="Times New Roman"/>
          <w:sz w:val="24"/>
          <w:szCs w:val="24"/>
        </w:rPr>
        <w:t>participou, da sessão em tela como delegado do Haiti no dia 30 de setembro de 1933 e criticou o sistema existente de proteção das minorias. Em nome de Stenio Vincent (presidente do Haiti), ele apresentou uma proposta de resolução idêntica à Declaração Internacional dos Direitos do Homem, do Instituto de Direito Internacional. No parágrafo final de sua proposta de resolução, Frangulis sugere que a SDN deveria expressar o desejo de uma convenção mundial garantindo a proteção e o respeito dos direitos do homem citados na proposta de resolução.</w:t>
      </w:r>
      <w:r w:rsidRPr="002C1356">
        <w:rPr>
          <w:rStyle w:val="Refdenotaderodap"/>
          <w:rFonts w:ascii="Times New Roman" w:hAnsi="Times New Roman"/>
          <w:sz w:val="24"/>
          <w:szCs w:val="24"/>
        </w:rPr>
        <w:footnoteReference w:id="146"/>
      </w:r>
    </w:p>
    <w:p w14:paraId="48DF4699"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No dia 3 de outubro Mr. Von Keller (delegado da Alemanha na SDN) esclareceu que seu país tinha uma nova filosofia baseada no conceito de </w:t>
      </w:r>
      <w:r w:rsidRPr="002C1356">
        <w:rPr>
          <w:rFonts w:ascii="Times New Roman" w:hAnsi="Times New Roman"/>
          <w:i/>
          <w:sz w:val="24"/>
          <w:szCs w:val="24"/>
        </w:rPr>
        <w:t>Volkstum</w:t>
      </w:r>
      <w:r w:rsidRPr="002C1356">
        <w:rPr>
          <w:rFonts w:ascii="Times New Roman" w:hAnsi="Times New Roman"/>
          <w:sz w:val="24"/>
          <w:szCs w:val="24"/>
        </w:rPr>
        <w:t xml:space="preserve">: identidade nacional fundamentada em termos raciais. O precedente do caso Bernheim foi citado por várias delegações, que perguntaram ao representante alemão como conciliar essa nova filosofia com os compromissos assumidos nos tratados de minorias. Mr. Von Keller recusou-se a fazer qualquer comentário a respeito do caso Bernheim e afirmou que o “problema judeu” para Alemanha era uma questão </w:t>
      </w:r>
      <w:r w:rsidRPr="002C1356">
        <w:rPr>
          <w:rFonts w:ascii="Times New Roman" w:hAnsi="Times New Roman"/>
          <w:i/>
          <w:sz w:val="24"/>
          <w:szCs w:val="24"/>
        </w:rPr>
        <w:t xml:space="preserve">sui generis </w:t>
      </w:r>
      <w:r w:rsidRPr="002C1356">
        <w:rPr>
          <w:rFonts w:ascii="Times New Roman" w:hAnsi="Times New Roman"/>
          <w:sz w:val="24"/>
          <w:szCs w:val="24"/>
        </w:rPr>
        <w:t>e, portanto, estava fora das “cláusulas de minorias”.</w:t>
      </w:r>
      <w:r w:rsidRPr="002C1356">
        <w:rPr>
          <w:rStyle w:val="Refdenotaderodap"/>
          <w:rFonts w:ascii="Times New Roman" w:hAnsi="Times New Roman"/>
          <w:sz w:val="24"/>
          <w:szCs w:val="24"/>
        </w:rPr>
        <w:footnoteReference w:id="147"/>
      </w:r>
    </w:p>
    <w:p w14:paraId="38A43246"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Após a apresentação da proposta de resolução do Haiti, a assembleia se dividiu, e a França apresentou uma proposta diferente de resolução dividida em duas partes: 1)</w:t>
      </w:r>
      <w:r w:rsidRPr="002C1356">
        <w:rPr>
          <w:rFonts w:ascii="Times New Roman" w:hAnsi="Times New Roman"/>
          <w:b/>
          <w:sz w:val="24"/>
          <w:szCs w:val="24"/>
        </w:rPr>
        <w:t xml:space="preserve"> </w:t>
      </w:r>
      <w:r w:rsidRPr="002C1356">
        <w:rPr>
          <w:rFonts w:ascii="Times New Roman" w:hAnsi="Times New Roman"/>
          <w:sz w:val="24"/>
          <w:szCs w:val="24"/>
        </w:rPr>
        <w:t>reafirmação da resolução da SDN de 1922 que instava os Estados membros a respeitar o direito de todas minorias e 2)</w:t>
      </w:r>
      <w:r w:rsidRPr="002C1356">
        <w:rPr>
          <w:rFonts w:ascii="Times New Roman" w:hAnsi="Times New Roman"/>
          <w:b/>
          <w:sz w:val="24"/>
          <w:szCs w:val="24"/>
        </w:rPr>
        <w:t xml:space="preserve"> </w:t>
      </w:r>
      <w:r w:rsidRPr="002C1356">
        <w:rPr>
          <w:rFonts w:ascii="Times New Roman" w:hAnsi="Times New Roman"/>
          <w:sz w:val="24"/>
          <w:szCs w:val="24"/>
        </w:rPr>
        <w:t xml:space="preserve">especificando que essa resolução deveria se dirigir a todas as categorias de nacionais que se diferenciavam da maioria da população em razão de qualquer diferença de raça, língua ou religião. No dia 11 de outubro de 1933, último dia da sessão da assembleia, a proposta de resolução da França foi apresentada, e a assembleia aprovou unanimemente a primeira parte. Todavia, a segunda parte não foi colocada para </w:t>
      </w:r>
      <w:r w:rsidRPr="002C1356">
        <w:rPr>
          <w:rFonts w:ascii="Times New Roman" w:hAnsi="Times New Roman"/>
          <w:sz w:val="24"/>
          <w:szCs w:val="24"/>
        </w:rPr>
        <w:lastRenderedPageBreak/>
        <w:t>votação, porque a Alemanha anunciou que votaria contra. Finalmente, no dia 14 de outubro de 1933, a Alemanha oficialmente anunciou sua retirada da SDN.</w:t>
      </w:r>
      <w:r w:rsidRPr="002C1356">
        <w:rPr>
          <w:rStyle w:val="Refdenotaderodap"/>
          <w:rFonts w:ascii="Times New Roman" w:hAnsi="Times New Roman"/>
          <w:sz w:val="24"/>
          <w:szCs w:val="24"/>
        </w:rPr>
        <w:footnoteReference w:id="148"/>
      </w:r>
      <w:r w:rsidRPr="002C1356">
        <w:rPr>
          <w:rFonts w:ascii="Times New Roman" w:hAnsi="Times New Roman"/>
          <w:sz w:val="24"/>
          <w:szCs w:val="24"/>
        </w:rPr>
        <w:t xml:space="preserve"> </w:t>
      </w:r>
    </w:p>
    <w:p w14:paraId="0E298757"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proposta pioneira de André Mandelstam e o caso Bernheim ilustram como o tema dos direitos humanos (enquanto uma norma pré-categorial) esteve presente nos debates da SDN referentes à proteção das minorias. A impossibilidade da SDN de proteger, de forma eficaz, diversas minorias em vários países da Europa demonstra a imperiosidade da elaboração de um instrumento jurídico internacional situado em um plano superior à soberania dos Estados.</w:t>
      </w:r>
    </w:p>
    <w:p w14:paraId="6A39DB43"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comunidade internacional teve que aguardar o final da Segunda Guerra Mundial e o surgimento da Organização das Nações Unidas para a elaboração desse documento.</w:t>
      </w:r>
    </w:p>
    <w:p w14:paraId="489D7E31" w14:textId="77777777" w:rsidR="003D7DAB" w:rsidRPr="002C1356" w:rsidRDefault="003D7DAB" w:rsidP="003D7DAB">
      <w:pPr>
        <w:spacing w:after="0" w:line="360" w:lineRule="auto"/>
        <w:ind w:left="1410"/>
        <w:contextualSpacing/>
        <w:jc w:val="both"/>
        <w:rPr>
          <w:rFonts w:ascii="Times New Roman" w:hAnsi="Times New Roman"/>
          <w:sz w:val="24"/>
          <w:szCs w:val="24"/>
        </w:rPr>
      </w:pPr>
    </w:p>
    <w:p w14:paraId="5CFF0A5F" w14:textId="77777777" w:rsidR="003D7DAB" w:rsidRPr="002C1356" w:rsidRDefault="003D7DAB" w:rsidP="003D7DAB">
      <w:pPr>
        <w:spacing w:after="0" w:line="360" w:lineRule="auto"/>
        <w:contextualSpacing/>
        <w:jc w:val="both"/>
        <w:rPr>
          <w:rFonts w:ascii="Times New Roman" w:hAnsi="Times New Roman"/>
          <w:b/>
          <w:sz w:val="24"/>
          <w:szCs w:val="24"/>
        </w:rPr>
      </w:pPr>
      <w:r w:rsidRPr="002C1356">
        <w:rPr>
          <w:rFonts w:ascii="Times New Roman" w:hAnsi="Times New Roman"/>
          <w:b/>
          <w:sz w:val="24"/>
          <w:szCs w:val="24"/>
        </w:rPr>
        <w:t>2.1.2 Declaração Universal dos Direitos Humanos (1948) e a Proteção Internacional dos Direitos Humanos</w:t>
      </w:r>
    </w:p>
    <w:p w14:paraId="3F3DBFEB" w14:textId="77777777" w:rsidR="003D7DAB" w:rsidRPr="002C1356" w:rsidRDefault="003D7DAB" w:rsidP="003D7DAB">
      <w:pPr>
        <w:spacing w:after="0" w:line="360" w:lineRule="auto"/>
        <w:contextualSpacing/>
        <w:jc w:val="both"/>
        <w:rPr>
          <w:rFonts w:ascii="Times New Roman" w:hAnsi="Times New Roman"/>
          <w:i/>
          <w:sz w:val="24"/>
          <w:szCs w:val="24"/>
        </w:rPr>
      </w:pPr>
    </w:p>
    <w:p w14:paraId="3EF8794E" w14:textId="21E8B0FE" w:rsidR="003D7DAB" w:rsidRPr="002C1356" w:rsidRDefault="003D7DAB" w:rsidP="003D7DAB">
      <w:pPr>
        <w:spacing w:after="0" w:line="360" w:lineRule="auto"/>
        <w:ind w:firstLine="708"/>
        <w:contextualSpacing/>
        <w:jc w:val="both"/>
        <w:rPr>
          <w:rFonts w:ascii="Times New Roman" w:hAnsi="Times New Roman"/>
          <w:sz w:val="24"/>
          <w:szCs w:val="24"/>
        </w:rPr>
      </w:pPr>
      <w:r w:rsidRPr="00A20E3F">
        <w:rPr>
          <w:rFonts w:ascii="Times New Roman" w:hAnsi="Times New Roman"/>
          <w:sz w:val="24"/>
          <w:szCs w:val="24"/>
        </w:rPr>
        <w:t>“Um precursor etnocêntrico dos direitos humanos atuais, tem que ser entendido como um fundamento universalmente válido de normas definindo o que significa</w:t>
      </w:r>
      <w:r w:rsidR="00A20E3F">
        <w:rPr>
          <w:rFonts w:ascii="Times New Roman" w:hAnsi="Times New Roman"/>
          <w:sz w:val="24"/>
          <w:szCs w:val="24"/>
        </w:rPr>
        <w:t xml:space="preserve"> pertencer ao “mundo civilizado.”</w:t>
      </w:r>
      <w:r w:rsidRPr="00A20E3F">
        <w:rPr>
          <w:rStyle w:val="Refdenotaderodap"/>
          <w:rFonts w:ascii="Times New Roman" w:hAnsi="Times New Roman"/>
          <w:sz w:val="24"/>
          <w:szCs w:val="24"/>
        </w:rPr>
        <w:footnoteReference w:id="149"/>
      </w:r>
      <w:r w:rsidRPr="002C1356">
        <w:rPr>
          <w:rFonts w:ascii="Times New Roman" w:hAnsi="Times New Roman"/>
          <w:sz w:val="24"/>
          <w:szCs w:val="24"/>
        </w:rPr>
        <w:t xml:space="preserve"> </w:t>
      </w:r>
    </w:p>
    <w:p w14:paraId="41B1C9D6" w14:textId="1CDAD06E" w:rsidR="003D7DAB" w:rsidRPr="00647ACF" w:rsidRDefault="003D7DAB" w:rsidP="00647ACF">
      <w:pPr>
        <w:spacing w:after="0" w:line="360" w:lineRule="auto"/>
        <w:contextualSpacing/>
        <w:jc w:val="both"/>
        <w:rPr>
          <w:rFonts w:ascii="Times New Roman" w:hAnsi="Times New Roman"/>
          <w:sz w:val="24"/>
          <w:szCs w:val="24"/>
        </w:rPr>
      </w:pPr>
      <w:r w:rsidRPr="002C1356">
        <w:rPr>
          <w:rFonts w:ascii="Times New Roman" w:hAnsi="Times New Roman"/>
          <w:sz w:val="24"/>
          <w:szCs w:val="24"/>
        </w:rPr>
        <w:tab/>
        <w:t xml:space="preserve">A palavra civilização não está presente na Carta da ONU e na DUDH. No entanto, o artigo 73, integrante do Capítulo XI Declaração Relativa a Territórios sem Governo Próprio, da Carta da ONU repete, em alguns de seus trechos, expressões semelhantes utilizadas no artigo 22 do Pacto da SDN. </w:t>
      </w:r>
    </w:p>
    <w:p w14:paraId="5C98FE71" w14:textId="77777777" w:rsidR="003D7DAB" w:rsidRPr="002C1356" w:rsidRDefault="003D7DAB" w:rsidP="00A931C3">
      <w:pPr>
        <w:pStyle w:val="citao"/>
        <w:spacing w:line="360" w:lineRule="auto"/>
        <w:ind w:left="2126"/>
      </w:pPr>
      <w:r w:rsidRPr="002C1356">
        <w:t xml:space="preserve">Artigo 73 – Os membros das Nações Unidas, que assumiram ou assumam responsabilidades pela administração de territórios </w:t>
      </w:r>
      <w:r w:rsidRPr="002C1356">
        <w:rPr>
          <w:b/>
        </w:rPr>
        <w:t>cujos povos não tenham atingido a plena capacidade de governar a si mesmos</w:t>
      </w:r>
      <w:r w:rsidRPr="002C1356">
        <w:t xml:space="preserve">, reconhecem o princípio de que os interesses dos habitantes desse território são da mais alta importância e aceitam, como </w:t>
      </w:r>
      <w:r w:rsidRPr="002C1356">
        <w:rPr>
          <w:b/>
        </w:rPr>
        <w:t>missão sagrada</w:t>
      </w:r>
      <w:r w:rsidRPr="002C1356">
        <w:t>, a obrigação de promover no mais alto grau, dentro do sistema de paz e segurança internacionais estabelecidos na presente Carta, o bem-estar dos habitantes desses territórios (...). [grifos do autor]</w:t>
      </w:r>
    </w:p>
    <w:p w14:paraId="0C94F8A3" w14:textId="51BD6715" w:rsidR="003D7DAB" w:rsidRPr="002C1356" w:rsidRDefault="003D7DAB" w:rsidP="00A931C3">
      <w:pPr>
        <w:spacing w:after="0" w:line="360" w:lineRule="auto"/>
        <w:contextualSpacing/>
        <w:jc w:val="both"/>
        <w:rPr>
          <w:rFonts w:ascii="Times New Roman" w:hAnsi="Times New Roman"/>
          <w:sz w:val="24"/>
          <w:szCs w:val="24"/>
        </w:rPr>
      </w:pPr>
      <w:r w:rsidRPr="002C1356">
        <w:rPr>
          <w:rFonts w:ascii="Times New Roman" w:hAnsi="Times New Roman"/>
          <w:i/>
          <w:sz w:val="24"/>
          <w:szCs w:val="24"/>
        </w:rPr>
        <w:t xml:space="preserve"> </w:t>
      </w:r>
      <w:r w:rsidRPr="002C1356">
        <w:rPr>
          <w:rFonts w:ascii="Times New Roman" w:hAnsi="Times New Roman"/>
          <w:sz w:val="24"/>
          <w:szCs w:val="24"/>
        </w:rPr>
        <w:t xml:space="preserve">O capítulo XII da Carta da ONU trata do Sistema Internacional de Tutela, e o XII, do Conselho de Tutela. A palavra civilização deixa de estar presente, mas a narrativa da </w:t>
      </w:r>
      <w:r w:rsidRPr="002C1356">
        <w:rPr>
          <w:rFonts w:ascii="Times New Roman" w:hAnsi="Times New Roman"/>
          <w:sz w:val="24"/>
          <w:szCs w:val="24"/>
        </w:rPr>
        <w:lastRenderedPageBreak/>
        <w:t>“missão sagrada” permanece e, com ela, a ideia de povos destituídos da “plena capacidade de governar a si mesmos” que necessitam de Estados soberanos para promoverem “o bem-estar dos habitantes desses territórios”.</w:t>
      </w:r>
    </w:p>
    <w:p w14:paraId="4A134C2C"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tutela de povos “menores” por Estados soberanos já membros da ONU, no início da ONU, foi a perpetuação de um modelo de organização da comunidade internacional validado pelo Direito Internacional. A novidade histórica, no âmbito da ONU, foi a DUDH como um documento inédito que instaura uma nova política de Direito. A viabilização dessa “nova política” tomou como modelo a Declaração de 1789 ao declarar, logo no artigo primeiro, que “Todos os homens nascem livres e iguais em dignidade e direitos e devem agir uns em relação aos outros com espírito de fraternidade”</w:t>
      </w:r>
      <w:r w:rsidRPr="002C1356">
        <w:rPr>
          <w:rFonts w:ascii="Times New Roman" w:hAnsi="Times New Roman"/>
          <w:i/>
          <w:sz w:val="24"/>
          <w:szCs w:val="24"/>
        </w:rPr>
        <w:t>.</w:t>
      </w:r>
      <w:r w:rsidRPr="002C1356">
        <w:rPr>
          <w:rFonts w:ascii="Times New Roman" w:hAnsi="Times New Roman"/>
          <w:sz w:val="24"/>
          <w:szCs w:val="24"/>
        </w:rPr>
        <w:t xml:space="preserve"> Liberdade, igualdade e fraternidade foram mantidas, o que surge de novo é a afirmação da dignidade inerente a todo e qualquer ser humano. A igualdade e liberdade em dignidade e direitos são imanentes ao ser humano e o acompanham de modo incondicional no transcurso de sua vida. Independentemente de qualquer outro título ou outra condição, não só no território de seu país, mas na comunidade internacional como um todo. </w:t>
      </w:r>
    </w:p>
    <w:p w14:paraId="7059486B" w14:textId="117AC715" w:rsidR="003D7DAB" w:rsidRPr="002C1356"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René Cassin (1887-1976), francês de origem judaica, jurista, professor de Direito Penal, militante da Liga dos Direitos do homem, ex-combatente da Primeira Guerra Mundial, delegado francês na SDN, integrante da resistência francesa na Segunda Guerra Mundial (“braço direito” do general De Gaulle), aos sessenta anos de idade foi o vice-presidente da Comissão de Direitos Humanos da ONU, responsável pela elaboração da DUDH, e afirmou sobre ela:</w:t>
      </w:r>
      <w:r w:rsidRPr="002C1356">
        <w:rPr>
          <w:rStyle w:val="Refdenotaderodap"/>
          <w:rFonts w:ascii="Times New Roman" w:hAnsi="Times New Roman"/>
          <w:sz w:val="24"/>
          <w:szCs w:val="24"/>
        </w:rPr>
        <w:footnoteReference w:id="150"/>
      </w:r>
    </w:p>
    <w:p w14:paraId="2C3C13C7" w14:textId="77777777" w:rsidR="003D7DAB" w:rsidRPr="002C1356" w:rsidRDefault="003D7DAB" w:rsidP="00A931C3">
      <w:pPr>
        <w:pStyle w:val="citao"/>
        <w:spacing w:line="360" w:lineRule="auto"/>
        <w:ind w:left="2126"/>
      </w:pPr>
      <w:r w:rsidRPr="002C1356">
        <w:t xml:space="preserve">A </w:t>
      </w:r>
      <w:r w:rsidRPr="002C1356">
        <w:rPr>
          <w:b/>
        </w:rPr>
        <w:t>Declaração de 1948</w:t>
      </w:r>
      <w:r w:rsidRPr="002C1356">
        <w:t xml:space="preserve"> retirou da </w:t>
      </w:r>
      <w:r w:rsidRPr="002C1356">
        <w:rPr>
          <w:b/>
        </w:rPr>
        <w:t>Declaração dos Direitos do Homem e do Cidadão</w:t>
      </w:r>
      <w:r w:rsidRPr="002C1356">
        <w:t>, de 1789, o que continha de universal, a saber os grandes princípios de liberdade, igualdade e fraternidade. Foi mais longe ao proscrever todas as discriminações entre os membros da família humana, no que concerne ao gozo das liberdades fundamentais, quer por motivo de sexo, raça, língua ou religião, opiniões, origem nacional ou social, fortuna, nascimento e situação, ou por motivo do estatuto político, jurídico ou internacional do país ou território de que sejam habitantes. E proclama o direito de todo indivíduo a uma nacionalidade, e o de todo perseguido, a um asilo.</w:t>
      </w:r>
      <w:r w:rsidRPr="002C1356">
        <w:rPr>
          <w:rStyle w:val="Refdenotaderodap"/>
          <w:sz w:val="24"/>
        </w:rPr>
        <w:footnoteReference w:id="151"/>
      </w:r>
    </w:p>
    <w:p w14:paraId="06CB89B2" w14:textId="2E34302B" w:rsidR="003D7DAB" w:rsidRPr="002C1356" w:rsidRDefault="003D7DAB" w:rsidP="003D7DAB">
      <w:pPr>
        <w:spacing w:after="0" w:line="360" w:lineRule="auto"/>
        <w:contextualSpacing/>
        <w:jc w:val="both"/>
        <w:rPr>
          <w:rFonts w:ascii="Times New Roman" w:hAnsi="Times New Roman"/>
          <w:sz w:val="24"/>
          <w:szCs w:val="24"/>
        </w:rPr>
      </w:pPr>
      <w:r w:rsidRPr="002C1356">
        <w:rPr>
          <w:rFonts w:ascii="Times New Roman" w:hAnsi="Times New Roman"/>
          <w:sz w:val="24"/>
          <w:szCs w:val="24"/>
        </w:rPr>
        <w:lastRenderedPageBreak/>
        <w:tab/>
        <w:t xml:space="preserve">A DUDH foi o primeiro instrumento jurídico da comunidade internacional a dirigir-se aos Estados e aos indivíduos: </w:t>
      </w:r>
    </w:p>
    <w:p w14:paraId="496E12EF" w14:textId="77777777" w:rsidR="003D7DAB" w:rsidRPr="002C1356" w:rsidRDefault="003D7DAB" w:rsidP="00A931C3">
      <w:pPr>
        <w:pStyle w:val="citao"/>
        <w:spacing w:line="360" w:lineRule="auto"/>
        <w:ind w:left="0" w:firstLine="2127"/>
      </w:pPr>
      <w:r w:rsidRPr="002C1356">
        <w:t>A Assembleia Geral proclama</w:t>
      </w:r>
    </w:p>
    <w:p w14:paraId="1ED9272E" w14:textId="77777777" w:rsidR="003D7DAB" w:rsidRPr="002C1356" w:rsidRDefault="003D7DAB" w:rsidP="00A931C3">
      <w:pPr>
        <w:pStyle w:val="citao"/>
        <w:spacing w:line="360" w:lineRule="auto"/>
        <w:ind w:firstLine="3"/>
      </w:pPr>
      <w:r w:rsidRPr="002C1356">
        <w:t>A presente DUDH como o ideal comum a ser atingido por todos os povos e todas as nações, com o objetivo de que cada indivíduo e cada órgão da sociedade, tendo sempre em mente esta Declaração (…).</w:t>
      </w:r>
    </w:p>
    <w:p w14:paraId="3005AE6C" w14:textId="6CDA6D78" w:rsidR="003D7DAB" w:rsidRPr="002C1356"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Ao dirigir-se a todos os indivíduos, a Declaração faz valer seu adjetivo: universal. Nas palavras de Lafer:</w:t>
      </w:r>
      <w:r w:rsidRPr="002C1356">
        <w:rPr>
          <w:rStyle w:val="Refdenotaderodap"/>
          <w:rFonts w:ascii="Times New Roman" w:hAnsi="Times New Roman"/>
          <w:sz w:val="24"/>
          <w:szCs w:val="24"/>
        </w:rPr>
        <w:footnoteReference w:id="152"/>
      </w:r>
    </w:p>
    <w:p w14:paraId="65014511" w14:textId="77777777" w:rsidR="003D7DAB" w:rsidRPr="002C1356" w:rsidRDefault="003D7DAB" w:rsidP="003D7DAB">
      <w:pPr>
        <w:pStyle w:val="citao"/>
        <w:ind w:firstLine="3"/>
      </w:pPr>
      <w:r w:rsidRPr="002C1356">
        <w:t>Nesse sentido é um marco na afirmação histórica da plataforma emancipatória do ser humano representada pela promoção dos direitos humanos como critério organizador e humanizador da vida coletiva na relação governantes-governados. No plano internacional, representa um evento inaugural, à semelhança do que foi, a seu tempo, no plano interno, a passagem do dever dos súditos para os direitos dos cidadãos.</w:t>
      </w:r>
    </w:p>
    <w:p w14:paraId="7CC3833A" w14:textId="77777777" w:rsidR="003D7DAB" w:rsidRPr="002C1356" w:rsidRDefault="003D7DAB" w:rsidP="003D7DAB">
      <w:pPr>
        <w:spacing w:after="0" w:line="360" w:lineRule="auto"/>
        <w:contextualSpacing/>
        <w:jc w:val="both"/>
        <w:rPr>
          <w:rFonts w:ascii="Times New Roman" w:hAnsi="Times New Roman"/>
          <w:sz w:val="24"/>
          <w:szCs w:val="24"/>
        </w:rPr>
      </w:pPr>
      <w:r w:rsidRPr="002C1356">
        <w:rPr>
          <w:rFonts w:ascii="Times New Roman" w:hAnsi="Times New Roman"/>
          <w:sz w:val="24"/>
          <w:szCs w:val="24"/>
        </w:rPr>
        <w:tab/>
        <w:t>Lafer</w:t>
      </w:r>
      <w:r w:rsidRPr="002C1356">
        <w:rPr>
          <w:rStyle w:val="Refdenotaderodap"/>
          <w:rFonts w:ascii="Times New Roman" w:hAnsi="Times New Roman"/>
          <w:sz w:val="24"/>
          <w:szCs w:val="24"/>
        </w:rPr>
        <w:footnoteReference w:id="153"/>
      </w:r>
      <w:r w:rsidRPr="002C1356">
        <w:rPr>
          <w:rFonts w:ascii="Times New Roman" w:hAnsi="Times New Roman"/>
          <w:sz w:val="24"/>
          <w:szCs w:val="24"/>
        </w:rPr>
        <w:t xml:space="preserve"> afirma que o processo de internacionalização dos direitos humanos “foi antecipada no plano das ideias pela reflexão de Kant”, em particular o direito cosmopolita, que diz respeito “aos seres humanos e aos Estados em suas relações de interdependência como um Estado universal da humanidade”. </w:t>
      </w:r>
    </w:p>
    <w:p w14:paraId="30FC5F45" w14:textId="12A678C7" w:rsidR="003D7DAB" w:rsidRPr="002C1356" w:rsidRDefault="003D7DAB" w:rsidP="003D7DAB">
      <w:pPr>
        <w:spacing w:after="0" w:line="360" w:lineRule="auto"/>
        <w:contextualSpacing/>
        <w:jc w:val="both"/>
        <w:rPr>
          <w:rFonts w:ascii="Times New Roman" w:hAnsi="Times New Roman"/>
          <w:sz w:val="24"/>
          <w:szCs w:val="24"/>
        </w:rPr>
      </w:pPr>
      <w:r w:rsidRPr="002C1356">
        <w:rPr>
          <w:rFonts w:ascii="Times New Roman" w:hAnsi="Times New Roman"/>
          <w:sz w:val="24"/>
          <w:szCs w:val="24"/>
        </w:rPr>
        <w:tab/>
        <w:t>Esclarece Immanuel Kant (1724-1804)</w:t>
      </w:r>
      <w:r w:rsidRPr="002C1356">
        <w:rPr>
          <w:rStyle w:val="Refdenotaderodap"/>
          <w:rFonts w:ascii="Times New Roman" w:hAnsi="Times New Roman"/>
          <w:sz w:val="24"/>
          <w:szCs w:val="24"/>
        </w:rPr>
        <w:footnoteReference w:id="154"/>
      </w:r>
      <w:r w:rsidRPr="002C1356">
        <w:rPr>
          <w:rFonts w:ascii="Times New Roman" w:hAnsi="Times New Roman"/>
          <w:sz w:val="24"/>
          <w:szCs w:val="24"/>
        </w:rPr>
        <w:t>, nas primeiras linhas do terceiro artigo definitivo no ensaio em forma de tratado “À Paz Perpétua: um projeto filosófico (1795-1796) ”, a respeito do Direito Cosmopolita:</w:t>
      </w:r>
    </w:p>
    <w:p w14:paraId="5CDF9FAC" w14:textId="77777777" w:rsidR="003D7DAB" w:rsidRPr="002C1356" w:rsidRDefault="003D7DAB" w:rsidP="00A931C3">
      <w:pPr>
        <w:pStyle w:val="citao"/>
        <w:spacing w:line="360" w:lineRule="auto"/>
        <w:ind w:left="2126"/>
      </w:pPr>
      <w:r w:rsidRPr="002C1356">
        <w:rPr>
          <w:b/>
        </w:rPr>
        <w:t>O direito cosmopolita</w:t>
      </w:r>
      <w:r w:rsidRPr="002C1356">
        <w:t xml:space="preserve"> deve limitar-se às condições da </w:t>
      </w:r>
      <w:r w:rsidRPr="002C1356">
        <w:rPr>
          <w:b/>
        </w:rPr>
        <w:t>hospitalidade</w:t>
      </w:r>
      <w:r w:rsidRPr="002C1356">
        <w:t xml:space="preserve"> universal. Fala-se aqui, como nos artigos anteriores, não de filantropia, mas de direito, e </w:t>
      </w:r>
      <w:r w:rsidRPr="002C1356">
        <w:rPr>
          <w:b/>
        </w:rPr>
        <w:t xml:space="preserve">hospitalidade </w:t>
      </w:r>
      <w:r w:rsidRPr="002C1356">
        <w:t>significa aqui o direito de um estrangeiro a não ser tratado com hostilidade em virtude de sua vinda ao território de outro. Este pode rejeitar o estrangeiro, se isso puder ocorrer sem a ruína dele, mas enquanto o estrangeiro se comportar amistosamente no seu lugar, o outro não o deve confrontar com hostilidade.</w:t>
      </w:r>
    </w:p>
    <w:p w14:paraId="5D1F678D" w14:textId="1774183A" w:rsidR="003D7DAB" w:rsidRPr="002C1356" w:rsidRDefault="003D7DAB" w:rsidP="00647ACF">
      <w:pPr>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No último parágrafo do terceiro artigo definitivo Kant esclarece a “natureza” do direito cosmopolita:</w:t>
      </w:r>
      <w:r w:rsidRPr="002C1356">
        <w:rPr>
          <w:rStyle w:val="Refdenotaderodap"/>
          <w:rFonts w:ascii="Times New Roman" w:hAnsi="Times New Roman"/>
          <w:sz w:val="24"/>
          <w:szCs w:val="24"/>
        </w:rPr>
        <w:footnoteReference w:id="155"/>
      </w:r>
      <w:r w:rsidRPr="002C1356">
        <w:rPr>
          <w:rFonts w:ascii="Times New Roman" w:hAnsi="Times New Roman"/>
          <w:i/>
          <w:sz w:val="24"/>
          <w:szCs w:val="24"/>
        </w:rPr>
        <w:t xml:space="preserve"> </w:t>
      </w:r>
    </w:p>
    <w:p w14:paraId="18D46863" w14:textId="77777777" w:rsidR="003D7DAB" w:rsidRPr="002C1356" w:rsidRDefault="003D7DAB" w:rsidP="00A931C3">
      <w:pPr>
        <w:pStyle w:val="citao"/>
        <w:spacing w:line="360" w:lineRule="auto"/>
        <w:ind w:left="2126"/>
      </w:pPr>
      <w:r w:rsidRPr="002C1356">
        <w:lastRenderedPageBreak/>
        <w:t xml:space="preserve">Ora, como se avançou tanto no estabelecimento de uma comunidade (mais ou menos estreita) entre os povos da Terra que a violação de um direito num lugar da Terra se sente em todos os outros, a ideia de um direito cosmopolita não é nenhuma representação fantástica e extravagante do direito, mas um complemento necessário de código não escrito, tanto do direito político como do direito das gentes, num direito público da humanidade em geral e, assim, num complemento da paz perpétua, em cuja contínua aproximação é possível encontrar-se sob essa condição. </w:t>
      </w:r>
    </w:p>
    <w:p w14:paraId="27B5617A" w14:textId="77777777" w:rsidR="003D7DAB" w:rsidRPr="002C1356" w:rsidRDefault="003D7DAB" w:rsidP="003D7DAB">
      <w:pPr>
        <w:spacing w:after="0" w:line="360" w:lineRule="auto"/>
        <w:ind w:firstLine="709"/>
        <w:contextualSpacing/>
        <w:jc w:val="both"/>
        <w:rPr>
          <w:rFonts w:ascii="Times New Roman" w:hAnsi="Times New Roman"/>
          <w:i/>
          <w:sz w:val="24"/>
          <w:szCs w:val="24"/>
        </w:rPr>
      </w:pPr>
    </w:p>
    <w:p w14:paraId="077D7034" w14:textId="62012192" w:rsidR="003D7DAB" w:rsidRPr="00265580" w:rsidRDefault="003D7DAB" w:rsidP="00265580">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As seguintes palavras de René Cassin</w:t>
      </w:r>
      <w:r w:rsidRPr="002C1356">
        <w:rPr>
          <w:rStyle w:val="Refdenotaderodap"/>
          <w:rFonts w:ascii="Times New Roman" w:hAnsi="Times New Roman"/>
          <w:sz w:val="24"/>
          <w:szCs w:val="24"/>
        </w:rPr>
        <w:footnoteReference w:id="156"/>
      </w:r>
      <w:r w:rsidRPr="002C1356">
        <w:rPr>
          <w:rFonts w:ascii="Times New Roman" w:hAnsi="Times New Roman"/>
          <w:sz w:val="24"/>
          <w:szCs w:val="24"/>
        </w:rPr>
        <w:t xml:space="preserve">, em um artigo escrito a propósito da elaboração da DUDH, fazem eco ao direito cosmopolita proposto por Kant: </w:t>
      </w:r>
    </w:p>
    <w:p w14:paraId="08372BCB" w14:textId="03B2C38A" w:rsidR="003D7DAB" w:rsidRPr="002C1356" w:rsidRDefault="003D7DAB" w:rsidP="00A931C3">
      <w:pPr>
        <w:pStyle w:val="citao"/>
        <w:spacing w:line="360" w:lineRule="auto"/>
        <w:ind w:left="2126"/>
      </w:pPr>
      <w:r w:rsidRPr="002C1356">
        <w:t xml:space="preserve">Devemos então agir. De uma maneira mais precisa, devemos buscar aqui como, em se apoiando sobre os princípios e sobre a técnica, o direito internacional e, mais alto ainda, o direito da sociedade universal dos homens, a comunidade jurídica do gênero humano pode fornecer proteção e garantia as liberdades fundamentais dos indivíduos que a compõe. </w:t>
      </w:r>
    </w:p>
    <w:p w14:paraId="21137D48" w14:textId="5BD229CF" w:rsidR="003D7DAB" w:rsidRPr="00647ACF"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 Diversos estudiosos</w:t>
      </w:r>
      <w:r w:rsidRPr="002C1356">
        <w:rPr>
          <w:rStyle w:val="Refdenotaderodap"/>
          <w:rFonts w:ascii="Times New Roman" w:hAnsi="Times New Roman"/>
          <w:sz w:val="24"/>
          <w:szCs w:val="24"/>
        </w:rPr>
        <w:footnoteReference w:id="157"/>
      </w:r>
      <w:r w:rsidRPr="002C1356">
        <w:rPr>
          <w:rFonts w:ascii="Times New Roman" w:hAnsi="Times New Roman"/>
          <w:sz w:val="24"/>
          <w:szCs w:val="24"/>
        </w:rPr>
        <w:t xml:space="preserve"> consideram Cassin o responsável pela introdução do adjetivo “universal” na DUDH. Apesar da quase unanimidade dessa afirmação, alguns novos estudos indicam que Cassin tinha – indubitavelmente – uma perspectiva cosmopolita mas simultaneamente um olhar etnocêntrico</w:t>
      </w:r>
      <w:r w:rsidRPr="002C1356">
        <w:rPr>
          <w:rStyle w:val="Refdenotaderodap"/>
          <w:rFonts w:ascii="Times New Roman" w:hAnsi="Times New Roman"/>
          <w:sz w:val="24"/>
          <w:szCs w:val="24"/>
        </w:rPr>
        <w:footnoteReference w:id="158"/>
      </w:r>
      <w:r w:rsidRPr="002C1356">
        <w:rPr>
          <w:rFonts w:ascii="Times New Roman" w:hAnsi="Times New Roman"/>
          <w:sz w:val="24"/>
          <w:szCs w:val="24"/>
        </w:rPr>
        <w:t xml:space="preserve">. </w:t>
      </w:r>
    </w:p>
    <w:p w14:paraId="0FBA508B" w14:textId="44E8F405" w:rsidR="003D7DAB" w:rsidRPr="00265580" w:rsidRDefault="003D7DAB" w:rsidP="00A931C3">
      <w:pPr>
        <w:pStyle w:val="citao"/>
        <w:spacing w:line="360" w:lineRule="auto"/>
        <w:ind w:left="2126"/>
      </w:pPr>
      <w:r w:rsidRPr="002C1356">
        <w:t xml:space="preserve">(...) não existe nenhuma dúvida de que Cassin concebeu os direitos humanos emergindo da tradição política francesa enraizado na “verdadeira” cultura da França – sua linguagem, suas leis e sua literatura. Ao mesmo tempo, a relação entre os pontos de vista de Cassin e aqueles representados pelos “não europeus” envolvidos na formulação de um documento internacional de direitos humanos na segunda metade do século XX – homens e mulheres como Menon, Metha, Romulo, e Chang – também deixa claro que não podemos </w:t>
      </w:r>
      <w:r w:rsidRPr="002C1356">
        <w:lastRenderedPageBreak/>
        <w:t>simplesmente dispensar a história dos direitos humanos como uma história paroquial de ambições europeias.</w:t>
      </w:r>
    </w:p>
    <w:p w14:paraId="79B08D7B" w14:textId="77777777" w:rsidR="003D7DAB" w:rsidRPr="002C1356" w:rsidRDefault="003D7DAB" w:rsidP="003D7DAB">
      <w:pPr>
        <w:spacing w:after="0" w:line="360" w:lineRule="auto"/>
        <w:ind w:firstLine="709"/>
        <w:contextualSpacing/>
        <w:jc w:val="both"/>
        <w:rPr>
          <w:rFonts w:ascii="Times New Roman" w:hAnsi="Times New Roman"/>
          <w:b/>
          <w:sz w:val="24"/>
          <w:szCs w:val="24"/>
        </w:rPr>
      </w:pPr>
      <w:r w:rsidRPr="002C1356">
        <w:rPr>
          <w:rFonts w:ascii="Times New Roman" w:hAnsi="Times New Roman"/>
          <w:sz w:val="24"/>
          <w:szCs w:val="24"/>
        </w:rPr>
        <w:t xml:space="preserve">Sem entrar em discussões a respeito da natureza da visão cosmopolita de Cassin, importa reafirmar o novo que foi o universal. O que faz desse adjetivo uma resposta à ruptura causada pelos campos de concentração. </w:t>
      </w:r>
    </w:p>
    <w:p w14:paraId="05308F3D" w14:textId="77777777" w:rsidR="003D7DAB" w:rsidRPr="002C1356" w:rsidRDefault="003D7DAB" w:rsidP="003D7DAB">
      <w:pPr>
        <w:spacing w:after="0" w:line="360" w:lineRule="auto"/>
        <w:contextualSpacing/>
        <w:jc w:val="both"/>
        <w:rPr>
          <w:rFonts w:ascii="Times New Roman" w:hAnsi="Times New Roman"/>
          <w:b/>
          <w:sz w:val="24"/>
          <w:szCs w:val="24"/>
        </w:rPr>
      </w:pPr>
    </w:p>
    <w:p w14:paraId="4DDF9ED1" w14:textId="289AC1A4" w:rsidR="003D7DAB" w:rsidRPr="002C1356" w:rsidRDefault="003D7DAB" w:rsidP="003D7DAB">
      <w:pPr>
        <w:spacing w:after="0" w:line="360" w:lineRule="auto"/>
        <w:contextualSpacing/>
        <w:jc w:val="both"/>
        <w:rPr>
          <w:rFonts w:ascii="Times New Roman" w:hAnsi="Times New Roman"/>
          <w:b/>
          <w:sz w:val="24"/>
          <w:szCs w:val="24"/>
        </w:rPr>
      </w:pPr>
      <w:r w:rsidRPr="002C1356">
        <w:rPr>
          <w:rFonts w:ascii="Times New Roman" w:hAnsi="Times New Roman"/>
          <w:b/>
          <w:sz w:val="24"/>
          <w:szCs w:val="24"/>
        </w:rPr>
        <w:t>2.1.3) A Dignidade da Pessoa o Personalismo na DUDH</w:t>
      </w:r>
    </w:p>
    <w:p w14:paraId="16DC9C1C" w14:textId="3C117C12" w:rsidR="003D7DAB" w:rsidRPr="002C1356" w:rsidRDefault="003D7DAB" w:rsidP="00A931C3">
      <w:pPr>
        <w:pStyle w:val="citao"/>
        <w:spacing w:line="360" w:lineRule="auto"/>
        <w:ind w:left="2126"/>
      </w:pPr>
      <w:r w:rsidRPr="002C1356">
        <w:t>Esta é a primeira vez que os princíp</w:t>
      </w:r>
      <w:r w:rsidR="00C619DE">
        <w:t xml:space="preserve">ios dos direitos humanos e das </w:t>
      </w:r>
      <w:r w:rsidRPr="002C1356">
        <w:t>liberdades fundamentais são descritos de modo impositivo e em detalhes precisos. Eu agora sei que meu governo se comprometeu a promover, conquistar e observar (…). Posso me manifestar contra o meu governo e, se ele não cumprir seu compromisso, terei o apoio moral do mundo todo.</w:t>
      </w:r>
    </w:p>
    <w:p w14:paraId="27D1C8AE" w14:textId="6D439E90" w:rsidR="003D7DAB" w:rsidRPr="00265580" w:rsidRDefault="003D7DAB" w:rsidP="00A931C3">
      <w:pPr>
        <w:pStyle w:val="citao"/>
        <w:spacing w:line="360" w:lineRule="auto"/>
        <w:ind w:left="2126"/>
      </w:pPr>
      <w:r w:rsidRPr="002C1356">
        <w:t>(Charles Malik)</w:t>
      </w:r>
    </w:p>
    <w:p w14:paraId="360C7069" w14:textId="77777777" w:rsidR="003D7DAB" w:rsidRPr="002C1356" w:rsidRDefault="003D7DAB" w:rsidP="003D7DAB">
      <w:pPr>
        <w:spacing w:after="0" w:line="360" w:lineRule="auto"/>
        <w:contextualSpacing/>
        <w:jc w:val="both"/>
        <w:rPr>
          <w:rFonts w:ascii="Times New Roman" w:hAnsi="Times New Roman"/>
          <w:sz w:val="24"/>
          <w:szCs w:val="24"/>
        </w:rPr>
      </w:pPr>
      <w:r w:rsidRPr="002C1356">
        <w:rPr>
          <w:rFonts w:ascii="Times New Roman" w:hAnsi="Times New Roman"/>
          <w:b/>
          <w:sz w:val="24"/>
          <w:szCs w:val="24"/>
        </w:rPr>
        <w:tab/>
      </w:r>
      <w:r w:rsidRPr="002C1356">
        <w:rPr>
          <w:rFonts w:ascii="Times New Roman" w:hAnsi="Times New Roman"/>
          <w:sz w:val="24"/>
          <w:szCs w:val="24"/>
        </w:rPr>
        <w:t>Os direitos humanos são de natureza jurídica, mas o que lhes confere uma aparência de natureza moral é o sentido de sua validade, que ultrapassa a ordem jurídica dos Estados-nação.</w:t>
      </w:r>
      <w:r w:rsidRPr="002C1356">
        <w:rPr>
          <w:rStyle w:val="Refdenotaderodap"/>
          <w:rFonts w:ascii="Times New Roman" w:hAnsi="Times New Roman"/>
          <w:sz w:val="24"/>
          <w:szCs w:val="24"/>
        </w:rPr>
        <w:footnoteReference w:id="159"/>
      </w:r>
    </w:p>
    <w:p w14:paraId="60F2E88B" w14:textId="50D24847" w:rsidR="003D7DAB" w:rsidRPr="002C1356"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É importante ter claro que a DUDH, em termos concretos, significou a emergência histórica da pessoa humana no âmbito do Direito Internacional e também do Direito Cosmopolita, na perspectiva kantiana. Para Habermas:</w:t>
      </w:r>
      <w:r w:rsidRPr="002C1356">
        <w:rPr>
          <w:rStyle w:val="Refdenotaderodap"/>
          <w:rFonts w:ascii="Times New Roman" w:hAnsi="Times New Roman"/>
          <w:sz w:val="24"/>
          <w:szCs w:val="24"/>
        </w:rPr>
        <w:footnoteReference w:id="160"/>
      </w:r>
      <w:r w:rsidRPr="002C1356">
        <w:rPr>
          <w:rFonts w:ascii="Times New Roman" w:hAnsi="Times New Roman"/>
          <w:sz w:val="24"/>
          <w:szCs w:val="24"/>
        </w:rPr>
        <w:t xml:space="preserve"> </w:t>
      </w:r>
    </w:p>
    <w:p w14:paraId="0776D5E0" w14:textId="0FA279AD" w:rsidR="003D7DAB" w:rsidRPr="00265580" w:rsidRDefault="003D7DAB" w:rsidP="00A931C3">
      <w:pPr>
        <w:pStyle w:val="citao"/>
        <w:spacing w:line="360" w:lineRule="auto"/>
        <w:ind w:left="2126"/>
      </w:pPr>
      <w:r w:rsidRPr="002C1356">
        <w:t>Bem ao contrário, a chave do direito cosmopolita reside no fato que ele concerne, para além dos sujeitos coletivos de direito internacional, o status de sujeito de direito individuais, fundando entre eles um pertencimento direto a associação de cosmopolitas livres e iguais.</w:t>
      </w:r>
    </w:p>
    <w:p w14:paraId="74F7B0CA"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Para Jens David Ohlin</w:t>
      </w:r>
      <w:r w:rsidRPr="002C1356">
        <w:rPr>
          <w:rStyle w:val="Refdenotaderodap"/>
          <w:rFonts w:ascii="Times New Roman" w:hAnsi="Times New Roman"/>
          <w:sz w:val="24"/>
          <w:szCs w:val="24"/>
        </w:rPr>
        <w:footnoteReference w:id="161"/>
      </w:r>
      <w:r w:rsidRPr="002C1356">
        <w:rPr>
          <w:rFonts w:ascii="Times New Roman" w:hAnsi="Times New Roman"/>
          <w:sz w:val="24"/>
          <w:szCs w:val="24"/>
        </w:rPr>
        <w:t xml:space="preserve"> a pessoa funciona como um conceito “guarda-chuva” no âmbito dos direitos humanos. No que esse relaciona à presente tese, lembro as quatro dimensões da pessoa proposta por Rainer Forst:</w:t>
      </w:r>
      <w:r w:rsidRPr="002C1356">
        <w:rPr>
          <w:rStyle w:val="Refdenotaderodap"/>
          <w:rFonts w:ascii="Times New Roman" w:hAnsi="Times New Roman"/>
          <w:sz w:val="24"/>
          <w:szCs w:val="24"/>
        </w:rPr>
        <w:footnoteReference w:id="162"/>
      </w:r>
      <w:r w:rsidRPr="002C1356">
        <w:rPr>
          <w:rFonts w:ascii="Times New Roman" w:hAnsi="Times New Roman"/>
          <w:sz w:val="24"/>
          <w:szCs w:val="24"/>
        </w:rPr>
        <w:t xml:space="preserve"> 1) moral; 2) ética; 3) de direito e 4) cidadão. A DUDH reconhece a pessoa humana no horizonte da “comunidade jurídica do gênero humano”. Esse reconhecimento abrange as dimensões moral e ética. Todavia, a </w:t>
      </w:r>
      <w:r w:rsidRPr="002C1356">
        <w:rPr>
          <w:rFonts w:ascii="Times New Roman" w:hAnsi="Times New Roman"/>
          <w:sz w:val="24"/>
          <w:szCs w:val="24"/>
        </w:rPr>
        <w:lastRenderedPageBreak/>
        <w:t xml:space="preserve">pessoa de direito não foi abrangida por referido reconhecimento, pois a DUDH não era, à época de sua elaboração, um instrumento jurídico vinculante, o que veio a acontecer posteriormente, quando a declaração se transformou, em uma norma do </w:t>
      </w:r>
      <w:r w:rsidRPr="002C1356">
        <w:rPr>
          <w:rFonts w:ascii="Times New Roman" w:hAnsi="Times New Roman"/>
          <w:i/>
          <w:sz w:val="24"/>
          <w:szCs w:val="24"/>
        </w:rPr>
        <w:t xml:space="preserve">jus cogens </w:t>
      </w:r>
      <w:r w:rsidRPr="002C1356">
        <w:rPr>
          <w:rFonts w:ascii="Times New Roman" w:hAnsi="Times New Roman"/>
          <w:sz w:val="24"/>
          <w:szCs w:val="24"/>
        </w:rPr>
        <w:t>por ser considerada um costume internacional.</w:t>
      </w:r>
    </w:p>
    <w:p w14:paraId="5D461AFC"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plano da moralidade universal a DUDH contribuiu para várias mudanças na própria ONU. O sistema internacional de tutelas passou a contar com o trabalho de diversos profissionais comprometidos com o processo de descolonização dos “países tutelados”</w:t>
      </w:r>
      <w:r w:rsidRPr="002C1356">
        <w:rPr>
          <w:rStyle w:val="Refdenotaderodap"/>
          <w:rFonts w:ascii="Times New Roman" w:hAnsi="Times New Roman"/>
          <w:sz w:val="24"/>
          <w:szCs w:val="24"/>
        </w:rPr>
        <w:footnoteReference w:id="163"/>
      </w:r>
      <w:r w:rsidRPr="002C1356">
        <w:rPr>
          <w:rFonts w:ascii="Times New Roman" w:hAnsi="Times New Roman"/>
          <w:sz w:val="24"/>
          <w:szCs w:val="24"/>
        </w:rPr>
        <w:t>. No dia 22 de outubro de 1962, ao ser preso, o líder sul africano Nelson Mandella (1918-2013) afirmou: “A Declaração Universal dos Direitos Humanos estabelece que todos os homens são iguais perante a lei”.</w:t>
      </w:r>
      <w:r w:rsidRPr="002C1356">
        <w:rPr>
          <w:rStyle w:val="Refdenotaderodap"/>
          <w:rFonts w:ascii="Times New Roman" w:hAnsi="Times New Roman"/>
          <w:sz w:val="24"/>
          <w:szCs w:val="24"/>
        </w:rPr>
        <w:footnoteReference w:id="164"/>
      </w:r>
      <w:r w:rsidRPr="002C1356">
        <w:rPr>
          <w:rFonts w:ascii="Times New Roman" w:hAnsi="Times New Roman"/>
          <w:sz w:val="24"/>
          <w:szCs w:val="24"/>
        </w:rPr>
        <w:t xml:space="preserve"> O texto da DUDH foi o documento mais traduzido na história,</w:t>
      </w:r>
      <w:r w:rsidRPr="002C1356">
        <w:rPr>
          <w:rStyle w:val="Refdenotaderodap"/>
          <w:rFonts w:ascii="Times New Roman" w:hAnsi="Times New Roman"/>
          <w:sz w:val="24"/>
          <w:szCs w:val="24"/>
        </w:rPr>
        <w:footnoteReference w:id="165"/>
      </w:r>
      <w:r w:rsidRPr="002C1356">
        <w:rPr>
          <w:rFonts w:ascii="Times New Roman" w:hAnsi="Times New Roman"/>
          <w:sz w:val="24"/>
          <w:szCs w:val="24"/>
        </w:rPr>
        <w:t xml:space="preserve"> o que mostra a amplitude de sua divulgação.</w:t>
      </w:r>
    </w:p>
    <w:p w14:paraId="65861B13"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tocante a duas características do valor apontadas por Miguel Reale (1910-2006), vale dizer: realizabilidade e inexauribilidade. A DUDH possibilitou a generalização do valor da dignidade da pessoa, transformando a pessoa em uma “invariante axiológica” e, simultaneamente, possibilitou a elaboração de diversos instrumentos jurídicos, o que a transformou no documento matriz do Direito Internacional dos Direitos Humanos.</w:t>
      </w:r>
      <w:r w:rsidRPr="002C1356">
        <w:rPr>
          <w:rFonts w:ascii="Times New Roman" w:hAnsi="Times New Roman"/>
          <w:i/>
          <w:sz w:val="24"/>
          <w:szCs w:val="24"/>
        </w:rPr>
        <w:t xml:space="preserve"> </w:t>
      </w:r>
      <w:r w:rsidRPr="002C1356">
        <w:rPr>
          <w:rFonts w:ascii="Times New Roman" w:hAnsi="Times New Roman"/>
          <w:sz w:val="24"/>
          <w:szCs w:val="24"/>
        </w:rPr>
        <w:t>A inexauribilidade da dignidade da pessoa demandava a elaboração de tratados vinculantes, o que seria realizado posteriormente.</w:t>
      </w:r>
    </w:p>
    <w:p w14:paraId="64C98676"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elaboração da DUDH propiciou o que Hans Joas chama de um processo de generalização de um valor.</w:t>
      </w:r>
      <w:r w:rsidRPr="002C1356">
        <w:rPr>
          <w:rStyle w:val="Refdenotaderodap"/>
          <w:rFonts w:ascii="Times New Roman" w:hAnsi="Times New Roman"/>
          <w:sz w:val="24"/>
          <w:szCs w:val="24"/>
        </w:rPr>
        <w:footnoteReference w:id="166"/>
      </w:r>
      <w:r w:rsidRPr="002C1356">
        <w:rPr>
          <w:rFonts w:ascii="Times New Roman" w:hAnsi="Times New Roman"/>
          <w:sz w:val="24"/>
          <w:szCs w:val="24"/>
        </w:rPr>
        <w:t xml:space="preserve"> </w:t>
      </w:r>
    </w:p>
    <w:p w14:paraId="62DAF115" w14:textId="104E8506" w:rsidR="003D7DAB" w:rsidRPr="00265580" w:rsidRDefault="003D7DAB" w:rsidP="00A931C3">
      <w:pPr>
        <w:pStyle w:val="citao"/>
        <w:spacing w:line="360" w:lineRule="auto"/>
        <w:ind w:left="2126"/>
      </w:pPr>
      <w:r w:rsidRPr="002C1356">
        <w:t>A generalização de valores não é, portanto, nem um consenso no sentido do discurso argumentativo racional nem uma simples decisão de coexistência pacífica apesar do dissenso ideológico insuperável. Uma vez mais evidencia-se que o resultado de uma comunicação exitosa referente a valores é maior ou menor que o resultado de um discurso racional: não chega a ser um consenso pleno, mas uma modificação recíproca dinâmica e um impulso para a renovação da respectiva tradição própria de cada qual.</w:t>
      </w:r>
    </w:p>
    <w:p w14:paraId="045FAD11"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Tal processo de generalização do valor da dignidade da pessoa só foi possível graças à irradiação de feixes axiológicos provenientes de diversas tradições, a saber: 1) </w:t>
      </w:r>
      <w:r w:rsidRPr="002C1356">
        <w:rPr>
          <w:rFonts w:ascii="Times New Roman" w:hAnsi="Times New Roman"/>
          <w:sz w:val="24"/>
          <w:szCs w:val="24"/>
        </w:rPr>
        <w:lastRenderedPageBreak/>
        <w:t>liberdade e pluralidade do pensar (Grécia); 2) consciência dos valores autônomos do Direito (Roma); 3) reconhecimento da igualdade da natureza humana (Cristianismo); 4) governo para os indivíduos, e não o contrário (Liberalismo); 5) exigência da igualdade perante a vida e a cultura (Socialismo).</w:t>
      </w:r>
      <w:r w:rsidRPr="002C1356">
        <w:rPr>
          <w:rStyle w:val="Refdenotaderodap"/>
          <w:rFonts w:ascii="Times New Roman" w:hAnsi="Times New Roman"/>
          <w:sz w:val="24"/>
          <w:szCs w:val="24"/>
        </w:rPr>
        <w:footnoteReference w:id="167"/>
      </w:r>
    </w:p>
    <w:p w14:paraId="657F1102"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Concentrar-me-ei na análise da contribuição do legado histórico do cristianismo. De acordo com Samuel Moyn,</w:t>
      </w:r>
      <w:r w:rsidRPr="002C1356">
        <w:rPr>
          <w:rStyle w:val="Refdenotaderodap"/>
          <w:rFonts w:ascii="Times New Roman" w:hAnsi="Times New Roman"/>
          <w:sz w:val="24"/>
          <w:szCs w:val="24"/>
        </w:rPr>
        <w:footnoteReference w:id="168"/>
      </w:r>
      <w:r w:rsidRPr="002C1356">
        <w:rPr>
          <w:rFonts w:ascii="Times New Roman" w:hAnsi="Times New Roman"/>
          <w:sz w:val="24"/>
          <w:szCs w:val="24"/>
        </w:rPr>
        <w:t xml:space="preserve"> com o final da Segunda Guerra Mundial e o colapso momentâneo das doutrinas fascista e capitalista, era imperioso encontrar uma doutrina capaz de “reinventar” o humanismo europeu, vale dizer: o personalismo.</w:t>
      </w:r>
    </w:p>
    <w:p w14:paraId="56BC5D88"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De acordo com o personalismo, o fundamento da sociedade é a pessoa, que difere do indivíduo, pois é um ser relacional em três dimensões: 1)</w:t>
      </w:r>
      <w:r w:rsidRPr="002C1356">
        <w:rPr>
          <w:rFonts w:ascii="Times New Roman" w:hAnsi="Times New Roman"/>
          <w:b/>
          <w:sz w:val="24"/>
          <w:szCs w:val="24"/>
        </w:rPr>
        <w:t xml:space="preserve"> </w:t>
      </w:r>
      <w:r w:rsidRPr="002C1356">
        <w:rPr>
          <w:rFonts w:ascii="Times New Roman" w:hAnsi="Times New Roman"/>
          <w:sz w:val="24"/>
          <w:szCs w:val="24"/>
        </w:rPr>
        <w:t>consigo próprio; 2)</w:t>
      </w:r>
      <w:r w:rsidRPr="002C1356">
        <w:rPr>
          <w:rFonts w:ascii="Times New Roman" w:hAnsi="Times New Roman"/>
          <w:b/>
          <w:sz w:val="24"/>
          <w:szCs w:val="24"/>
        </w:rPr>
        <w:t xml:space="preserve"> </w:t>
      </w:r>
      <w:r w:rsidRPr="002C1356">
        <w:rPr>
          <w:rFonts w:ascii="Times New Roman" w:hAnsi="Times New Roman"/>
          <w:sz w:val="24"/>
          <w:szCs w:val="24"/>
        </w:rPr>
        <w:t>com seu semelhante e 3)</w:t>
      </w:r>
      <w:r w:rsidRPr="002C1356">
        <w:rPr>
          <w:rFonts w:ascii="Times New Roman" w:hAnsi="Times New Roman"/>
          <w:b/>
          <w:sz w:val="24"/>
          <w:szCs w:val="24"/>
        </w:rPr>
        <w:t xml:space="preserve"> </w:t>
      </w:r>
      <w:r w:rsidRPr="002C1356">
        <w:rPr>
          <w:rFonts w:ascii="Times New Roman" w:hAnsi="Times New Roman"/>
          <w:sz w:val="24"/>
          <w:szCs w:val="24"/>
        </w:rPr>
        <w:t>com o transcendente, que, para alguns, pode ser Deus. O horizonte da proposta é uma civilização personalista.</w:t>
      </w:r>
      <w:r w:rsidRPr="002C1356">
        <w:rPr>
          <w:rStyle w:val="Refdenotaderodap"/>
          <w:rFonts w:ascii="Times New Roman" w:hAnsi="Times New Roman"/>
          <w:sz w:val="24"/>
          <w:szCs w:val="24"/>
        </w:rPr>
        <w:footnoteReference w:id="169"/>
      </w:r>
    </w:p>
    <w:p w14:paraId="135D0226"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semelhança com o conceito de sacralidade da pessoa é evidente, apesar de não citado nas principais obras dessa corrente doutrinária. O criador da expressão personalismo, Charles Renouvier (1815-1903), era considerado um “mestre” tanto por Durkheim como pelos filósofos personalistas.</w:t>
      </w:r>
    </w:p>
    <w:p w14:paraId="72283A2D"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Um dos principais pensadores personalistas foi Emmaneul Mounier (1905-1950), autor do “Manifesto a Serviço do Personalismo” (1936), e, em 1949, do livro </w:t>
      </w:r>
      <w:r w:rsidRPr="002C1356">
        <w:rPr>
          <w:rFonts w:ascii="Times New Roman" w:hAnsi="Times New Roman"/>
          <w:i/>
          <w:sz w:val="24"/>
          <w:szCs w:val="24"/>
        </w:rPr>
        <w:t>O personalismo</w:t>
      </w:r>
      <w:r w:rsidRPr="002C1356">
        <w:rPr>
          <w:rFonts w:ascii="Times New Roman" w:hAnsi="Times New Roman"/>
          <w:sz w:val="24"/>
          <w:szCs w:val="24"/>
        </w:rPr>
        <w:t xml:space="preserve"> (volume 395, da coleção “Que sais je?”). Mounier é também um dos fundadores da revista </w:t>
      </w:r>
      <w:r w:rsidRPr="002C1356">
        <w:rPr>
          <w:rFonts w:ascii="Times New Roman" w:hAnsi="Times New Roman"/>
          <w:i/>
          <w:sz w:val="24"/>
          <w:szCs w:val="24"/>
        </w:rPr>
        <w:t>Esprit</w:t>
      </w:r>
      <w:r w:rsidRPr="002C1356">
        <w:rPr>
          <w:rFonts w:ascii="Times New Roman" w:hAnsi="Times New Roman"/>
          <w:sz w:val="24"/>
          <w:szCs w:val="24"/>
        </w:rPr>
        <w:t xml:space="preserve">. Outro pensador francês de inspiração tomista e bastante influente no personalismo é Jacques Maritain (1882-1973), autor do livro </w:t>
      </w:r>
      <w:r w:rsidRPr="002C1356">
        <w:rPr>
          <w:rFonts w:ascii="Times New Roman" w:hAnsi="Times New Roman"/>
          <w:i/>
          <w:sz w:val="24"/>
          <w:szCs w:val="24"/>
        </w:rPr>
        <w:t>Os direitos do homem e a Lei Natural</w:t>
      </w:r>
      <w:r w:rsidRPr="002C1356">
        <w:rPr>
          <w:rFonts w:ascii="Times New Roman" w:hAnsi="Times New Roman"/>
          <w:sz w:val="24"/>
          <w:szCs w:val="24"/>
        </w:rPr>
        <w:t>.</w:t>
      </w:r>
    </w:p>
    <w:p w14:paraId="0C4CD067"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Na elaboração da DUDH dois profissionais de orientação personalista tiveram posição de destaque. O primeiro é Charles Malik (1906-1987), libanês cristão, filósofo e diplomata, integrante da Comissão de Direitos Humanos responsável pela elaboração da DUDH. Afirma Malik, no ano de 1951, para uma plateia universitária: “Para o cristianismo, a pessoa humana individual tem um absoluto valor (…) O último grau de toda nossa liberdade é a doutrina cristã da absoluta inviolabilidade da pessoa humana”.</w:t>
      </w:r>
      <w:r w:rsidRPr="002C1356">
        <w:rPr>
          <w:rStyle w:val="Refdenotaderodap"/>
          <w:rFonts w:ascii="Times New Roman" w:hAnsi="Times New Roman"/>
          <w:sz w:val="24"/>
          <w:szCs w:val="24"/>
        </w:rPr>
        <w:footnoteReference w:id="170"/>
      </w:r>
      <w:r w:rsidRPr="002C1356">
        <w:rPr>
          <w:rFonts w:ascii="Times New Roman" w:hAnsi="Times New Roman"/>
          <w:sz w:val="24"/>
          <w:szCs w:val="24"/>
        </w:rPr>
        <w:t xml:space="preserve"> </w:t>
      </w:r>
    </w:p>
    <w:p w14:paraId="31C570AC" w14:textId="2E2BBAB0" w:rsidR="003D7DAB" w:rsidRPr="002C1356"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lastRenderedPageBreak/>
        <w:t>O outro profissional que participa como delegado das Filipinas na ONU foi Carlos Peña Romulo (1898-1985), que teve um importante papel durante os debates da DUDH na assembleia geral.</w:t>
      </w:r>
      <w:r w:rsidRPr="002C1356">
        <w:rPr>
          <w:rStyle w:val="Refdenotaderodap"/>
          <w:rFonts w:ascii="Times New Roman" w:hAnsi="Times New Roman"/>
          <w:sz w:val="24"/>
          <w:szCs w:val="24"/>
        </w:rPr>
        <w:footnoteReference w:id="171"/>
      </w:r>
      <w:r w:rsidRPr="002C1356">
        <w:rPr>
          <w:rFonts w:ascii="Times New Roman" w:hAnsi="Times New Roman"/>
          <w:sz w:val="24"/>
          <w:szCs w:val="24"/>
        </w:rPr>
        <w:t xml:space="preserve"> Jurista personalista e jusnaturalista, Romulo afirmou em um texto escrito em 1949:</w:t>
      </w:r>
      <w:r w:rsidRPr="002C1356">
        <w:rPr>
          <w:rStyle w:val="Refdenotaderodap"/>
          <w:rFonts w:ascii="Times New Roman" w:hAnsi="Times New Roman"/>
          <w:sz w:val="24"/>
          <w:szCs w:val="24"/>
        </w:rPr>
        <w:footnoteReference w:id="172"/>
      </w:r>
    </w:p>
    <w:p w14:paraId="191DEE47" w14:textId="1B2EEF8B" w:rsidR="003D7DAB" w:rsidRPr="00265580" w:rsidRDefault="003D7DAB" w:rsidP="00A931C3">
      <w:pPr>
        <w:pStyle w:val="citao"/>
        <w:spacing w:line="360" w:lineRule="auto"/>
        <w:ind w:left="2126"/>
      </w:pPr>
      <w:r w:rsidRPr="002C1356">
        <w:t>A DUDH demonstrou muito claramente a tendência de trabalhar um sistema de Direito Internacional o mais próximo possível em conformidade e o mais próximo possível do direito natural (…) Nós podemos nos encontrar diante de um aparente</w:t>
      </w:r>
      <w:r w:rsidRPr="002C1356">
        <w:rPr>
          <w:b/>
        </w:rPr>
        <w:t xml:space="preserve"> </w:t>
      </w:r>
      <w:r w:rsidRPr="002C1356">
        <w:t>paradoxo do Cristianismo emergir como o único programa prático para uma paz duradoura e ordem equitativa</w:t>
      </w:r>
      <w:r w:rsidRPr="002C1356">
        <w:rPr>
          <w:b/>
        </w:rPr>
        <w:t xml:space="preserve"> </w:t>
      </w:r>
      <w:r w:rsidRPr="002C1356">
        <w:t xml:space="preserve">em nosso conturbado mundo. </w:t>
      </w:r>
    </w:p>
    <w:p w14:paraId="2C4AE53F"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palavra “pessoa” aparece cinco vezes no preâmbulo e em diversos artigos da DUDH.</w:t>
      </w:r>
      <w:r w:rsidRPr="002C1356">
        <w:rPr>
          <w:rStyle w:val="Refdenotaderodap"/>
          <w:rFonts w:ascii="Times New Roman" w:hAnsi="Times New Roman"/>
          <w:sz w:val="24"/>
          <w:szCs w:val="24"/>
        </w:rPr>
        <w:footnoteReference w:id="173"/>
      </w:r>
      <w:r w:rsidRPr="002C1356">
        <w:rPr>
          <w:rFonts w:ascii="Times New Roman" w:hAnsi="Times New Roman"/>
          <w:sz w:val="24"/>
          <w:szCs w:val="24"/>
        </w:rPr>
        <w:t xml:space="preserve"> O jurista espanhol Juan Antonio Carrillo Salcedo (1934-2013)</w:t>
      </w:r>
      <w:r w:rsidRPr="002C1356">
        <w:rPr>
          <w:rStyle w:val="Refdenotaderodap"/>
          <w:rFonts w:ascii="Times New Roman" w:hAnsi="Times New Roman"/>
          <w:sz w:val="24"/>
          <w:szCs w:val="24"/>
        </w:rPr>
        <w:footnoteReference w:id="174"/>
      </w:r>
      <w:r w:rsidRPr="002C1356">
        <w:rPr>
          <w:rFonts w:ascii="Times New Roman" w:hAnsi="Times New Roman"/>
          <w:sz w:val="24"/>
          <w:szCs w:val="24"/>
        </w:rPr>
        <w:t xml:space="preserve"> propõe uma divisão da DUDH em cinco grupos de direitos: 1) direitos inerentes a pessoa (art. 3, 4, 5, 6, 7); 2) direitos que garantem a segurança das pessoas (art. 8, 9, 10, 11, 12 e 14); 3) direitos relativos à vida política do indivíduo (art. 18, 19, 20 e 21); 4) direitos econômicos e sociais (art. 17, 22, 23, 24, 25, 26 e 27); e 5) direitos relativos à vida jurídica e social dos indivíduos (art. 13, 15 e 26).</w:t>
      </w:r>
    </w:p>
    <w:p w14:paraId="5049785A"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Carrillo Salcedo parece definir pessoa como o indivíduo em relação a algum outro indivíduo ou a uma instituição, e indivíduo quando o exercício de um direito ocorre de forma não relacional, por exemplo, o direito a nacionalidade. O que observo nesses cinco grupos é que os direitos destinados a pessoas, ou seja: os inerentes a ela e os que garantem sua segurança somam onze direitos, o que significa dizer que mais de dois terços da DUDH são destinados à dignidade da pessoa.</w:t>
      </w:r>
    </w:p>
    <w:p w14:paraId="2F4466D6" w14:textId="5EA5C52E" w:rsidR="003D7DAB" w:rsidRPr="00647ACF" w:rsidRDefault="003D7DAB" w:rsidP="00647ACF">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substantivo “dignidade” foi estabelecido no quinto considerando do preâmbulo da DUDH e vem “reafirmar” a afirmação do segundo parágrafo do preâmbulo da Carta da ONU.</w:t>
      </w:r>
    </w:p>
    <w:p w14:paraId="57144BF2" w14:textId="6A286BF4" w:rsidR="003D7DAB" w:rsidRPr="002C1356" w:rsidRDefault="003D7DAB" w:rsidP="00A931C3">
      <w:pPr>
        <w:pStyle w:val="citao"/>
        <w:spacing w:line="360" w:lineRule="auto"/>
        <w:ind w:left="2126"/>
      </w:pPr>
      <w:r w:rsidRPr="002C1356">
        <w:t xml:space="preserve">Considerando que os povos das Nações Unidas reafirmaram, na Carta, sua fé nos direitos humanos fundamentais, na dignidade, no valor da pessoa humana e na igualdade de direitos dos homens e das mulheres, e </w:t>
      </w:r>
      <w:r w:rsidRPr="002C1356">
        <w:lastRenderedPageBreak/>
        <w:t xml:space="preserve">que decidiram promover o progresso social e melhores condições de vida em uma liberdade mais ampla. </w:t>
      </w:r>
    </w:p>
    <w:p w14:paraId="40B2558F"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explicitação enfática da “fé (…) na dignidade e no valor da pessoa humana”, tem um quê de personalismo e reverbera a “sacralidade da pessoa” de Durkheim. O sagrado nesses dois textos não se relaciona com uma “fé religiosa”, mas, sim, uma “fé” no âmbito da moralidade.</w:t>
      </w:r>
      <w:r w:rsidRPr="002C1356">
        <w:rPr>
          <w:rStyle w:val="Refdenotaderodap"/>
          <w:rFonts w:ascii="Times New Roman" w:hAnsi="Times New Roman"/>
          <w:sz w:val="24"/>
          <w:szCs w:val="24"/>
        </w:rPr>
        <w:footnoteReference w:id="175"/>
      </w:r>
      <w:r w:rsidRPr="002C1356">
        <w:rPr>
          <w:rFonts w:ascii="Times New Roman" w:hAnsi="Times New Roman"/>
          <w:sz w:val="24"/>
          <w:szCs w:val="24"/>
        </w:rPr>
        <w:t xml:space="preserve"> A generalização do valor da sacralidade da pessoa que teve lugar com a elaboração da DUDH foi também o momento inicial de uma nova narrativa: da dignidade universal da pessoa humana.</w:t>
      </w:r>
    </w:p>
    <w:p w14:paraId="14893634"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dignidade da pessoa humana a reveste de uma aura de não violência e respeito, e a proteção da dignidade é o que possibilitará à pessoa o exercício de direitos como sujeito de direito. </w:t>
      </w:r>
    </w:p>
    <w:p w14:paraId="6EF127E7" w14:textId="77777777" w:rsidR="003D7DAB" w:rsidRPr="002C1356" w:rsidRDefault="003D7DAB" w:rsidP="003D7DAB">
      <w:pPr>
        <w:spacing w:after="0" w:line="360" w:lineRule="auto"/>
        <w:ind w:firstLine="709"/>
        <w:contextualSpacing/>
        <w:jc w:val="both"/>
        <w:rPr>
          <w:rFonts w:ascii="Times New Roman" w:hAnsi="Times New Roman"/>
          <w:sz w:val="24"/>
          <w:szCs w:val="24"/>
        </w:rPr>
      </w:pPr>
    </w:p>
    <w:p w14:paraId="3494BFE8" w14:textId="77777777" w:rsidR="003D7DAB" w:rsidRPr="002C1356" w:rsidRDefault="003D7DAB" w:rsidP="003D7DAB">
      <w:pPr>
        <w:spacing w:after="0" w:line="360" w:lineRule="auto"/>
        <w:ind w:firstLine="708"/>
        <w:contextualSpacing/>
        <w:jc w:val="both"/>
        <w:rPr>
          <w:rFonts w:ascii="Times New Roman" w:hAnsi="Times New Roman"/>
          <w:b/>
          <w:sz w:val="24"/>
          <w:szCs w:val="24"/>
        </w:rPr>
      </w:pPr>
      <w:r w:rsidRPr="002C1356">
        <w:rPr>
          <w:rFonts w:ascii="Times New Roman" w:hAnsi="Times New Roman"/>
          <w:b/>
          <w:sz w:val="24"/>
          <w:szCs w:val="24"/>
        </w:rPr>
        <w:t>2.2) Sujeitos de Direito nas três vertentes da Proteção Internacional dos Direitos da Pessoa Humana</w:t>
      </w:r>
    </w:p>
    <w:p w14:paraId="4992EBD7" w14:textId="77777777" w:rsidR="003D7DAB" w:rsidRPr="002C1356" w:rsidRDefault="003D7DAB" w:rsidP="003D7DAB">
      <w:pPr>
        <w:spacing w:after="0" w:line="360" w:lineRule="auto"/>
        <w:contextualSpacing/>
        <w:jc w:val="both"/>
        <w:rPr>
          <w:rFonts w:ascii="Times New Roman" w:hAnsi="Times New Roman"/>
          <w:b/>
          <w:sz w:val="24"/>
          <w:szCs w:val="24"/>
        </w:rPr>
      </w:pPr>
    </w:p>
    <w:p w14:paraId="246E78AA" w14:textId="77777777" w:rsidR="003D7DAB" w:rsidRPr="002C1356" w:rsidRDefault="003D7DAB" w:rsidP="003D7DAB">
      <w:pPr>
        <w:spacing w:after="0" w:line="360" w:lineRule="auto"/>
        <w:contextualSpacing/>
        <w:jc w:val="both"/>
        <w:rPr>
          <w:rFonts w:ascii="Times New Roman" w:hAnsi="Times New Roman"/>
          <w:b/>
          <w:sz w:val="24"/>
          <w:szCs w:val="24"/>
        </w:rPr>
      </w:pPr>
      <w:r w:rsidRPr="002C1356">
        <w:rPr>
          <w:rFonts w:ascii="Times New Roman" w:hAnsi="Times New Roman"/>
          <w:b/>
          <w:sz w:val="24"/>
          <w:szCs w:val="24"/>
        </w:rPr>
        <w:tab/>
      </w:r>
      <w:r w:rsidRPr="002C1356">
        <w:rPr>
          <w:rFonts w:ascii="Times New Roman" w:hAnsi="Times New Roman"/>
          <w:sz w:val="24"/>
          <w:szCs w:val="24"/>
        </w:rPr>
        <w:t xml:space="preserve">O conceito jurídico de sujeito de direito, em inglês, apresenta duas expressões sinônimas: </w:t>
      </w:r>
      <w:r w:rsidRPr="002C1356">
        <w:rPr>
          <w:rFonts w:ascii="Times New Roman" w:hAnsi="Times New Roman"/>
          <w:b/>
          <w:sz w:val="24"/>
          <w:szCs w:val="24"/>
        </w:rPr>
        <w:t xml:space="preserve">1) </w:t>
      </w:r>
      <w:r w:rsidRPr="002C1356">
        <w:rPr>
          <w:rFonts w:ascii="Times New Roman" w:hAnsi="Times New Roman"/>
          <w:sz w:val="24"/>
          <w:szCs w:val="24"/>
        </w:rPr>
        <w:t xml:space="preserve">Subject of Law e </w:t>
      </w:r>
      <w:r w:rsidRPr="002C1356">
        <w:rPr>
          <w:rFonts w:ascii="Times New Roman" w:hAnsi="Times New Roman"/>
          <w:b/>
          <w:sz w:val="24"/>
          <w:szCs w:val="24"/>
        </w:rPr>
        <w:t xml:space="preserve">2) </w:t>
      </w:r>
      <w:r w:rsidRPr="002C1356">
        <w:rPr>
          <w:rFonts w:ascii="Times New Roman" w:hAnsi="Times New Roman"/>
          <w:sz w:val="24"/>
          <w:szCs w:val="24"/>
        </w:rPr>
        <w:t>Legal Person, de forma que o status jurídico de pessoa é o pré-requisito para o exercício de direitos, só pessoas (humanas ou não humanas)</w:t>
      </w:r>
      <w:r w:rsidRPr="002C1356">
        <w:rPr>
          <w:rStyle w:val="Refdenotaderodap"/>
          <w:rFonts w:ascii="Times New Roman" w:hAnsi="Times New Roman"/>
          <w:sz w:val="24"/>
          <w:szCs w:val="24"/>
        </w:rPr>
        <w:footnoteReference w:id="176"/>
      </w:r>
      <w:r w:rsidRPr="002C1356">
        <w:rPr>
          <w:rFonts w:ascii="Times New Roman" w:hAnsi="Times New Roman"/>
          <w:sz w:val="24"/>
          <w:szCs w:val="24"/>
        </w:rPr>
        <w:t xml:space="preserve"> podem vir a ser sujeitos de direito.</w:t>
      </w:r>
    </w:p>
    <w:p w14:paraId="56D07F9E" w14:textId="2BC270AB" w:rsidR="003D7DAB" w:rsidRPr="002C1356"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dignidade da pessoa humana está diretamente relacionada ao seu status jurídico de pessoa. Dito de outro modo: </w:t>
      </w:r>
    </w:p>
    <w:p w14:paraId="17BCC537" w14:textId="77777777" w:rsidR="003D7DAB" w:rsidRPr="002C1356" w:rsidRDefault="003D7DAB" w:rsidP="00A931C3">
      <w:pPr>
        <w:pStyle w:val="citao"/>
        <w:spacing w:line="360" w:lineRule="auto"/>
        <w:ind w:left="2126"/>
      </w:pPr>
      <w:r w:rsidRPr="002C1356">
        <w:t>(…) mas as próprias pretensões normativas fundamentam-se a partir de uma moral universalista cujo conteúdo há algum tempo foi introduzido, por meio da ideia de dignidade humana, nos direitos humanos e nos direitos dos cidadãos das constituições democráticas (…)</w:t>
      </w:r>
      <w:r w:rsidRPr="002C1356">
        <w:rPr>
          <w:rStyle w:val="Refdenotaderodap"/>
          <w:sz w:val="24"/>
        </w:rPr>
        <w:footnoteReference w:id="177"/>
      </w:r>
      <w:r w:rsidRPr="002C1356">
        <w:t>.</w:t>
      </w:r>
    </w:p>
    <w:p w14:paraId="0A2D2869" w14:textId="57C2B4B1" w:rsidR="003D7DAB" w:rsidRPr="002C1356"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Foi essa premissa do Direito que levou Hannah Arendt</w:t>
      </w:r>
      <w:r w:rsidRPr="002C1356">
        <w:rPr>
          <w:rStyle w:val="Refdenotaderodap"/>
          <w:rFonts w:ascii="Times New Roman" w:hAnsi="Times New Roman"/>
          <w:sz w:val="24"/>
          <w:szCs w:val="24"/>
        </w:rPr>
        <w:footnoteReference w:id="178"/>
      </w:r>
      <w:r w:rsidRPr="002C1356">
        <w:rPr>
          <w:rFonts w:ascii="Times New Roman" w:hAnsi="Times New Roman"/>
          <w:sz w:val="24"/>
          <w:szCs w:val="24"/>
        </w:rPr>
        <w:t xml:space="preserve"> a afirmar: </w:t>
      </w:r>
    </w:p>
    <w:p w14:paraId="0173FFCB" w14:textId="77777777" w:rsidR="003D7DAB" w:rsidRPr="002C1356" w:rsidRDefault="003D7DAB" w:rsidP="00A931C3">
      <w:pPr>
        <w:pStyle w:val="citao"/>
        <w:spacing w:line="360" w:lineRule="auto"/>
        <w:ind w:left="2126"/>
      </w:pPr>
      <w:r w:rsidRPr="002C1356">
        <w:t xml:space="preserve">Os próprios nazistas começaram sua exterminação dos judeus privando-os, primeiro, de toda condição legal (isto é, da condição de cidadãos de segunda classe) e separando-os do mundo para ajuntá-los em guetos e </w:t>
      </w:r>
      <w:r w:rsidRPr="002C1356">
        <w:lastRenderedPageBreak/>
        <w:t>campos de concentração; e, antes de acionarem as câmaras de gás, haviam apalpado cuidadosamente o terreno e verificado para sua satisfação que nenhum país reclamava aquela gente. O importante é que se criou uma condição de completa privação de direitos antes que o direito à vida fosse ameaçado.</w:t>
      </w:r>
    </w:p>
    <w:p w14:paraId="664E71CC" w14:textId="639AC077" w:rsidR="003D7DAB" w:rsidRPr="002C1356"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“Morte social”</w:t>
      </w:r>
      <w:r w:rsidRPr="002C1356">
        <w:rPr>
          <w:rFonts w:ascii="Times New Roman" w:hAnsi="Times New Roman"/>
          <w:i/>
          <w:sz w:val="24"/>
          <w:szCs w:val="24"/>
        </w:rPr>
        <w:t xml:space="preserve"> </w:t>
      </w:r>
      <w:r w:rsidRPr="002C1356">
        <w:rPr>
          <w:rFonts w:ascii="Times New Roman" w:hAnsi="Times New Roman"/>
          <w:sz w:val="24"/>
          <w:szCs w:val="24"/>
        </w:rPr>
        <w:t xml:space="preserve">era o nome dado a situação de “completa privação de direitos” vivenciada pelos judeus durante o regime nazista. Uma história ilustrativa desse fenômeno foi o caso de: </w:t>
      </w:r>
    </w:p>
    <w:p w14:paraId="7835EFF0" w14:textId="358F69F3" w:rsidR="003D7DAB" w:rsidRPr="00F753A2" w:rsidRDefault="003D7DAB" w:rsidP="00A931C3">
      <w:pPr>
        <w:pStyle w:val="citao"/>
        <w:spacing w:line="360" w:lineRule="auto"/>
        <w:ind w:left="2126"/>
      </w:pPr>
      <w:r w:rsidRPr="002C1356">
        <w:t>um tribunal alemão que declarou um judeu legalmente morto, e com “total incompetência legal” e “ausência de direitos” apenas porque era um judeu. Assim como a morte impossibilita alguém de continuar existindo no mundo físico, no Terceiro Reich, ser judeu tornava esse homem incapaz de “exercer seus deveres” como diretor de um filme. Seu contrato com a produtora do filme foi cancelado porque sua condição de judeu tornava-o legalmente morto.</w:t>
      </w:r>
      <w:r w:rsidRPr="002C1356">
        <w:rPr>
          <w:rStyle w:val="Refdenotaderodap"/>
          <w:sz w:val="24"/>
        </w:rPr>
        <w:footnoteReference w:id="179"/>
      </w:r>
      <w:r w:rsidRPr="002C1356">
        <w:t xml:space="preserve"> </w:t>
      </w:r>
    </w:p>
    <w:p w14:paraId="4842BD47" w14:textId="77777777" w:rsidR="003D7DAB" w:rsidRPr="002C1356" w:rsidRDefault="003D7DAB" w:rsidP="003D7DAB">
      <w:pPr>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 xml:space="preserve">A fim de evitar situações que levem uma pessoa a “morte social”, foi elaborado o artigo VI da DUDH: “Toda pessoa tem o direito de ser, em todos os lugares, reconhecida como pessoa perante a lei”. </w:t>
      </w:r>
    </w:p>
    <w:p w14:paraId="436426A2"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dignidade da pessoa humana deve ser respeitada e protegida por parte do Estado e de todos os cidadãos e todas as cidadãs de uma comunidade política A inovação que a Carta da ONU e a DUDH trouxeram ao Direito Internacional ao reafirmarem “a fé na dignidade no valor da pessoa humana” foi “um processo de humanização da ordem internacional uma vez que o Direito Internacional começou a dar entrada aos povos e a pessoa, rompendo, assim, o exclusivismo tradicional dos Estados como únicos sujeitos de Direito Internacional”.</w:t>
      </w:r>
      <w:r w:rsidRPr="002C1356">
        <w:rPr>
          <w:rStyle w:val="Refdenotaderodap"/>
          <w:rFonts w:ascii="Times New Roman" w:hAnsi="Times New Roman"/>
          <w:sz w:val="24"/>
          <w:szCs w:val="24"/>
        </w:rPr>
        <w:footnoteReference w:id="180"/>
      </w:r>
    </w:p>
    <w:p w14:paraId="742AE685"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Elaborada a DUDH, a tarefa da Comissão de Direitos Humanos da ONU era criar instrumentos jurídicos no âmbito internacional que vinculassem os Estados ao respeito aos Direitos Humanos. Isso foi realizado por meio dos Pactos de Direitos Humanos, a saber: Pacto de Direitos Civis e Políticos e Pacto de Direitos Econômicos, Sociais e Culturais. Os dois aprovados na Assembleia Geral da ONU em 16 de dezembro de 1966, </w:t>
      </w:r>
      <w:r w:rsidRPr="002C1356">
        <w:rPr>
          <w:rFonts w:ascii="Times New Roman" w:hAnsi="Times New Roman"/>
          <w:sz w:val="24"/>
          <w:szCs w:val="24"/>
        </w:rPr>
        <w:lastRenderedPageBreak/>
        <w:t xml:space="preserve">tendo entrado em vigor o Pacto de Direitos Civis e Políticos no dia 23 de março de 1976, e o Pacto de Direitos Econômicos, Sociais e Culturais no dia 03 de janeiro de 1976. </w:t>
      </w:r>
    </w:p>
    <w:p w14:paraId="2CDA7C12"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Antes desses pactos passaram a vigorar três tratados internacionais correspondentes às três vertentes da Proteção Internacional dos Direitos da Pessoa Humana, vale dizer: Direito Internacional Humanitário, Direito Internacional dos Refugiados e Direito Internacional dos Direitos Humanos. A data de assinatura dos tratados em tela foram (por ordem cronológica): 1) Convenção para melhorar a sorte que correm os feridos nos exércitos em campanha (1864); 2) Convenção de Genebra relativa ao Estatuto de Refugiado (1951) e 3) Convenção Internacional sobre a Eliminação de todas as formas de Discriminação Racial (1965).</w:t>
      </w:r>
    </w:p>
    <w:p w14:paraId="45E5E6D4" w14:textId="42D69116" w:rsidR="003D7DAB" w:rsidRPr="002C1356" w:rsidRDefault="003D7DAB" w:rsidP="00647ACF">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proposta teórica da existência de três vertentes da proteção internacional dos direitos da pessoa humana foi apresentada em uma de suas primeiras manifestações no artigo “Derechos Humanos, Derecho Internacional Humanitário e Derecho Internacional de los Refugiados” do jurista uruguaio Hector Gros Espiell (1926-1990)</w:t>
      </w:r>
      <w:r w:rsidRPr="002C1356">
        <w:rPr>
          <w:rStyle w:val="Refdenotaderodap"/>
          <w:rFonts w:ascii="Times New Roman" w:hAnsi="Times New Roman"/>
          <w:sz w:val="24"/>
          <w:szCs w:val="24"/>
        </w:rPr>
        <w:footnoteReference w:id="181"/>
      </w:r>
      <w:r w:rsidRPr="002C1356">
        <w:rPr>
          <w:rFonts w:ascii="Times New Roman" w:hAnsi="Times New Roman"/>
          <w:sz w:val="24"/>
          <w:szCs w:val="24"/>
        </w:rPr>
        <w:t xml:space="preserve"> que afirma: </w:t>
      </w:r>
    </w:p>
    <w:p w14:paraId="1FD51AE0" w14:textId="77777777" w:rsidR="003D7DAB" w:rsidRPr="002C1356" w:rsidRDefault="003D7DAB" w:rsidP="00A931C3">
      <w:pPr>
        <w:pStyle w:val="citao"/>
        <w:spacing w:line="360" w:lineRule="auto"/>
        <w:ind w:left="2126"/>
      </w:pPr>
      <w:r w:rsidRPr="002C1356">
        <w:t>Com uma acepção muito ampla poderiam considerar-se como integrando o Direito internacional dos Direitos Humanos todas as normas e todos os princípios internacionais destinados a proteger e garantir direitos aos indivíduos, qualquer que fosse a situação jurídica desses indivíduos (civis; militares; nacionais; estrangeiros; homens; mulheres; combatentes; não combatentes etc.) tanto no território do país em que são residentes como no estrangeiro, seja qual for a razão pela qual decidiram sair desse país ou ingressar em outro.</w:t>
      </w:r>
    </w:p>
    <w:p w14:paraId="4D74BE45"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Antônio Augusto Cançado Trindade</w:t>
      </w:r>
      <w:r w:rsidRPr="002C1356">
        <w:rPr>
          <w:rStyle w:val="Refdenotaderodap"/>
          <w:rFonts w:ascii="Times New Roman" w:hAnsi="Times New Roman"/>
          <w:sz w:val="24"/>
          <w:szCs w:val="24"/>
        </w:rPr>
        <w:footnoteReference w:id="182"/>
      </w:r>
      <w:r w:rsidRPr="002C1356">
        <w:rPr>
          <w:rFonts w:ascii="Times New Roman" w:hAnsi="Times New Roman"/>
          <w:sz w:val="24"/>
          <w:szCs w:val="24"/>
        </w:rPr>
        <w:t xml:space="preserve"> esclarece que essas três vertentes tem um objetivo central em comum, isto é: “a proteção da pessoa humana em todas e quaisquer circunstâncias. A prática internacional encontra-se repleta de casos de operação simultânea ou concomitante de órgãos que pertencem aos três sistemas de proteção”. </w:t>
      </w:r>
    </w:p>
    <w:p w14:paraId="12B42E11"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Esclarece Cançado Trindade</w:t>
      </w:r>
      <w:r w:rsidRPr="002C1356">
        <w:rPr>
          <w:rStyle w:val="Refdenotaderodap"/>
          <w:rFonts w:ascii="Times New Roman" w:hAnsi="Times New Roman"/>
          <w:sz w:val="24"/>
          <w:szCs w:val="24"/>
        </w:rPr>
        <w:footnoteReference w:id="183"/>
      </w:r>
      <w:r w:rsidRPr="002C1356">
        <w:rPr>
          <w:rFonts w:ascii="Times New Roman" w:hAnsi="Times New Roman"/>
          <w:sz w:val="24"/>
          <w:szCs w:val="24"/>
        </w:rPr>
        <w:t xml:space="preserve"> que, no aspecto normativo, alguns exemplos mostram a convergência das três vertentes. O mais emblemático deles talvez seja o artigo 3º comum às quatro Convenções de Genebra (CICV), que estabelece quatro direitos mínimos que as partes envolvidas em um conflito armado terão de aplicar em qualquer </w:t>
      </w:r>
      <w:r w:rsidRPr="002C1356">
        <w:rPr>
          <w:rFonts w:ascii="Times New Roman" w:hAnsi="Times New Roman"/>
          <w:sz w:val="24"/>
          <w:szCs w:val="24"/>
        </w:rPr>
        <w:lastRenderedPageBreak/>
        <w:t>tempo e lugar, para as pessoas que não estejam participando das hostilidades, vale dizer: 1) integridade física; 2) proibição da tomada de reféns; 3) integridade psíquica e 4) devido processo legal (</w:t>
      </w:r>
      <w:r w:rsidRPr="002C1356">
        <w:rPr>
          <w:rFonts w:ascii="Times New Roman" w:hAnsi="Times New Roman"/>
          <w:i/>
          <w:sz w:val="24"/>
          <w:szCs w:val="24"/>
        </w:rPr>
        <w:t>due process of law</w:t>
      </w:r>
      <w:r w:rsidRPr="002C1356">
        <w:rPr>
          <w:rFonts w:ascii="Times New Roman" w:hAnsi="Times New Roman"/>
          <w:sz w:val="24"/>
          <w:szCs w:val="24"/>
        </w:rPr>
        <w:t>).</w:t>
      </w:r>
      <w:r w:rsidRPr="002C1356">
        <w:rPr>
          <w:rStyle w:val="Refdenotaderodap"/>
          <w:rFonts w:ascii="Times New Roman" w:hAnsi="Times New Roman"/>
          <w:sz w:val="24"/>
          <w:szCs w:val="24"/>
        </w:rPr>
        <w:footnoteReference w:id="184"/>
      </w:r>
      <w:r w:rsidRPr="002C1356">
        <w:rPr>
          <w:rFonts w:ascii="Times New Roman" w:hAnsi="Times New Roman"/>
          <w:i/>
          <w:sz w:val="24"/>
          <w:szCs w:val="24"/>
          <w:u w:val="single"/>
        </w:rPr>
        <w:t xml:space="preserve"> </w:t>
      </w:r>
      <w:r w:rsidRPr="002C1356">
        <w:rPr>
          <w:rFonts w:ascii="Times New Roman" w:hAnsi="Times New Roman"/>
          <w:sz w:val="24"/>
          <w:szCs w:val="24"/>
        </w:rPr>
        <w:t xml:space="preserve">No tocante ao DIR o princípio do </w:t>
      </w:r>
      <w:r w:rsidRPr="002C1356">
        <w:rPr>
          <w:rFonts w:ascii="Times New Roman" w:hAnsi="Times New Roman"/>
          <w:i/>
          <w:sz w:val="24"/>
          <w:szCs w:val="24"/>
        </w:rPr>
        <w:t xml:space="preserve">non-refoulement </w:t>
      </w:r>
      <w:r w:rsidRPr="002C1356">
        <w:rPr>
          <w:rFonts w:ascii="Times New Roman" w:hAnsi="Times New Roman"/>
          <w:sz w:val="24"/>
          <w:szCs w:val="24"/>
        </w:rPr>
        <w:t xml:space="preserve">(não devolução) presente no artigo 33 da Convenção de Genebra do Estatuto do Refugiado (1951) consta também do artigo 3 da Convenção contra a Tortura e outros tratamentos cruéis, desumanos ou degradantes (1987) e artigo 22, inciso 8 e 9 do Pacto de San José (Convenção Americana de Direitos Humanos) de 1969. Em relação ao Direito Internacional dos Direitos Humanos </w:t>
      </w:r>
      <w:r w:rsidRPr="002C1356">
        <w:rPr>
          <w:rFonts w:ascii="Times New Roman" w:hAnsi="Times New Roman"/>
          <w:i/>
          <w:sz w:val="24"/>
          <w:szCs w:val="24"/>
        </w:rPr>
        <w:t xml:space="preserve">stricto sensu </w:t>
      </w:r>
      <w:r w:rsidRPr="002C1356">
        <w:rPr>
          <w:rFonts w:ascii="Times New Roman" w:hAnsi="Times New Roman"/>
          <w:sz w:val="24"/>
          <w:szCs w:val="24"/>
        </w:rPr>
        <w:t>a Convenção dos Direitos da Criança (1990) no seu artigo 22 determina a proteção e assistência humanitária a crianças refugiadas.</w:t>
      </w:r>
    </w:p>
    <w:p w14:paraId="25580337"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Outro fator de convergência e aproximação dessas três vertentes é o princípio comum de orientação para elaboração de suas normas, ou seja: o princípio da não violência.</w:t>
      </w:r>
      <w:r w:rsidRPr="002C1356">
        <w:rPr>
          <w:rStyle w:val="Refdenotaderodap"/>
          <w:rFonts w:ascii="Times New Roman" w:hAnsi="Times New Roman"/>
          <w:sz w:val="24"/>
          <w:szCs w:val="24"/>
        </w:rPr>
        <w:footnoteReference w:id="185"/>
      </w:r>
      <w:r w:rsidRPr="002C1356">
        <w:rPr>
          <w:rFonts w:ascii="Times New Roman" w:hAnsi="Times New Roman"/>
          <w:sz w:val="24"/>
          <w:szCs w:val="24"/>
        </w:rPr>
        <w:t xml:space="preserve"> </w:t>
      </w:r>
    </w:p>
    <w:p w14:paraId="3C8021EF"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Nos três próximos itens farei uma análise histórica da emergência do sujeito de direito nessas três vertentes da proteção internacional dos direitos pessoa humana. Farei esse estudo descrevendo o momento inicial da elaboração normativa da definição de sujeito de direito, além do contexto histórico das primeiras convenções, a saber: A convenção para melhorar a condição dos feridos nos exércitos em campanha (1864); A Convenção de Genebra do Estatuto do Refugiado (1951) e a Convenção Internacional para Eliminação de todas as Formas de Discriminação Racial (1965).</w:t>
      </w:r>
    </w:p>
    <w:p w14:paraId="1AA29635"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seguir, portanto, a emergência histórica dos três primeiros sujeitos de direito da Proteção Internacional dos Direitos da Pessoa Humana: feridos, refugiados e discriminados.</w:t>
      </w:r>
    </w:p>
    <w:p w14:paraId="6A69348F" w14:textId="77777777" w:rsidR="003D7DAB" w:rsidRPr="002C1356" w:rsidRDefault="003D7DAB" w:rsidP="003D7DAB">
      <w:pPr>
        <w:spacing w:after="0" w:line="360" w:lineRule="auto"/>
        <w:ind w:left="708"/>
        <w:contextualSpacing/>
        <w:jc w:val="both"/>
        <w:rPr>
          <w:rFonts w:ascii="Times New Roman" w:hAnsi="Times New Roman"/>
          <w:sz w:val="24"/>
          <w:szCs w:val="24"/>
        </w:rPr>
      </w:pPr>
    </w:p>
    <w:p w14:paraId="611252D3" w14:textId="761B1BE7" w:rsidR="003D7DAB" w:rsidRPr="002C1356" w:rsidRDefault="003D7DAB" w:rsidP="003D7DAB">
      <w:pPr>
        <w:spacing w:after="0" w:line="360" w:lineRule="auto"/>
        <w:ind w:firstLine="708"/>
        <w:contextualSpacing/>
        <w:jc w:val="both"/>
        <w:rPr>
          <w:rFonts w:ascii="Times New Roman" w:hAnsi="Times New Roman"/>
          <w:b/>
          <w:sz w:val="24"/>
          <w:szCs w:val="24"/>
        </w:rPr>
      </w:pPr>
      <w:r w:rsidRPr="002C1356">
        <w:rPr>
          <w:rFonts w:ascii="Times New Roman" w:hAnsi="Times New Roman"/>
          <w:b/>
          <w:sz w:val="24"/>
          <w:szCs w:val="24"/>
        </w:rPr>
        <w:t xml:space="preserve">2.2.1) Sujeito de Direito no Direito Internacional Humanitário </w:t>
      </w:r>
      <w:r w:rsidR="00C44339">
        <w:rPr>
          <w:rFonts w:ascii="Times New Roman" w:hAnsi="Times New Roman"/>
          <w:b/>
          <w:sz w:val="24"/>
          <w:szCs w:val="24"/>
        </w:rPr>
        <w:t>(DIH)</w:t>
      </w:r>
    </w:p>
    <w:p w14:paraId="170052AE" w14:textId="77777777" w:rsidR="003D7DAB" w:rsidRPr="002C1356" w:rsidRDefault="003D7DAB" w:rsidP="003D7DAB">
      <w:pPr>
        <w:spacing w:after="0" w:line="360" w:lineRule="auto"/>
        <w:ind w:firstLine="708"/>
        <w:contextualSpacing/>
        <w:jc w:val="both"/>
        <w:rPr>
          <w:rFonts w:ascii="Times New Roman" w:hAnsi="Times New Roman"/>
          <w:b/>
          <w:sz w:val="24"/>
          <w:szCs w:val="24"/>
        </w:rPr>
      </w:pPr>
    </w:p>
    <w:p w14:paraId="02709184" w14:textId="77777777" w:rsidR="003D7DAB" w:rsidRPr="002C1356" w:rsidRDefault="003D7DAB" w:rsidP="003D7DAB">
      <w:pPr>
        <w:spacing w:after="0" w:line="360" w:lineRule="auto"/>
        <w:ind w:firstLine="708"/>
        <w:contextualSpacing/>
        <w:jc w:val="both"/>
        <w:outlineLvl w:val="0"/>
        <w:rPr>
          <w:rFonts w:ascii="Times New Roman" w:hAnsi="Times New Roman"/>
          <w:sz w:val="24"/>
          <w:szCs w:val="24"/>
        </w:rPr>
      </w:pPr>
      <w:r w:rsidRPr="002C1356">
        <w:rPr>
          <w:rFonts w:ascii="Times New Roman" w:hAnsi="Times New Roman"/>
          <w:sz w:val="24"/>
          <w:szCs w:val="24"/>
        </w:rPr>
        <w:t>“</w:t>
      </w:r>
      <w:r w:rsidRPr="002C1356">
        <w:rPr>
          <w:rFonts w:ascii="Times New Roman" w:hAnsi="Times New Roman"/>
          <w:i/>
          <w:sz w:val="24"/>
          <w:szCs w:val="24"/>
        </w:rPr>
        <w:t>Inter armas, caritas</w:t>
      </w:r>
      <w:r w:rsidRPr="002C1356">
        <w:rPr>
          <w:rFonts w:ascii="Times New Roman" w:hAnsi="Times New Roman"/>
          <w:sz w:val="24"/>
          <w:szCs w:val="24"/>
        </w:rPr>
        <w:t>”</w:t>
      </w:r>
      <w:r w:rsidRPr="002C1356">
        <w:rPr>
          <w:rFonts w:ascii="Times New Roman" w:hAnsi="Times New Roman"/>
          <w:i/>
          <w:sz w:val="24"/>
          <w:szCs w:val="24"/>
        </w:rPr>
        <w:t xml:space="preserve"> </w:t>
      </w:r>
      <w:r w:rsidRPr="002C1356">
        <w:rPr>
          <w:rFonts w:ascii="Times New Roman" w:hAnsi="Times New Roman"/>
          <w:sz w:val="24"/>
          <w:szCs w:val="24"/>
        </w:rPr>
        <w:t>(lema do CICV).</w:t>
      </w:r>
    </w:p>
    <w:p w14:paraId="338B2030"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7B5EA3DC"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É importante ressaltar que Durkheim não era o único cidadão da Europa que transformava a defesa da sacralidade da pessoa em um engajamento político. O cidadão </w:t>
      </w:r>
      <w:r w:rsidRPr="002C1356">
        <w:rPr>
          <w:rFonts w:ascii="Times New Roman" w:hAnsi="Times New Roman"/>
          <w:sz w:val="24"/>
          <w:szCs w:val="24"/>
        </w:rPr>
        <w:lastRenderedPageBreak/>
        <w:t>genebrino Henry Dunant (1828-1910) – um protestante convicto e “militante” – no dia 22 de junho de 1859 testemunhou em Solferino (norte da Itália) uma batalha que durou quinze horas e, como resultado, deixou seis mil mortos e cerca de quarenta mil feridos. Foi a batalha mais sangrenta do continente europeu desde a batalha de Waterloo. Dunant participou ativamente do socorro aos feridos.</w:t>
      </w:r>
      <w:r w:rsidRPr="002C1356">
        <w:rPr>
          <w:rStyle w:val="Refdenotaderodap"/>
          <w:rFonts w:ascii="Times New Roman" w:hAnsi="Times New Roman"/>
          <w:sz w:val="24"/>
          <w:szCs w:val="24"/>
        </w:rPr>
        <w:footnoteReference w:id="186"/>
      </w:r>
      <w:r w:rsidRPr="002C1356">
        <w:rPr>
          <w:rFonts w:ascii="Times New Roman" w:hAnsi="Times New Roman"/>
          <w:sz w:val="24"/>
          <w:szCs w:val="24"/>
        </w:rPr>
        <w:t xml:space="preserve"> </w:t>
      </w:r>
    </w:p>
    <w:p w14:paraId="78C11845"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Algum tempo depois, Dunant escreveu, na cidade de Genebra, o relato do que presenciou. Esse testemunho transformou-se no livro </w:t>
      </w:r>
      <w:r w:rsidRPr="002C1356">
        <w:rPr>
          <w:rFonts w:ascii="Times New Roman" w:hAnsi="Times New Roman"/>
          <w:i/>
          <w:sz w:val="24"/>
          <w:szCs w:val="24"/>
        </w:rPr>
        <w:t>Um souvenir de Solférino</w:t>
      </w:r>
      <w:r w:rsidRPr="002C1356">
        <w:rPr>
          <w:rFonts w:ascii="Times New Roman" w:hAnsi="Times New Roman"/>
          <w:sz w:val="24"/>
          <w:szCs w:val="24"/>
        </w:rPr>
        <w:t>. Em novembro de 1862, foram editadas 1.600 cópias, distribuídas para amigos e parentes de Dunant, bem como para diversos governantes, militares, escritores e filantropos. Em poucos meses, o livro foi reimpresso duas vezes e traduzido para holandês, italiano e alemão.</w:t>
      </w:r>
      <w:r w:rsidRPr="002C1356">
        <w:rPr>
          <w:rStyle w:val="Refdenotaderodap"/>
          <w:rFonts w:ascii="Times New Roman" w:hAnsi="Times New Roman"/>
          <w:sz w:val="24"/>
          <w:szCs w:val="24"/>
        </w:rPr>
        <w:footnoteReference w:id="187"/>
      </w:r>
    </w:p>
    <w:p w14:paraId="22CCF7E5"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seguir um breve trecho da tragédia testemunhada por Dunant:</w:t>
      </w:r>
      <w:r w:rsidRPr="002C1356">
        <w:rPr>
          <w:rStyle w:val="Refdenotaderodap"/>
          <w:rFonts w:ascii="Times New Roman" w:hAnsi="Times New Roman"/>
          <w:sz w:val="24"/>
          <w:szCs w:val="24"/>
        </w:rPr>
        <w:footnoteReference w:id="188"/>
      </w:r>
    </w:p>
    <w:p w14:paraId="64C84D08" w14:textId="77777777" w:rsidR="003D7DAB" w:rsidRPr="002C1356" w:rsidRDefault="003D7DAB" w:rsidP="00A931C3">
      <w:pPr>
        <w:pStyle w:val="citao"/>
        <w:spacing w:line="360" w:lineRule="auto"/>
        <w:ind w:left="2126"/>
      </w:pPr>
      <w:r w:rsidRPr="002C1356">
        <w:t>Aqui é uma luta corpo a corpo, horrível, pavorosa: Austríacos e aliados pisoteiam-se, matam-se uns aos outros sobre os cadáveres que sangram, (...) quebram-se os crânios, retiram suas tripas com o sabre ou a baioneta, não há mais solo; é uma carnificina, um combate de bestas ferozes, furiosas e embriagadas de sangue; os feridos mesmo se defendem até suas últimas forças, aquele que não tem mais arma agarra seu adversário pela garganta, a qual ele rasga com seus dentes.</w:t>
      </w:r>
    </w:p>
    <w:p w14:paraId="7D485E1A"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primeira batalha sangrenta da história da humanidade não ocorreu em Solferino, todavia. O que a diferenciou das outras foi que alguém narrou suas atrocidades e, mais do que isso, fez uma proposta concreta a fim de minimizar os sofrimentos de uma descontrolada situação de violência.</w:t>
      </w:r>
    </w:p>
    <w:p w14:paraId="5C4F107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Em seu livro Dunant apresentou três sugestões práticas para diminuir o sofrimento das vítimas no campo de batalha: 1) criação, nos diferentes países da comunidade internacional, de uma organização nacional particular, de caráter permanente, para contribuir com o serviço médico dos exércitos nacionais, 2) pessoas fora de combate que não participavam das hostilidades, deviam ser considerados “neutros” e serem protegidos por um sinal que os distinguisse; 3) formulação de um instrumento jurídico, de caráter internacional, a fim de tornar mais fácil a tarefa dessas organizações e garantir um </w:t>
      </w:r>
      <w:r w:rsidRPr="002C1356">
        <w:rPr>
          <w:rFonts w:ascii="Times New Roman" w:hAnsi="Times New Roman"/>
          <w:sz w:val="24"/>
          <w:szCs w:val="24"/>
        </w:rPr>
        <w:lastRenderedPageBreak/>
        <w:t>tratamento adequado para as vítimas de guerra.</w:t>
      </w:r>
      <w:r w:rsidRPr="002C1356">
        <w:rPr>
          <w:rStyle w:val="Refdenotaderodap"/>
          <w:rFonts w:ascii="Times New Roman" w:hAnsi="Times New Roman"/>
          <w:sz w:val="24"/>
          <w:szCs w:val="24"/>
        </w:rPr>
        <w:footnoteReference w:id="189"/>
      </w:r>
    </w:p>
    <w:p w14:paraId="6036A8C6"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i/>
          <w:sz w:val="24"/>
          <w:szCs w:val="24"/>
        </w:rPr>
        <w:t>Memórias de Solferino</w:t>
      </w:r>
      <w:r w:rsidRPr="002C1356">
        <w:rPr>
          <w:rFonts w:ascii="Times New Roman" w:hAnsi="Times New Roman"/>
          <w:sz w:val="24"/>
          <w:szCs w:val="24"/>
        </w:rPr>
        <w:t xml:space="preserve"> vem a confirmar a tese de Hans Joas a propósito da imprescindibilidade das narrativas para a gênese de um valor. Com essa narrativa foi que tudo começou.</w:t>
      </w:r>
    </w:p>
    <w:p w14:paraId="2BF59916"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Um dos cidadãos de Genebra para quem Dunant entregou o livro foi o jurista Gustave Moynier (1826-1910). Moynier, então presidente da Sociedade de Bem-Estar Público de Genebra, sugere a Dunant uma reunião nessa sociedade a fim de apresentar suas ideias e obter o apoio para concretização de suas propostas. A primeira reunião, em 15 de dezembro de 1862, não encontrou muita receptividade da diretoria.</w:t>
      </w:r>
      <w:r w:rsidRPr="002C1356">
        <w:rPr>
          <w:rStyle w:val="Refdenotaderodap"/>
          <w:rFonts w:ascii="Times New Roman" w:hAnsi="Times New Roman"/>
          <w:sz w:val="24"/>
          <w:szCs w:val="24"/>
        </w:rPr>
        <w:footnoteReference w:id="190"/>
      </w:r>
    </w:p>
    <w:p w14:paraId="07FE9CB7"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Moynier não desistiu e convocou uma reunião da assembleia geral da Sociedade de Bem-Estar Público para o dia 9 de fevereiro de 1863. A assembleia geral nomeou cinco membros para a elaboração de um estatuto de uma nova sociedade; foram eles, além de Dunant e Moynier: general Guillaume-Henri Dufour (1787-1875), dr. Louis Appia (1818-1898); mr. Théodore Maunoir (1806-1869).</w:t>
      </w:r>
      <w:r w:rsidRPr="002C1356">
        <w:rPr>
          <w:rStyle w:val="Refdenotaderodap"/>
          <w:rFonts w:ascii="Times New Roman" w:hAnsi="Times New Roman"/>
          <w:sz w:val="24"/>
          <w:szCs w:val="24"/>
        </w:rPr>
        <w:footnoteReference w:id="191"/>
      </w:r>
    </w:p>
    <w:p w14:paraId="4DCEC30A"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Esse comitê de redação reuniu-se pela primeira vez no dia 17 de fevereiro de 1863 e estabeleceu o Comitê Internacional de Ajuda aos Soldados Feridos com o objetivo de promover a criação de sociedades nacionais de socorro e viabilizar a elaboração de um tratado internacional. Um dos últimos parágrafos da ata (Dunant era o secretário responsável pela redação) do primeiro encontro do Comitê Internacional de Ajuda aos Soldados Feridos deixa cristalino o “espírito da época” pela utilização do conceito de civilização e do adjetivo sagrado:</w:t>
      </w:r>
    </w:p>
    <w:p w14:paraId="4BD6583F" w14:textId="77777777" w:rsidR="003D7DAB" w:rsidRPr="002C1356" w:rsidRDefault="003D7DAB" w:rsidP="00A931C3">
      <w:pPr>
        <w:pStyle w:val="citao"/>
        <w:spacing w:line="360" w:lineRule="auto"/>
        <w:ind w:left="2126"/>
      </w:pPr>
      <w:r w:rsidRPr="002C1356">
        <w:t xml:space="preserve">Finalmente, Mr Dunant particularmente enfatizou a esperança que expressou no seu livro </w:t>
      </w:r>
      <w:r w:rsidRPr="002C1356">
        <w:rPr>
          <w:i/>
        </w:rPr>
        <w:t>Memória de Solferino</w:t>
      </w:r>
      <w:r w:rsidRPr="002C1356">
        <w:t xml:space="preserve">: que os </w:t>
      </w:r>
      <w:r w:rsidRPr="002C1356">
        <w:rPr>
          <w:b/>
        </w:rPr>
        <w:t>poderes civilizados</w:t>
      </w:r>
      <w:r w:rsidRPr="002C1356">
        <w:t xml:space="preserve"> deviam subscrever a um princípio internacional e </w:t>
      </w:r>
      <w:r w:rsidRPr="002C1356">
        <w:rPr>
          <w:b/>
        </w:rPr>
        <w:t>sagrado</w:t>
      </w:r>
      <w:r w:rsidRPr="002C1356">
        <w:t xml:space="preserve"> que seria consagrado e garantido em uma espécie de concordata entre os governantes, servindo como uma garantia para todas pessoas oficiais e não oficiais devotadas a ajuda as vítimas da guerra.</w:t>
      </w:r>
      <w:r w:rsidRPr="002C1356">
        <w:rPr>
          <w:rStyle w:val="Refdenotaderodap"/>
          <w:sz w:val="24"/>
        </w:rPr>
        <w:footnoteReference w:id="192"/>
      </w:r>
      <w:r w:rsidRPr="002C1356">
        <w:t xml:space="preserve"> (grifo do autor)</w:t>
      </w:r>
    </w:p>
    <w:p w14:paraId="7904574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No dia 6 de junho de 1864, o governo suíço, a pedido do Comitê e com apoio do governo da França, encaminhou um convite para todos governos da Europa (incluindo o Império Otomano), bem como para os Estados Unidos, o México e o Brasil para </w:t>
      </w:r>
      <w:r w:rsidRPr="002C1356">
        <w:rPr>
          <w:rFonts w:ascii="Times New Roman" w:hAnsi="Times New Roman"/>
          <w:sz w:val="24"/>
          <w:szCs w:val="24"/>
        </w:rPr>
        <w:lastRenderedPageBreak/>
        <w:t>realização de uma conferência diplomática: Conferência Internacional para Neutralização do Serviço de Saúde Militar em Campanha. A conferência realizou-se em Genebra de 8 a 22 de agosto de 1864 e contou com a presença de dezesseis Estados.</w:t>
      </w:r>
      <w:r w:rsidRPr="002C1356">
        <w:rPr>
          <w:rStyle w:val="Refdenotaderodap"/>
          <w:rFonts w:ascii="Times New Roman" w:hAnsi="Times New Roman"/>
          <w:sz w:val="24"/>
          <w:szCs w:val="24"/>
        </w:rPr>
        <w:footnoteReference w:id="193"/>
      </w:r>
    </w:p>
    <w:p w14:paraId="369447CF"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Pelo Comitê de Genebra participaram da Conferência seus cinco membros. O general Dufour e Moynier participaram como delegados suíços, já Dunant, Appia e Maunoir estiveram presentes como observadores “sem direito a voz ou voto.” O general Dufour foi apontado como </w:t>
      </w:r>
      <w:r w:rsidRPr="002C1356">
        <w:rPr>
          <w:rFonts w:ascii="Times New Roman" w:hAnsi="Times New Roman"/>
          <w:i/>
          <w:sz w:val="24"/>
          <w:szCs w:val="24"/>
        </w:rPr>
        <w:t>chairman</w:t>
      </w:r>
      <w:r w:rsidRPr="002C1356">
        <w:rPr>
          <w:rFonts w:ascii="Times New Roman" w:hAnsi="Times New Roman"/>
          <w:sz w:val="24"/>
          <w:szCs w:val="24"/>
        </w:rPr>
        <w:t>, que indicou Moynier como seu auxiliar, sendo ele o principal redator da minuta da Convenção.</w:t>
      </w:r>
      <w:r w:rsidRPr="002C1356">
        <w:rPr>
          <w:rStyle w:val="Refdenotaderodap"/>
          <w:rFonts w:ascii="Times New Roman" w:hAnsi="Times New Roman"/>
          <w:sz w:val="24"/>
          <w:szCs w:val="24"/>
        </w:rPr>
        <w:footnoteReference w:id="194"/>
      </w:r>
    </w:p>
    <w:p w14:paraId="719398F4"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No dia 22 de agosto de 1864 foi aprovada “A Convenção para melhorar a condição dos feridos nos exércitos em campanha”, contendo dez artigos. Os tópicos que merecerem destaque são os seguintes:</w:t>
      </w:r>
      <w:r w:rsidRPr="002C1356">
        <w:rPr>
          <w:rStyle w:val="Refdenotaderodap"/>
          <w:rFonts w:ascii="Times New Roman" w:hAnsi="Times New Roman"/>
          <w:sz w:val="24"/>
          <w:szCs w:val="24"/>
        </w:rPr>
        <w:footnoteReference w:id="195"/>
      </w:r>
    </w:p>
    <w:p w14:paraId="600E21CD" w14:textId="77777777" w:rsidR="003D7DAB" w:rsidRPr="002C1356" w:rsidRDefault="003D7DAB" w:rsidP="00A931C3">
      <w:pPr>
        <w:pStyle w:val="citao"/>
        <w:spacing w:line="360" w:lineRule="auto"/>
        <w:ind w:left="2126"/>
      </w:pPr>
      <w:r w:rsidRPr="002C1356">
        <w:t>na guerra terrestre, as ambulâncias e os hospitais militares “serão reconhecidos neutros e, como tais, protegidos e respeitados pelos beligerantes enquanto enfermos e feridos estiverem neles”; o pessoal dos hospitais e o pessoal das ambulâncias não só não podem ser feitos prisioneiros nem atacados, senão que, pelo contrário, participarão “do benefício da neutralidade, quando exerçam suas funções e enquanto existirem feridos que recolher ou socorrer”; “os militares feridos ou enfermos serão recolhidos e cuidados, seja qual for a nação a que pertençam”, e muito importante também, “os hospitais, as ambulâncias e as evacuações” levarão como distintivo uma bandeira branca com uma Cruz Vermelha.</w:t>
      </w:r>
      <w:r w:rsidRPr="002C1356">
        <w:rPr>
          <w:rStyle w:val="Refdenotaderodap"/>
          <w:sz w:val="24"/>
        </w:rPr>
        <w:footnoteReference w:id="196"/>
      </w:r>
      <w:r w:rsidRPr="002C1356">
        <w:t xml:space="preserve"> </w:t>
      </w:r>
    </w:p>
    <w:p w14:paraId="1933AF4F"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questão central da convenção em tela não é o exercício de direitos, e, sim, a “pessoa protegida”. Essa também é, atualmente, a linguagem usual do Direito Internacional Humanitário. Nesse sentido esclarecem Kalshoven e Zegveld: “O direito de Genebra protege a todas as pessoas que, por consequência de um conflito armado, estão em poder do adversário. (…) Garante-se uma proteção desse tipo pela primeira vez, em 1864, ‘aos militares feridos nos exércitos em campanha’ (...)”</w:t>
      </w:r>
      <w:r w:rsidRPr="002C1356">
        <w:rPr>
          <w:rStyle w:val="Refdenotaderodap"/>
          <w:rFonts w:ascii="Times New Roman" w:hAnsi="Times New Roman"/>
          <w:sz w:val="24"/>
          <w:szCs w:val="24"/>
        </w:rPr>
        <w:footnoteReference w:id="197"/>
      </w:r>
      <w:r w:rsidRPr="002C1356">
        <w:rPr>
          <w:rFonts w:ascii="Times New Roman" w:hAnsi="Times New Roman"/>
          <w:sz w:val="24"/>
          <w:szCs w:val="24"/>
        </w:rPr>
        <w:t>.</w:t>
      </w:r>
    </w:p>
    <w:p w14:paraId="6ED92A82" w14:textId="77777777" w:rsidR="003D7DAB" w:rsidRPr="002C1356" w:rsidRDefault="003D7DAB" w:rsidP="003D7DAB">
      <w:pPr>
        <w:widowControl w:val="0"/>
        <w:autoSpaceDE w:val="0"/>
        <w:autoSpaceDN w:val="0"/>
        <w:adjustRightInd w:val="0"/>
        <w:spacing w:after="0" w:line="360" w:lineRule="auto"/>
        <w:ind w:firstLine="709"/>
        <w:jc w:val="both"/>
        <w:rPr>
          <w:rFonts w:ascii="Times New Roman" w:hAnsi="Times New Roman"/>
          <w:sz w:val="24"/>
          <w:szCs w:val="24"/>
        </w:rPr>
      </w:pPr>
      <w:r w:rsidRPr="002C1356">
        <w:rPr>
          <w:rFonts w:ascii="Times New Roman" w:hAnsi="Times New Roman"/>
          <w:sz w:val="24"/>
          <w:szCs w:val="24"/>
        </w:rPr>
        <w:t xml:space="preserve">Depois da convenção de 1864, outros instrumentos jurídicos contribuíam para o desenvolvimento do atualmente conhecido como “direito de Genebra”. No ano de 1889, </w:t>
      </w:r>
      <w:r w:rsidRPr="002C1356">
        <w:rPr>
          <w:rFonts w:ascii="Times New Roman" w:hAnsi="Times New Roman"/>
          <w:sz w:val="24"/>
          <w:szCs w:val="24"/>
        </w:rPr>
        <w:lastRenderedPageBreak/>
        <w:t>foi assinado um tratado pelo qual os princípios da Convenção de 1864 aplicavam-se também aos feridos, enfermos e náufragos no mar. Em 1906 foi realizada uma revisão da Convenção de 1864 e, no ano de 1907, a revisão da convenção de 1899. Após a Primeira Guerra Mundial, no ano de 1929, foi realizada uma nova conferência, em Genebra, que atualizou as duas primeiras e criou uma terceira: dos prisioneiros de guerra. Depois da Segunda Guerra Mundial (1949), uma nova conferência que atualizou as três convenções anteriores, criou uma quarta para a população civil em tempo de guerra e o artigo 3</w:t>
      </w:r>
      <w:r w:rsidRPr="002C1356">
        <w:rPr>
          <w:rFonts w:ascii="Times New Roman" w:hAnsi="Times New Roman"/>
          <w:sz w:val="28"/>
          <w:szCs w:val="28"/>
        </w:rPr>
        <w:t xml:space="preserve">◦ </w:t>
      </w:r>
      <w:r w:rsidRPr="002C1356">
        <w:rPr>
          <w:rFonts w:ascii="Times New Roman" w:hAnsi="Times New Roman"/>
          <w:sz w:val="24"/>
          <w:szCs w:val="24"/>
        </w:rPr>
        <w:t>comum as quatro convenções de Genebra.</w:t>
      </w:r>
      <w:r w:rsidRPr="002C1356">
        <w:rPr>
          <w:rStyle w:val="Refdenotaderodap"/>
          <w:rFonts w:ascii="Times New Roman" w:hAnsi="Times New Roman"/>
          <w:sz w:val="24"/>
          <w:szCs w:val="24"/>
        </w:rPr>
        <w:footnoteReference w:id="198"/>
      </w:r>
      <w:r w:rsidRPr="002C1356">
        <w:rPr>
          <w:rFonts w:ascii="Times New Roman" w:hAnsi="Times New Roman"/>
          <w:sz w:val="24"/>
          <w:szCs w:val="24"/>
        </w:rPr>
        <w:t xml:space="preserve"> Em todas elas, a preocupação central é a proteção da pessoa fora de combate.</w:t>
      </w:r>
    </w:p>
    <w:p w14:paraId="1C40C20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 historiador alemão Jurgen Osterhammel aponta a influência do Comitê Internacional da Cruz Vermelha e do estabelecimento de seus comitês nacionais como um fator de internacionalização e do estabelecimento de “normas universais” durante a segunda metade do século XIX.</w:t>
      </w:r>
      <w:r w:rsidRPr="002C1356">
        <w:rPr>
          <w:rStyle w:val="Refdenotaderodap"/>
          <w:rFonts w:ascii="Times New Roman" w:hAnsi="Times New Roman"/>
          <w:sz w:val="24"/>
          <w:szCs w:val="24"/>
        </w:rPr>
        <w:footnoteReference w:id="199"/>
      </w:r>
    </w:p>
    <w:p w14:paraId="7B5F4EBE"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O jurista Gustave Moynier (redator da Convenção de 1864) ficou perplexo logo após a Guerra Franco-Prussiana (1870) com o uso inadequado do emblema da Cruz Vermelha. Comentou Moynier a esse respeito: “(...) Esse estado de coisas parece me que muito contribuiu para intensificar das já inflamadas paixões e dar à batalha uma selvageria indigna das nações civilizadas”.</w:t>
      </w:r>
      <w:r w:rsidRPr="002C1356">
        <w:rPr>
          <w:rStyle w:val="Refdenotaderodap"/>
          <w:rFonts w:ascii="Times New Roman" w:hAnsi="Times New Roman"/>
          <w:sz w:val="24"/>
          <w:szCs w:val="24"/>
        </w:rPr>
        <w:footnoteReference w:id="200"/>
      </w:r>
      <w:r w:rsidRPr="002C1356">
        <w:rPr>
          <w:rFonts w:ascii="Times New Roman" w:hAnsi="Times New Roman"/>
          <w:sz w:val="24"/>
          <w:szCs w:val="24"/>
        </w:rPr>
        <w:t xml:space="preserve"> Gustave Rolin-Jaequemyns (1835-1902) foi um dos fundadores da </w:t>
      </w:r>
      <w:r w:rsidRPr="002C1356">
        <w:rPr>
          <w:rFonts w:ascii="Times New Roman" w:hAnsi="Times New Roman"/>
          <w:i/>
          <w:sz w:val="24"/>
          <w:szCs w:val="24"/>
        </w:rPr>
        <w:t>Revue de Droit International et Législation Comparée</w:t>
      </w:r>
      <w:r w:rsidRPr="002C1356">
        <w:rPr>
          <w:rFonts w:ascii="Times New Roman" w:hAnsi="Times New Roman"/>
          <w:sz w:val="24"/>
          <w:szCs w:val="24"/>
        </w:rPr>
        <w:t>, publicada no final de 1868, a primeira “revista científica” de amplitude internacional.</w:t>
      </w:r>
      <w:r w:rsidRPr="002C1356">
        <w:rPr>
          <w:rStyle w:val="Refdenotaderodap"/>
          <w:rFonts w:ascii="Times New Roman" w:hAnsi="Times New Roman"/>
          <w:sz w:val="24"/>
          <w:szCs w:val="24"/>
        </w:rPr>
        <w:footnoteReference w:id="201"/>
      </w:r>
      <w:r w:rsidRPr="002C1356">
        <w:rPr>
          <w:rFonts w:ascii="Times New Roman" w:hAnsi="Times New Roman"/>
          <w:sz w:val="24"/>
          <w:szCs w:val="24"/>
        </w:rPr>
        <w:t xml:space="preserve"> Rolin foi um admirador da Convenção de 1864 e, com o apoio de Moynier, participou ativamente da fundação do Instituto de Direito Internacional (1873). O artigo 1 do Instituto estabelece: “O Instituto de Direito Internacional deve agir como um organismo científico da consciência jurídica do mundo civilizado”.</w:t>
      </w:r>
      <w:r w:rsidRPr="002C1356">
        <w:rPr>
          <w:rStyle w:val="Refdenotaderodap"/>
          <w:rFonts w:ascii="Times New Roman" w:hAnsi="Times New Roman"/>
          <w:sz w:val="24"/>
          <w:szCs w:val="24"/>
        </w:rPr>
        <w:footnoteReference w:id="202"/>
      </w:r>
      <w:r w:rsidRPr="002C1356">
        <w:rPr>
          <w:rFonts w:ascii="Times New Roman" w:hAnsi="Times New Roman"/>
          <w:sz w:val="24"/>
          <w:szCs w:val="24"/>
        </w:rPr>
        <w:t xml:space="preserve"> </w:t>
      </w:r>
    </w:p>
    <w:p w14:paraId="125CB99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adesão de Moynier à narrativa das “nações civilizadas” não impossibilita Moynier de ser um defensor da humanidade. </w:t>
      </w:r>
    </w:p>
    <w:p w14:paraId="0A47FB45" w14:textId="77777777" w:rsidR="003D7DAB" w:rsidRPr="002C1356" w:rsidRDefault="003D7DAB" w:rsidP="00A931C3">
      <w:pPr>
        <w:pStyle w:val="citao"/>
        <w:spacing w:line="360" w:lineRule="auto"/>
        <w:ind w:left="2126"/>
      </w:pPr>
      <w:r w:rsidRPr="002C1356">
        <w:t xml:space="preserve">A característica essencial das sociedades sob os auspícios da Cruz Vermelha é o espírito que as anima, o espírito de caridade que as leva ao resgate onde sangue for encontrado em um campo de batalha, e </w:t>
      </w:r>
      <w:r w:rsidRPr="002C1356">
        <w:lastRenderedPageBreak/>
        <w:t>sentir a mesma preocupação em relação a um ferido estrangeiro e a um ferido de seu próprio país. As sociedades constituem um vivo protesto contra o patriotismo selvagem que sufoca qualquer sentimento de piedade por um sofrimento do inimigo. Elas estão trabalhando para derrubar barreiras condenadas pela consciência de nosso tempo, barreiras que o fanatismo e a barbárie elevaram e ainda, muito frequentemente, empenham-se em manter entre os membros de uma só família, a espécie humana.</w:t>
      </w:r>
      <w:r w:rsidRPr="002C1356">
        <w:rPr>
          <w:rStyle w:val="Refdenotaderodap"/>
          <w:sz w:val="24"/>
        </w:rPr>
        <w:footnoteReference w:id="203"/>
      </w:r>
    </w:p>
    <w:p w14:paraId="5C16E0EA"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elaboração do atual Direito Internacional Humanitário ilustra a falta de linearidade da internacionalização dos Direitos Humanos. Uma história plena de começos, recomeços e novas descobertas. A esse respeito, dois fatos ilustrativos: O Comitê Internacional da Cruz Vermelha (CICV) adotou essa denominação em um encontro de 20 de dezembro de 1875</w:t>
      </w:r>
      <w:r w:rsidRPr="002C1356">
        <w:rPr>
          <w:rStyle w:val="Refdenotaderodap"/>
          <w:rFonts w:ascii="Times New Roman" w:hAnsi="Times New Roman"/>
          <w:sz w:val="24"/>
          <w:szCs w:val="24"/>
        </w:rPr>
        <w:footnoteReference w:id="204"/>
      </w:r>
      <w:r w:rsidRPr="002C1356">
        <w:rPr>
          <w:rFonts w:ascii="Times New Roman" w:hAnsi="Times New Roman"/>
          <w:sz w:val="24"/>
          <w:szCs w:val="24"/>
        </w:rPr>
        <w:t xml:space="preserve"> e a designação de Direito Internacional Humanitário só foi proposta após as quatro Convenções de Genebra de 1949.</w:t>
      </w:r>
      <w:r w:rsidRPr="002C1356">
        <w:rPr>
          <w:rStyle w:val="Refdenotaderodap"/>
          <w:rFonts w:ascii="Times New Roman" w:hAnsi="Times New Roman"/>
          <w:sz w:val="24"/>
          <w:szCs w:val="24"/>
        </w:rPr>
        <w:footnoteReference w:id="205"/>
      </w:r>
    </w:p>
    <w:p w14:paraId="6AB28C79" w14:textId="6C109F53" w:rsidR="003D7DAB" w:rsidRPr="002C1356" w:rsidRDefault="003D7DAB" w:rsidP="00C44339">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adjetivo “humanitário” é usado para especificar o âmbito de proteção desse ramo do Direito Internacional Público.</w:t>
      </w:r>
    </w:p>
    <w:p w14:paraId="5EC3FE28" w14:textId="77777777" w:rsidR="003D7DAB" w:rsidRPr="002C1356" w:rsidRDefault="003D7DAB" w:rsidP="00A931C3">
      <w:pPr>
        <w:pStyle w:val="citao"/>
        <w:spacing w:line="360" w:lineRule="auto"/>
        <w:ind w:left="2126"/>
      </w:pPr>
      <w:r w:rsidRPr="002C1356">
        <w:t>Nesse sentido, a humanidade protegida pelo Direito Internacional Humanitário seria comparável ao “meio ambiente” como objeto de proteção das normas internacionais em matéria ecológica ou, talvez ao MARE OMNIUM como bem protegido pelo direito internacional do mar.</w:t>
      </w:r>
      <w:r w:rsidRPr="002C1356">
        <w:rPr>
          <w:rStyle w:val="Refdenotaderodap"/>
          <w:sz w:val="24"/>
        </w:rPr>
        <w:footnoteReference w:id="206"/>
      </w:r>
    </w:p>
    <w:p w14:paraId="1FFA3C92"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b/>
          <w:sz w:val="24"/>
          <w:szCs w:val="24"/>
        </w:rPr>
      </w:pPr>
      <w:r w:rsidRPr="002C1356">
        <w:rPr>
          <w:rFonts w:ascii="Times New Roman" w:hAnsi="Times New Roman"/>
          <w:sz w:val="24"/>
          <w:szCs w:val="24"/>
        </w:rPr>
        <w:t>O próximo item a ser estudado não é a humanidade, mas o Direito Internacional dos Refugiados, sem esquecer que, por somarem atualmente quase 40 milhões de pessoas (dados oficiais do ACNUR), constituem uma significativa parcela dela.</w:t>
      </w:r>
    </w:p>
    <w:p w14:paraId="5DF26010"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p>
    <w:p w14:paraId="365C3A67"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r w:rsidRPr="002C1356">
        <w:rPr>
          <w:rFonts w:ascii="Times New Roman" w:hAnsi="Times New Roman"/>
          <w:b/>
          <w:sz w:val="24"/>
          <w:szCs w:val="24"/>
        </w:rPr>
        <w:t>2.2.2) Sujeito de Direito e o DIR</w:t>
      </w:r>
    </w:p>
    <w:p w14:paraId="0B394D2D"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sz w:val="24"/>
          <w:szCs w:val="24"/>
        </w:rPr>
      </w:pPr>
    </w:p>
    <w:p w14:paraId="62C52A3F" w14:textId="54BD3035" w:rsidR="003D7DAB" w:rsidRPr="002C1356" w:rsidRDefault="003D7DAB" w:rsidP="00C44339">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saga de Édipo, personagem de Sófocles, é contada na Trilogia Tebana. Em </w:t>
      </w:r>
      <w:r w:rsidRPr="002C1356">
        <w:rPr>
          <w:rFonts w:ascii="Times New Roman" w:hAnsi="Times New Roman"/>
          <w:i/>
          <w:sz w:val="24"/>
          <w:szCs w:val="24"/>
        </w:rPr>
        <w:t>Édipo em Colono</w:t>
      </w:r>
      <w:r w:rsidRPr="002C1356">
        <w:rPr>
          <w:rFonts w:ascii="Times New Roman" w:hAnsi="Times New Roman"/>
          <w:sz w:val="24"/>
          <w:szCs w:val="24"/>
        </w:rPr>
        <w:t>, ele já está cego, de pés inchados e é recebido por Teseu (rei de Atenas):</w:t>
      </w:r>
    </w:p>
    <w:p w14:paraId="40F2ADC5" w14:textId="77777777" w:rsidR="003D7DAB" w:rsidRPr="002C1356" w:rsidRDefault="003D7DAB" w:rsidP="00A931C3">
      <w:pPr>
        <w:pStyle w:val="citao"/>
        <w:spacing w:line="360" w:lineRule="auto"/>
        <w:ind w:left="2126" w:firstLine="6"/>
        <w:contextualSpacing/>
      </w:pPr>
      <w:r w:rsidRPr="002C1356">
        <w:t xml:space="preserve"> (…)</w:t>
      </w:r>
    </w:p>
    <w:p w14:paraId="39013436" w14:textId="77777777" w:rsidR="003D7DAB" w:rsidRPr="002C1356" w:rsidRDefault="003D7DAB" w:rsidP="00A931C3">
      <w:pPr>
        <w:pStyle w:val="citao"/>
        <w:spacing w:line="360" w:lineRule="auto"/>
        <w:ind w:left="2126" w:firstLine="6"/>
        <w:contextualSpacing/>
      </w:pPr>
      <w:r w:rsidRPr="002C1356">
        <w:lastRenderedPageBreak/>
        <w:t>De fato, a tua sina deve ser terrível</w:t>
      </w:r>
    </w:p>
    <w:p w14:paraId="7E3CC6B1" w14:textId="77777777" w:rsidR="003D7DAB" w:rsidRPr="002C1356" w:rsidRDefault="003D7DAB" w:rsidP="00A931C3">
      <w:pPr>
        <w:pStyle w:val="citao"/>
        <w:spacing w:line="360" w:lineRule="auto"/>
        <w:ind w:left="2126" w:firstLine="6"/>
        <w:contextualSpacing/>
      </w:pPr>
      <w:r w:rsidRPr="002C1356">
        <w:t>E não lhe ficarei indiferente, eu que</w:t>
      </w:r>
    </w:p>
    <w:p w14:paraId="7C9F74A6" w14:textId="77777777" w:rsidR="003D7DAB" w:rsidRPr="002C1356" w:rsidRDefault="003D7DAB" w:rsidP="00A931C3">
      <w:pPr>
        <w:pStyle w:val="citao"/>
        <w:spacing w:line="360" w:lineRule="auto"/>
        <w:ind w:left="2126" w:firstLine="6"/>
        <w:contextualSpacing/>
      </w:pPr>
      <w:r w:rsidRPr="002C1356">
        <w:t>Cresci no exílio, um desterrado como tu,</w:t>
      </w:r>
    </w:p>
    <w:p w14:paraId="0C4B0A5B" w14:textId="77777777" w:rsidR="003D7DAB" w:rsidRPr="002C1356" w:rsidRDefault="003D7DAB" w:rsidP="00A931C3">
      <w:pPr>
        <w:pStyle w:val="citao"/>
        <w:spacing w:line="360" w:lineRule="auto"/>
        <w:ind w:left="2126" w:firstLine="6"/>
        <w:contextualSpacing/>
      </w:pPr>
      <w:r w:rsidRPr="002C1356">
        <w:t>E que arrisquei como ninguém a minha vida</w:t>
      </w:r>
    </w:p>
    <w:p w14:paraId="35D8F6E3" w14:textId="77777777" w:rsidR="003D7DAB" w:rsidRPr="002C1356" w:rsidRDefault="003D7DAB" w:rsidP="00A931C3">
      <w:pPr>
        <w:pStyle w:val="citao"/>
        <w:spacing w:line="360" w:lineRule="auto"/>
        <w:ind w:left="2126" w:firstLine="6"/>
        <w:contextualSpacing/>
      </w:pPr>
      <w:r w:rsidRPr="002C1356">
        <w:t xml:space="preserve">Lutando muitas vezes em terras estranhas </w:t>
      </w:r>
    </w:p>
    <w:p w14:paraId="5F843449" w14:textId="77777777" w:rsidR="003D7DAB" w:rsidRPr="002C1356" w:rsidRDefault="003D7DAB" w:rsidP="00A931C3">
      <w:pPr>
        <w:pStyle w:val="citao"/>
        <w:spacing w:line="360" w:lineRule="auto"/>
        <w:ind w:left="2126" w:firstLine="6"/>
        <w:contextualSpacing/>
      </w:pPr>
      <w:r w:rsidRPr="002C1356">
        <w:t>Por isso, a nenhum forasteiro igual a ti</w:t>
      </w:r>
    </w:p>
    <w:p w14:paraId="6DD6BBD8" w14:textId="77777777" w:rsidR="003D7DAB" w:rsidRPr="002C1356" w:rsidRDefault="003D7DAB" w:rsidP="00A931C3">
      <w:pPr>
        <w:pStyle w:val="citao"/>
        <w:spacing w:line="360" w:lineRule="auto"/>
        <w:ind w:left="2126" w:firstLine="6"/>
        <w:contextualSpacing/>
      </w:pPr>
      <w:r w:rsidRPr="002C1356">
        <w:t>Eu hoje poderia recusar ajuda (…).</w:t>
      </w:r>
    </w:p>
    <w:p w14:paraId="7E43D39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Asilo é uma palavra de origem grega, formada pelo sufixo “a” e o verbo “sylao” que significa: capturar, violentar, devastar. O significado literal vem a ser: </w:t>
      </w:r>
      <w:r w:rsidRPr="002C1356">
        <w:rPr>
          <w:rFonts w:ascii="Times New Roman" w:hAnsi="Times New Roman"/>
          <w:i/>
          <w:sz w:val="24"/>
          <w:szCs w:val="24"/>
        </w:rPr>
        <w:t>sem captura, sem devastação, sem violência</w:t>
      </w:r>
      <w:r w:rsidRPr="002C1356">
        <w:rPr>
          <w:rFonts w:ascii="Times New Roman" w:hAnsi="Times New Roman"/>
          <w:sz w:val="24"/>
          <w:szCs w:val="24"/>
        </w:rPr>
        <w:t>.</w:t>
      </w:r>
      <w:r w:rsidRPr="002C1356">
        <w:rPr>
          <w:rStyle w:val="Refdenotaderodap"/>
          <w:rFonts w:ascii="Times New Roman" w:hAnsi="Times New Roman"/>
          <w:sz w:val="24"/>
          <w:szCs w:val="24"/>
        </w:rPr>
        <w:footnoteReference w:id="207"/>
      </w:r>
      <w:r w:rsidRPr="002C1356">
        <w:rPr>
          <w:rFonts w:ascii="Times New Roman" w:hAnsi="Times New Roman"/>
          <w:sz w:val="24"/>
          <w:szCs w:val="24"/>
        </w:rPr>
        <w:t xml:space="preserve"> </w:t>
      </w:r>
    </w:p>
    <w:p w14:paraId="0B18A7A4"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sz w:val="24"/>
          <w:szCs w:val="24"/>
        </w:rPr>
      </w:pPr>
      <w:r w:rsidRPr="002C1356">
        <w:rPr>
          <w:rFonts w:ascii="Times New Roman" w:hAnsi="Times New Roman"/>
          <w:sz w:val="24"/>
          <w:szCs w:val="24"/>
        </w:rPr>
        <w:tab/>
        <w:t>Na Grécia antiga o asilo integra o direito consuetudinário. A Constituição Francesa (1793) estabelece oferecer proteção “aos estrangeiros banidos de sua pátria por causa da liberdade”.</w:t>
      </w:r>
    </w:p>
    <w:p w14:paraId="4BE3EE28"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proteção aos buscadores de asilo (</w:t>
      </w:r>
      <w:r w:rsidRPr="002C1356">
        <w:rPr>
          <w:rFonts w:ascii="Times New Roman" w:hAnsi="Times New Roman"/>
          <w:i/>
          <w:sz w:val="24"/>
          <w:szCs w:val="24"/>
        </w:rPr>
        <w:t xml:space="preserve">asylum seekers) </w:t>
      </w:r>
      <w:r w:rsidRPr="002C1356">
        <w:rPr>
          <w:rFonts w:ascii="Times New Roman" w:hAnsi="Times New Roman"/>
          <w:sz w:val="24"/>
          <w:szCs w:val="24"/>
        </w:rPr>
        <w:t xml:space="preserve">é concretizada pelo Direito de duas maneiras: o asilo político (diplomático ou territorial), de âmbito latino-americano, e o estatuto do refugiado. </w:t>
      </w:r>
    </w:p>
    <w:p w14:paraId="02345B7D"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O Tratado sobre o Direito Penal Internacional assinado em 23 de janeiro de 1889 em Montevidéo foi o primeiro a positivar o instituto do asilo. Na época contemporânea o asilo é um instituto jurídico de âmbito exclusivamente latino-americano regulado pela Convenção sobre Asilo territorial e Convenção sobre Asilo Diplomático (ambas de 1954).</w:t>
      </w:r>
    </w:p>
    <w:p w14:paraId="2DA66D8E"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buscador de asilo, a partir do século XX, no continente europeu foi protegido por meio do reconhecimento da sua condição de refugiado. No ano de 1939, </w:t>
      </w:r>
      <w:r w:rsidRPr="002C1356">
        <w:rPr>
          <w:rFonts w:ascii="Times New Roman" w:hAnsi="Times New Roman"/>
          <w:i/>
          <w:sz w:val="24"/>
          <w:szCs w:val="24"/>
        </w:rPr>
        <w:t xml:space="preserve">sir </w:t>
      </w:r>
      <w:r w:rsidRPr="002C1356">
        <w:rPr>
          <w:rFonts w:ascii="Times New Roman" w:hAnsi="Times New Roman"/>
          <w:sz w:val="24"/>
          <w:szCs w:val="24"/>
        </w:rPr>
        <w:t xml:space="preserve">John Simpson reconhece a antiguidade do tema da questão em uma palestra intitulada “O problema do refugiado”: “Refugiados não são um problema novo (…) O problema não é novo, mas é um problema mais severo em todo o mundo do que nunca foi antes da guerra”. </w:t>
      </w:r>
    </w:p>
    <w:p w14:paraId="64C59B55"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afirmação é correta, e para lidar com a questão a SDN conheceu três fases da definição do estatuto de refugiado, isto é: I) Perspectiva jurídica (1920-1935); II) Perspectiva social (1935-1938) III) Perspectiva individualista (1938-1950).</w:t>
      </w:r>
      <w:r w:rsidRPr="002C1356">
        <w:rPr>
          <w:rStyle w:val="Refdenotaderodap"/>
          <w:rFonts w:ascii="Times New Roman" w:hAnsi="Times New Roman"/>
          <w:sz w:val="24"/>
          <w:szCs w:val="24"/>
        </w:rPr>
        <w:footnoteReference w:id="208"/>
      </w:r>
    </w:p>
    <w:p w14:paraId="7FE51A07" w14:textId="77777777" w:rsidR="00845302" w:rsidRDefault="00845302" w:rsidP="003D7DAB">
      <w:pPr>
        <w:widowControl w:val="0"/>
        <w:autoSpaceDE w:val="0"/>
        <w:autoSpaceDN w:val="0"/>
        <w:adjustRightInd w:val="0"/>
        <w:spacing w:after="0" w:line="360" w:lineRule="auto"/>
        <w:ind w:firstLine="708"/>
        <w:contextualSpacing/>
        <w:jc w:val="both"/>
        <w:outlineLvl w:val="0"/>
        <w:rPr>
          <w:rFonts w:ascii="Times New Roman" w:hAnsi="Times New Roman"/>
          <w:b/>
          <w:sz w:val="24"/>
          <w:szCs w:val="24"/>
        </w:rPr>
      </w:pPr>
    </w:p>
    <w:p w14:paraId="67563520" w14:textId="77777777" w:rsidR="003D7DAB" w:rsidRPr="002C1356" w:rsidRDefault="003D7DAB" w:rsidP="003D7DAB">
      <w:pPr>
        <w:widowControl w:val="0"/>
        <w:autoSpaceDE w:val="0"/>
        <w:autoSpaceDN w:val="0"/>
        <w:adjustRightInd w:val="0"/>
        <w:spacing w:after="0" w:line="360" w:lineRule="auto"/>
        <w:ind w:firstLine="708"/>
        <w:contextualSpacing/>
        <w:jc w:val="both"/>
        <w:outlineLvl w:val="0"/>
        <w:rPr>
          <w:rFonts w:ascii="Times New Roman" w:hAnsi="Times New Roman"/>
          <w:b/>
          <w:sz w:val="24"/>
          <w:szCs w:val="24"/>
        </w:rPr>
      </w:pPr>
      <w:r w:rsidRPr="002C1356">
        <w:rPr>
          <w:rFonts w:ascii="Times New Roman" w:hAnsi="Times New Roman"/>
          <w:b/>
          <w:sz w:val="24"/>
          <w:szCs w:val="24"/>
        </w:rPr>
        <w:t>I) Perspectiva jurídica (1920-1935)</w:t>
      </w:r>
    </w:p>
    <w:p w14:paraId="132473E2" w14:textId="77777777" w:rsidR="00845302" w:rsidRDefault="00845302"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71410003"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lastRenderedPageBreak/>
        <w:t>No final da Primeira Guerra Mundial, a crescente recusa em receber imigrantes por parte dos países europeus foi simultânea à migração de aproximadamente um milhão e meio de russos, no início de 1917, pelas mais diversas razões relacionadas à Revolução Russa. A situação piorou quando o governo revolucionário, no ano de 1921, destituiu da cidadania russa pessoas que tivessem deixado o país por mais de cinco anos, ou que o tivessem deixado antes de 7 de novembro de 1917 sem autorização governamental. O que transformou centenas de milhares de russos em apátridas.</w:t>
      </w:r>
      <w:r w:rsidRPr="002C1356">
        <w:rPr>
          <w:rStyle w:val="Refdenotaderodap"/>
          <w:rFonts w:ascii="Times New Roman" w:hAnsi="Times New Roman"/>
          <w:sz w:val="24"/>
          <w:szCs w:val="24"/>
        </w:rPr>
        <w:footnoteReference w:id="209"/>
      </w:r>
    </w:p>
    <w:p w14:paraId="65AA68CD"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Em face dessa questão, o CICV apelou ao Conselho da SDN para agir em favor dos “refugiados russos dispersos na Europa sem proteção jurídica ou representação”. A ação deveria ser tomada “não por um dever humanitário”, mas “como uma obrigação da justiça internacional”.</w:t>
      </w:r>
      <w:r w:rsidRPr="002C1356">
        <w:rPr>
          <w:rStyle w:val="Refdenotaderodap"/>
          <w:rFonts w:ascii="Times New Roman" w:hAnsi="Times New Roman"/>
          <w:sz w:val="24"/>
          <w:szCs w:val="24"/>
        </w:rPr>
        <w:footnoteReference w:id="210"/>
      </w:r>
      <w:r w:rsidRPr="002C1356">
        <w:rPr>
          <w:rFonts w:ascii="Times New Roman" w:hAnsi="Times New Roman"/>
          <w:sz w:val="24"/>
          <w:szCs w:val="24"/>
        </w:rPr>
        <w:t xml:space="preserve"> </w:t>
      </w:r>
    </w:p>
    <w:p w14:paraId="55836819"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 Atendida a demanda do CICV por parte do conselho da SDN, foi estabelecido o Alto Comissariado para Refugiados Russos (21 de novembro de 1921), cujo alto-comissário foi o norueguês Fridtjof Nansen (1861-1930). Seu mandato abrangia três objetivos: 1) a definição de um estatuto jurídico para os refugiados; 2) organizar sua repatriação ou sua transferência para vários países capazes de recebê-los, e achar meios de auxiliá-los e; 3) empreender um trabalho de socorro aos russos, com o auxílio de sociedades filantrópicas.</w:t>
      </w:r>
      <w:r w:rsidRPr="002C1356">
        <w:rPr>
          <w:rStyle w:val="Refdenotaderodap"/>
          <w:rFonts w:ascii="Times New Roman" w:hAnsi="Times New Roman"/>
          <w:sz w:val="24"/>
          <w:szCs w:val="24"/>
        </w:rPr>
        <w:footnoteReference w:id="211"/>
      </w:r>
    </w:p>
    <w:p w14:paraId="2D3D68F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definição do estatuto de um refugiado russo era a seguinte: “Russos: toda pessoa de origem russa que não goze, ou que não mais goze, da proteção do governo da União das Repúblicas Socialistas Soviéticas e que não tenha adquirido outra nacionalidade”.</w:t>
      </w:r>
    </w:p>
    <w:p w14:paraId="27EFA192"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 mandato do alto-comissário foi ampliado a fim de incluir os refugiados armênios (1924) e refugiados assírios, assírios-Caldeus e turcos (1928).</w:t>
      </w:r>
      <w:r w:rsidRPr="002C1356">
        <w:rPr>
          <w:rStyle w:val="Refdenotaderodap"/>
          <w:rFonts w:ascii="Times New Roman" w:hAnsi="Times New Roman"/>
          <w:sz w:val="24"/>
          <w:szCs w:val="24"/>
        </w:rPr>
        <w:footnoteReference w:id="212"/>
      </w:r>
      <w:r w:rsidRPr="002C1356">
        <w:rPr>
          <w:rFonts w:ascii="Times New Roman" w:hAnsi="Times New Roman"/>
          <w:sz w:val="24"/>
          <w:szCs w:val="24"/>
        </w:rPr>
        <w:t xml:space="preserve"> Outro acordo foi assinado referente à emissão de certificados de identidade para russos e armênios, em 1926.</w:t>
      </w:r>
      <w:r w:rsidRPr="002C1356">
        <w:rPr>
          <w:rStyle w:val="Refdenotaderodap"/>
          <w:rFonts w:ascii="Times New Roman" w:hAnsi="Times New Roman"/>
          <w:sz w:val="24"/>
          <w:szCs w:val="24"/>
        </w:rPr>
        <w:footnoteReference w:id="213"/>
      </w:r>
      <w:r w:rsidRPr="002C1356">
        <w:rPr>
          <w:rFonts w:ascii="Times New Roman" w:hAnsi="Times New Roman"/>
          <w:sz w:val="24"/>
          <w:szCs w:val="24"/>
        </w:rPr>
        <w:t xml:space="preserve"> Em 28 de outubro de 1933, durante a vigésima assembleia da SDN, os Estados participantes acordaram a importância de ter um sistema permanente de proteção dos refugiados. Foi assinada nessa oportunidade a Convenção Relativa ao Estatuto Internacional dos Refugiados. As definições dos acordos de 1924, 1926, 1928, bem como a da convenção (1933), estipulavam que os refugiados não gozavam de proteção </w:t>
      </w:r>
      <w:r w:rsidRPr="002C1356">
        <w:rPr>
          <w:rFonts w:ascii="Times New Roman" w:hAnsi="Times New Roman"/>
          <w:sz w:val="24"/>
          <w:szCs w:val="24"/>
        </w:rPr>
        <w:lastRenderedPageBreak/>
        <w:t>internacional.</w:t>
      </w:r>
      <w:r w:rsidRPr="002C1356">
        <w:rPr>
          <w:rStyle w:val="Refdenotaderodap"/>
          <w:rFonts w:ascii="Times New Roman" w:hAnsi="Times New Roman"/>
          <w:sz w:val="24"/>
          <w:szCs w:val="24"/>
        </w:rPr>
        <w:footnoteReference w:id="214"/>
      </w:r>
    </w:p>
    <w:p w14:paraId="2F162479"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Em 1º de abril de 1931, a SDN criou a primeira organização cujo objetivo era lidar com a questão dos refugiados de forma ampla e não circunstancial: o escritório internacional Nansen para refugiados. A principal tarefa do escritório foi a emissão de passaportes Nansen. Esse documento possibilitou uma identificação jurídica, ainda que provisória, fornecida por uma organização internacional. Fridtjof Nansen foi o responsável pela criação desse documento utilizado pela primeira vez em 1922 para russos que se tornaram apátridas, tendo em vista o cancelamento de sua nacionalidade. Nansen faleceu em 1930, e o nome do escritório foi dado em sua homenagem.</w:t>
      </w:r>
      <w:r w:rsidRPr="002C1356">
        <w:rPr>
          <w:rStyle w:val="Refdenotaderodap"/>
          <w:rFonts w:ascii="Times New Roman" w:hAnsi="Times New Roman"/>
          <w:sz w:val="24"/>
          <w:szCs w:val="24"/>
        </w:rPr>
        <w:footnoteReference w:id="215"/>
      </w:r>
    </w:p>
    <w:p w14:paraId="7F8205E7"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De 1921 a 1935, o reconhecimento da condição de refugiado era realizado por meio de uma qualificação coletiva, de forma circunstancial e tópica. Assim, o período de 1920-1935 pode ser caracterizado pela intenção da comunidade internacional de assistir as vítimas do fenômeno jurídico da desnacionalização, por meio de medidas de proteção jurídica e pouca atenção prestada as causas sociais do dilema legal dos refugiados.</w:t>
      </w:r>
      <w:r w:rsidRPr="002C1356">
        <w:rPr>
          <w:rStyle w:val="Refdenotaderodap"/>
          <w:rFonts w:ascii="Times New Roman" w:hAnsi="Times New Roman"/>
          <w:sz w:val="24"/>
          <w:szCs w:val="24"/>
        </w:rPr>
        <w:footnoteReference w:id="216"/>
      </w:r>
    </w:p>
    <w:p w14:paraId="3A2967DA"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p>
    <w:p w14:paraId="6181F6A0" w14:textId="77777777" w:rsidR="003D7DAB" w:rsidRPr="002C1356" w:rsidRDefault="003D7DAB" w:rsidP="003D7DAB">
      <w:pPr>
        <w:widowControl w:val="0"/>
        <w:autoSpaceDE w:val="0"/>
        <w:autoSpaceDN w:val="0"/>
        <w:adjustRightInd w:val="0"/>
        <w:spacing w:after="0" w:line="360" w:lineRule="auto"/>
        <w:ind w:firstLine="708"/>
        <w:contextualSpacing/>
        <w:jc w:val="both"/>
        <w:outlineLvl w:val="0"/>
        <w:rPr>
          <w:rFonts w:ascii="Times New Roman" w:hAnsi="Times New Roman"/>
          <w:b/>
          <w:sz w:val="24"/>
          <w:szCs w:val="24"/>
        </w:rPr>
      </w:pPr>
      <w:r w:rsidRPr="002C1356">
        <w:rPr>
          <w:rFonts w:ascii="Times New Roman" w:hAnsi="Times New Roman"/>
          <w:b/>
          <w:sz w:val="24"/>
          <w:szCs w:val="24"/>
        </w:rPr>
        <w:t>II) Perspectiva Social (1935-1938)</w:t>
      </w:r>
    </w:p>
    <w:p w14:paraId="51DF4F8F"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p>
    <w:p w14:paraId="7EFC0F51"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No mês de janeiro (1935), foi realizado um plebiscito no território do Saar (localizado entre França e Alemanha) com o objetivo de determinar o destino de sua população após o término do mandato exercido pela SDN. O plebiscito oferecia três possibilidades: 1) continuação do mandato da SDN; 2) anexação à França e 3) anexação à Alemanha. A união com Alemanha saiu vitoriosa, e, em consequência desse resultado, mais de três mil habitantes deixaram seus lares em direção a França e Luxemburgo. A maioria dos que fugiram fazia oposição ao governo de Hitler ou temiam pelo cerceamento de sua liberdade religiosa por parte do governo nazista.</w:t>
      </w:r>
    </w:p>
    <w:p w14:paraId="26E4859F"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maior parte das pessoas que deixaram o território não tinham passaporte regular, e a SDN empenhou-se em resolver a questão de um documento de identidade regular para essa população.</w:t>
      </w:r>
      <w:r w:rsidRPr="002C1356">
        <w:rPr>
          <w:rStyle w:val="Refdenotaderodap"/>
          <w:rFonts w:ascii="Times New Roman" w:hAnsi="Times New Roman"/>
          <w:sz w:val="24"/>
          <w:szCs w:val="24"/>
        </w:rPr>
        <w:footnoteReference w:id="217"/>
      </w:r>
    </w:p>
    <w:p w14:paraId="27E6ED85"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O regime totalitário do Terceiro Reich gerou um intenso fluxo de buscadores de asilo. Muito antes do advento dos campos de concentração, o Terceiro Reich estabeleceu: </w:t>
      </w:r>
      <w:r w:rsidRPr="002C1356">
        <w:rPr>
          <w:rFonts w:ascii="Times New Roman" w:hAnsi="Times New Roman"/>
          <w:sz w:val="24"/>
          <w:szCs w:val="24"/>
        </w:rPr>
        <w:lastRenderedPageBreak/>
        <w:t>“Ninguém, mas apenas os membros da nação, podem ser cidadãos do Estado. Ninguém, mas apenas aqueles com o sangue alemão, não importando seu credo, podem ser membros da nação. Nenhum judeu, portanto, pode ser um membro da nação”.</w:t>
      </w:r>
      <w:r w:rsidRPr="002C1356">
        <w:rPr>
          <w:rStyle w:val="Refdenotaderodap"/>
          <w:rFonts w:ascii="Times New Roman" w:hAnsi="Times New Roman"/>
          <w:sz w:val="24"/>
          <w:szCs w:val="24"/>
        </w:rPr>
        <w:footnoteReference w:id="218"/>
      </w:r>
    </w:p>
    <w:p w14:paraId="6132C91A"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Em face da intolerância e xenofobia nazista, milhares de judeus deixaram a Alemanha em direção aos Estados Unidos, à Palestina e a países da Europa Ocidental. Diante dessa situação, no ano de 1933, a SDN estabeleceu o Alto-Comissariado para Refugiados (judeus e outros) originados da Alemanha. Em 1936 foi elaborado o </w:t>
      </w:r>
    </w:p>
    <w:p w14:paraId="358F1661" w14:textId="77777777" w:rsidR="003D7DAB" w:rsidRPr="002C1356" w:rsidRDefault="003D7DAB" w:rsidP="00A931C3">
      <w:pPr>
        <w:pStyle w:val="citao"/>
        <w:spacing w:line="360" w:lineRule="auto"/>
        <w:ind w:left="2126"/>
      </w:pPr>
      <w:r w:rsidRPr="002C1356">
        <w:t xml:space="preserve">Ajuste Provisório relativo ao Estatuto dos Refugiados provenientes da Alemanha, o qual, no seu artigo 1, estabelece: Para o propósito do presente Ajuste, o termo “refugiado proveniente da Alemanha” deve ser aplicado a qualquer pessoa que habitava naquele país, que não possui, nenhuma outra nacionalidade além da nacionalidade alemã, e a cujo respeito foi estabelecido que de direito ou de fato não há o gozo da proteção do governo do </w:t>
      </w:r>
      <w:r w:rsidRPr="002C1356">
        <w:rPr>
          <w:b/>
        </w:rPr>
        <w:t>Reich</w:t>
      </w:r>
      <w:r w:rsidRPr="00A24AED">
        <w:t>.</w:t>
      </w:r>
      <w:r w:rsidRPr="002C1356">
        <w:rPr>
          <w:rStyle w:val="Refdenotaderodap"/>
          <w:sz w:val="24"/>
        </w:rPr>
        <w:footnoteReference w:id="219"/>
      </w:r>
    </w:p>
    <w:p w14:paraId="4D5A504B"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Em março de 1937, a SDN conclamou os Estados europeus para uma conferência a fim de estabelecer um plano mais amplo para proteção dos refugiados vindo da Alemanha. No dia 10 de fevereiro de 1938, foi aprovada uma “Convenção relativa ao Estatuto do Refugiado provenientes da Alemanha” conforme o esclarecimento de Hathaway</w:t>
      </w:r>
      <w:r w:rsidRPr="002C1356">
        <w:rPr>
          <w:rStyle w:val="Refdenotaderodap"/>
          <w:rFonts w:ascii="Times New Roman" w:hAnsi="Times New Roman"/>
          <w:sz w:val="24"/>
          <w:szCs w:val="24"/>
        </w:rPr>
        <w:footnoteReference w:id="220"/>
      </w:r>
      <w:r w:rsidRPr="002C1356">
        <w:rPr>
          <w:rFonts w:ascii="Times New Roman" w:hAnsi="Times New Roman"/>
          <w:sz w:val="24"/>
          <w:szCs w:val="24"/>
        </w:rPr>
        <w:t xml:space="preserve">. A discussão durante a conferência deixou claro, entretanto, que as pessoas abrangidas pela cláusula de exclusão não eram vítimas de sanções econômicas ou proscrições; em vez disso “pessoas que deixaram a Alemanha por razões econômicas, mas que não foram obrigadas a fazer isso, ou que deixaram a Alemanha a fim de evadirem-se do pagamento de impostos”. </w:t>
      </w:r>
    </w:p>
    <w:p w14:paraId="1CC72AE9"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sz w:val="24"/>
          <w:szCs w:val="24"/>
        </w:rPr>
      </w:pPr>
      <w:r w:rsidRPr="002C1356">
        <w:rPr>
          <w:rFonts w:ascii="Times New Roman" w:hAnsi="Times New Roman"/>
          <w:sz w:val="24"/>
          <w:szCs w:val="24"/>
        </w:rPr>
        <w:tab/>
        <w:t>A nova forma de definir refugiado continua a incluir pessoas sem qualquer espécie de proteção legal da comunidade internacional e, além desse amparo jurídico, a oferecer assistência às vítimas de acontecimentos sociais e políticos que resultaram em violações de direitos humanos e na ausência de proteção estatal, seja jurídica ou social.</w:t>
      </w:r>
      <w:r w:rsidRPr="002C1356">
        <w:rPr>
          <w:rStyle w:val="Refdenotaderodap"/>
          <w:rFonts w:ascii="Times New Roman" w:hAnsi="Times New Roman"/>
          <w:sz w:val="24"/>
          <w:szCs w:val="24"/>
        </w:rPr>
        <w:footnoteReference w:id="221"/>
      </w:r>
    </w:p>
    <w:p w14:paraId="1FC5E212"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p>
    <w:p w14:paraId="057E939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b/>
          <w:sz w:val="24"/>
          <w:szCs w:val="24"/>
        </w:rPr>
      </w:pPr>
      <w:r w:rsidRPr="002C1356">
        <w:rPr>
          <w:rFonts w:ascii="Times New Roman" w:hAnsi="Times New Roman"/>
          <w:b/>
          <w:sz w:val="24"/>
          <w:szCs w:val="24"/>
        </w:rPr>
        <w:t>III) Perspectiva Individualista (1938-1950)</w:t>
      </w:r>
    </w:p>
    <w:p w14:paraId="63F0295E"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sz w:val="24"/>
          <w:szCs w:val="24"/>
        </w:rPr>
      </w:pPr>
    </w:p>
    <w:p w14:paraId="0F6FF97B" w14:textId="77777777" w:rsidR="003D7DAB" w:rsidRPr="002C1356" w:rsidRDefault="003D7DAB" w:rsidP="003D7DAB">
      <w:pPr>
        <w:widowControl w:val="0"/>
        <w:autoSpaceDE w:val="0"/>
        <w:autoSpaceDN w:val="0"/>
        <w:adjustRightInd w:val="0"/>
        <w:spacing w:after="0" w:line="360" w:lineRule="auto"/>
        <w:contextualSpacing/>
        <w:jc w:val="both"/>
        <w:rPr>
          <w:rFonts w:ascii="Times New Roman" w:hAnsi="Times New Roman"/>
          <w:sz w:val="24"/>
          <w:szCs w:val="24"/>
        </w:rPr>
      </w:pPr>
      <w:r w:rsidRPr="002C1356">
        <w:rPr>
          <w:rFonts w:ascii="Times New Roman" w:hAnsi="Times New Roman"/>
          <w:sz w:val="24"/>
          <w:szCs w:val="24"/>
        </w:rPr>
        <w:lastRenderedPageBreak/>
        <w:tab/>
        <w:t>A fim de oferecer assistência complementar aquela oferecida pelo Alto-Comissariado da SDN, o presidente dos Estados Unidos Franklin D. Roosevelt convocou, em julho de 1938, uma conferência na cidade de Evian, à qual compareceram trinta e dois países. Nessa oportunidade foi criado o Comitê Intergovernamental para Refugiados (CIR, 1938-1947), com sede em Londres.</w:t>
      </w:r>
      <w:r w:rsidRPr="002C1356">
        <w:rPr>
          <w:rStyle w:val="Refdenotaderodap"/>
          <w:rFonts w:ascii="Times New Roman" w:hAnsi="Times New Roman"/>
          <w:sz w:val="24"/>
          <w:szCs w:val="24"/>
        </w:rPr>
        <w:footnoteReference w:id="222"/>
      </w:r>
    </w:p>
    <w:p w14:paraId="26980146" w14:textId="090A63E8" w:rsidR="003D7DAB" w:rsidRPr="002C1356" w:rsidRDefault="003D7DAB" w:rsidP="00C44339">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proposta inicial do CIR era atender: </w:t>
      </w:r>
    </w:p>
    <w:p w14:paraId="30759F4A" w14:textId="77777777" w:rsidR="003D7DAB" w:rsidRPr="002C1356" w:rsidRDefault="003D7DAB" w:rsidP="00A931C3">
      <w:pPr>
        <w:pStyle w:val="citao"/>
        <w:spacing w:line="360" w:lineRule="auto"/>
        <w:ind w:left="2126"/>
      </w:pPr>
      <w:r w:rsidRPr="002C1356">
        <w:t>1) Pessoas que não tinham ainda deixado seus países de origem (Alemanha, inclusive Áustria) mas que eram obrigadas a emigrar devido as suas opiniões políticas, crenças religiosas e origem racial, e 2) pessoas definidas no item 1</w:t>
      </w:r>
      <w:r w:rsidRPr="002C1356">
        <w:rPr>
          <w:b/>
        </w:rPr>
        <w:t xml:space="preserve"> </w:t>
      </w:r>
      <w:r w:rsidRPr="002C1356">
        <w:t>que já tinham deixado seu país de origem, mas ainda não tinham se estabelecido permanentemente em outro lugar.</w:t>
      </w:r>
      <w:r w:rsidRPr="002C1356">
        <w:rPr>
          <w:rStyle w:val="Refdenotaderodap"/>
          <w:sz w:val="24"/>
        </w:rPr>
        <w:footnoteReference w:id="223"/>
      </w:r>
    </w:p>
    <w:p w14:paraId="2B6CB0F3"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definição em tela foi inovadora, pois reconheceu que mesmo as “pessoas que não tinham ainda deixado seus países de origem”</w:t>
      </w:r>
      <w:r w:rsidRPr="002C1356">
        <w:rPr>
          <w:rFonts w:ascii="Times New Roman" w:hAnsi="Times New Roman"/>
          <w:i/>
          <w:sz w:val="24"/>
          <w:szCs w:val="24"/>
        </w:rPr>
        <w:t xml:space="preserve"> </w:t>
      </w:r>
      <w:r w:rsidRPr="002C1356">
        <w:rPr>
          <w:rFonts w:ascii="Times New Roman" w:hAnsi="Times New Roman"/>
          <w:sz w:val="24"/>
          <w:szCs w:val="24"/>
        </w:rPr>
        <w:t xml:space="preserve">poderiam ser classificadas como refugiadas tendo direito à proteção e assistência. O CIR estabelece motivos </w:t>
      </w:r>
      <w:r w:rsidRPr="002C1356">
        <w:rPr>
          <w:rFonts w:ascii="Times New Roman" w:hAnsi="Times New Roman"/>
          <w:i/>
          <w:sz w:val="24"/>
          <w:szCs w:val="24"/>
        </w:rPr>
        <w:t xml:space="preserve">numerus clausus </w:t>
      </w:r>
      <w:r w:rsidRPr="002C1356">
        <w:rPr>
          <w:rFonts w:ascii="Times New Roman" w:hAnsi="Times New Roman"/>
          <w:sz w:val="24"/>
          <w:szCs w:val="24"/>
        </w:rPr>
        <w:t>para receber proteção, a saber: opiniões políticas, crenças religiosas e origem racial.</w:t>
      </w:r>
      <w:r w:rsidRPr="002C1356">
        <w:rPr>
          <w:rStyle w:val="Refdenotaderodap"/>
          <w:rFonts w:ascii="Times New Roman" w:hAnsi="Times New Roman"/>
          <w:sz w:val="24"/>
          <w:szCs w:val="24"/>
        </w:rPr>
        <w:footnoteReference w:id="224"/>
      </w:r>
    </w:p>
    <w:p w14:paraId="03CD36AB"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 xml:space="preserve"> O segundo organismo a ser estabelecido nesse período foi a Administração da ONU para o Socorro e Reconstrução (UNRRA, 1943-1946), cujo principal objetivo era “melhorar as condições e prestar assistência aos deslocados de guerra e refugiados nas áreas que haviam sido liberadas pelas tropas aliadas”.</w:t>
      </w:r>
      <w:r w:rsidRPr="002C1356">
        <w:rPr>
          <w:rStyle w:val="Refdenotaderodap"/>
          <w:rFonts w:ascii="Times New Roman" w:hAnsi="Times New Roman"/>
          <w:sz w:val="24"/>
          <w:szCs w:val="24"/>
        </w:rPr>
        <w:footnoteReference w:id="225"/>
      </w:r>
    </w:p>
    <w:p w14:paraId="72B6F02C"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 deslocado de guerra (</w:t>
      </w:r>
      <w:r w:rsidRPr="002C1356">
        <w:rPr>
          <w:rFonts w:ascii="Times New Roman" w:hAnsi="Times New Roman"/>
          <w:i/>
          <w:sz w:val="24"/>
          <w:szCs w:val="24"/>
        </w:rPr>
        <w:t>displaced person</w:t>
      </w:r>
      <w:r w:rsidRPr="002C1356">
        <w:rPr>
          <w:rFonts w:ascii="Times New Roman" w:hAnsi="Times New Roman"/>
          <w:sz w:val="24"/>
          <w:szCs w:val="24"/>
        </w:rPr>
        <w:t>) era uma pessoa que deixou sua residência habitual em virtude da guerra. Alguns desejavam voltar para casa, outros não sabiam para onde ir, outros eram considerados refugiados, pois não queriam voltar pelas mais diversas razões. Haviam aproximadamente oito milhões na Alemanha, e três milhões em outros países da Europa.</w:t>
      </w:r>
      <w:r w:rsidRPr="002C1356">
        <w:rPr>
          <w:rStyle w:val="Refdenotaderodap"/>
          <w:rFonts w:ascii="Times New Roman" w:hAnsi="Times New Roman"/>
          <w:sz w:val="24"/>
          <w:szCs w:val="24"/>
        </w:rPr>
        <w:footnoteReference w:id="226"/>
      </w:r>
      <w:r w:rsidRPr="002C1356">
        <w:rPr>
          <w:rFonts w:ascii="Times New Roman" w:hAnsi="Times New Roman"/>
          <w:sz w:val="24"/>
          <w:szCs w:val="24"/>
        </w:rPr>
        <w:t xml:space="preserve"> </w:t>
      </w:r>
    </w:p>
    <w:p w14:paraId="06C35729" w14:textId="6EA77FD7" w:rsidR="003D7DAB" w:rsidRPr="002C1356"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Ian Buruma</w:t>
      </w:r>
      <w:r w:rsidRPr="002C1356">
        <w:rPr>
          <w:rStyle w:val="Refdenotaderodap"/>
          <w:rFonts w:ascii="Times New Roman" w:hAnsi="Times New Roman"/>
          <w:sz w:val="24"/>
          <w:szCs w:val="24"/>
        </w:rPr>
        <w:footnoteReference w:id="227"/>
      </w:r>
      <w:r w:rsidRPr="002C1356">
        <w:rPr>
          <w:rFonts w:ascii="Times New Roman" w:hAnsi="Times New Roman"/>
          <w:sz w:val="24"/>
          <w:szCs w:val="24"/>
        </w:rPr>
        <w:t xml:space="preserve"> narra o retorno de seu pai S.L. Buruma, um deslocado de guerra, para casa: </w:t>
      </w:r>
    </w:p>
    <w:p w14:paraId="0EF367AF" w14:textId="77777777" w:rsidR="003D7DAB" w:rsidRPr="002C1356" w:rsidRDefault="003D7DAB" w:rsidP="00A931C3">
      <w:pPr>
        <w:pStyle w:val="citao"/>
        <w:spacing w:line="360" w:lineRule="auto"/>
        <w:ind w:left="2126"/>
      </w:pPr>
      <w:r w:rsidRPr="002C1356">
        <w:lastRenderedPageBreak/>
        <w:t xml:space="preserve">Quando chegou a sua cidade, Nijmegen, os sentimentos de meu pai eram mais complexos. A Berlim que ele tinha deixado era uma cidade completamente em ruínas. Ou seja, ele estava acostumado com a destruição. Mesmo assim, deve ter sido bem desorientador andar pelas ruas do centro antigo de Nijmegen, onde muitas de suas construções, algumas datando da Idade Média, também haviam desaparecido, demolidas por acidente num bombardeio americano em 1944. Depois de ter passado anos com saudade de casa, meu pai subitamente ficou petrificado. Não conseguiu percorrer a distância bem curta do local onde estava até a casa da família. Os motivos disso não estão claros em sua memória. Talvez porque não tivesse certeza de que seus pais ainda estivessem vivos ou de que a casa permanecia lá. Ou talvez temesse que o reencontro tão longamente sonhado pudesse ser constrangedor; muitas coisas tinham acontecido naquele meio-tempo. </w:t>
      </w:r>
    </w:p>
    <w:p w14:paraId="2ADD695C"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 xml:space="preserve">A situação dos deslocados de guerra judeus recém-saídos dos campos de concentração era extremamente penosa, bem como o gerenciamento dessa situação inédita e bastante complexa, para dizer o mínimo. A questão dos deslocados de guerra foi uma das razões que levou à individualização do processo de determinação do estatuto de refugiado. Nesse sentido G. Daniel Cohen afirma: </w:t>
      </w:r>
      <w:r w:rsidRPr="002C1356">
        <w:rPr>
          <w:rStyle w:val="Refdenotaderodap"/>
          <w:rFonts w:ascii="Times New Roman" w:hAnsi="Times New Roman"/>
          <w:sz w:val="24"/>
          <w:szCs w:val="24"/>
        </w:rPr>
        <w:footnoteReference w:id="228"/>
      </w:r>
      <w:r w:rsidRPr="002C1356">
        <w:rPr>
          <w:rFonts w:ascii="Times New Roman" w:hAnsi="Times New Roman"/>
          <w:sz w:val="24"/>
          <w:szCs w:val="24"/>
        </w:rPr>
        <w:t xml:space="preserve"> “Uma das mais imediatas mudanças ocorridas na governança dos deslocamentos forçados na Alemanha ocupada: a perspectiva dos direitos individuais concretamente significou o abandono do reconhecimento coletivo dos refugiados pela SDN”.</w:t>
      </w:r>
    </w:p>
    <w:p w14:paraId="5BDCD4D3" w14:textId="2AE03CAA" w:rsidR="003D7DAB" w:rsidRPr="002C1356"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Complementa G. Daniel Cohen:</w:t>
      </w:r>
      <w:r w:rsidRPr="002C1356">
        <w:rPr>
          <w:rStyle w:val="Refdenotaderodap"/>
          <w:rFonts w:ascii="Times New Roman" w:hAnsi="Times New Roman"/>
          <w:sz w:val="24"/>
          <w:szCs w:val="24"/>
        </w:rPr>
        <w:footnoteReference w:id="229"/>
      </w:r>
      <w:r w:rsidRPr="002C1356">
        <w:rPr>
          <w:rFonts w:ascii="Times New Roman" w:hAnsi="Times New Roman"/>
          <w:sz w:val="24"/>
          <w:szCs w:val="24"/>
        </w:rPr>
        <w:t xml:space="preserve"> </w:t>
      </w:r>
    </w:p>
    <w:p w14:paraId="41DD7AB1" w14:textId="77777777" w:rsidR="003D7DAB" w:rsidRPr="002C1356" w:rsidRDefault="003D7DAB" w:rsidP="00A931C3">
      <w:pPr>
        <w:pStyle w:val="citao"/>
        <w:spacing w:line="360" w:lineRule="auto"/>
        <w:ind w:left="2126"/>
      </w:pPr>
      <w:r w:rsidRPr="002C1356">
        <w:t xml:space="preserve">Essa posição jurídica foi incorporada em um rigoroso sistema de elegibilidade depois de 1945. Nos campos de deslocados de guerra, a veracidade do relato de perseguição era revisada por oficiais militares funcionários civis internacionais treinados para identificar, entre outros potenciais intrusos, antigos “colaboradores” traidores” e “auxiliares” do regime nazista. Desse modo, a mudança de coletivo para direitos individuais – tão crucial para o formato do asilo político contemporâneo – também foi um resultado do contexto mais amplo de desnazificação e retribuição no continente europeu. </w:t>
      </w:r>
    </w:p>
    <w:p w14:paraId="130C646E"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lastRenderedPageBreak/>
        <w:t>Com o surgimento da ONU foi estabelecida uma nova organização responsável pela questão dos refugiados e “deslocados de guerra, aprovada pela assembleia geral da ONU, em dezembro de 1946”: A Organização Internacional para o Refugiados (1946-1951). As funções definidas para a OIR foram: repatriação, identificação, registro, classificação, cuidado e assistência, proteção jurídica e política, reassentamento e restabelecimento dos refugiados.</w:t>
      </w:r>
      <w:r w:rsidRPr="002C1356">
        <w:rPr>
          <w:rStyle w:val="Refdenotaderodap"/>
          <w:rFonts w:ascii="Times New Roman" w:hAnsi="Times New Roman"/>
          <w:sz w:val="24"/>
          <w:szCs w:val="24"/>
        </w:rPr>
        <w:footnoteReference w:id="230"/>
      </w:r>
    </w:p>
    <w:p w14:paraId="5D75953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As pessoas abrangidas pelo mandato da OIR foram aquelas que “em completa liberdade e depois de terem recebido total conhecimento dos fatos (…) expressarem objeções válidas para retornar a seus países de origem”. As objeções válidas para OIR:</w:t>
      </w:r>
    </w:p>
    <w:p w14:paraId="50E277E6" w14:textId="77777777" w:rsidR="003D7DAB" w:rsidRPr="002C1356" w:rsidRDefault="003D7DAB" w:rsidP="00A931C3">
      <w:pPr>
        <w:pStyle w:val="citao"/>
        <w:spacing w:line="360" w:lineRule="auto"/>
        <w:ind w:left="2126"/>
      </w:pPr>
      <w:r w:rsidRPr="002C1356">
        <w:t xml:space="preserve">I) perseguição, ou temor baseado em motivos razoáveis de perseguição, em razão de raça, religião, nacionalidade ou opiniões políticas, desde que essas opiniões não estejam em conflito com os princípios das Nações Unidas. II) objeções de natureza política (…) III) (…) razões familiares imperativas provenientes de perseguições anteriores, ou, razões imperativas de debilidade ou doença. </w:t>
      </w:r>
    </w:p>
    <w:p w14:paraId="1B1E8CD9"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Tais objeções que integravam o conceito de refugiado eram imprecisas e altamente discricionárias. Só poderiam ser aplicadas para: vítimas do nazismo, fascismo e regimes similares; refugiados pré-guerra; pessoas fora de seu país de origem e impossibilitadas ou não dispostas a retornar; órfãos de guerra e deslocados de guerra. Também foram estabelecidas cláusulas de exclusão.</w:t>
      </w:r>
      <w:r w:rsidRPr="002C1356">
        <w:rPr>
          <w:rStyle w:val="Refdenotaderodap"/>
          <w:rFonts w:ascii="Times New Roman" w:hAnsi="Times New Roman"/>
          <w:sz w:val="24"/>
          <w:szCs w:val="24"/>
        </w:rPr>
        <w:footnoteReference w:id="231"/>
      </w:r>
    </w:p>
    <w:p w14:paraId="7E0E2696"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Em meados de 1947 o mandato da OIR era o único válido na comunidade internacional. Por meio de um acordo, a OIR incorporou as responsabilidades da UNRRA, Comitê Intergovernamental e do antigo Alto-Comissariado da SDN.</w:t>
      </w:r>
      <w:r w:rsidRPr="002C1356">
        <w:rPr>
          <w:rStyle w:val="Refdenotaderodap"/>
          <w:rFonts w:ascii="Times New Roman" w:hAnsi="Times New Roman"/>
          <w:sz w:val="24"/>
          <w:szCs w:val="24"/>
        </w:rPr>
        <w:footnoteReference w:id="232"/>
      </w:r>
    </w:p>
    <w:p w14:paraId="00EEBF61" w14:textId="1FDD235D" w:rsidR="003D7DAB" w:rsidRPr="002C1356"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propósito da definição de refugiado da OIR, é pertinente o comentário de Hathaway:</w:t>
      </w:r>
      <w:r w:rsidRPr="002C1356">
        <w:rPr>
          <w:rStyle w:val="Refdenotaderodap"/>
          <w:rFonts w:ascii="Times New Roman" w:hAnsi="Times New Roman"/>
          <w:sz w:val="24"/>
          <w:szCs w:val="24"/>
        </w:rPr>
        <w:footnoteReference w:id="233"/>
      </w:r>
    </w:p>
    <w:p w14:paraId="62308A6F" w14:textId="77777777" w:rsidR="003D7DAB" w:rsidRPr="002C1356" w:rsidRDefault="003D7DAB" w:rsidP="00A931C3">
      <w:pPr>
        <w:pStyle w:val="citao"/>
        <w:spacing w:line="360" w:lineRule="auto"/>
        <w:ind w:left="2126"/>
      </w:pPr>
      <w:r w:rsidRPr="002C1356">
        <w:t>A noção básica, assim sendo, subjacente a definição da OIR, era de que um indivíduo podendo ser descrito como vítima de um reconhecido estado de intolerância ou um dissidente político genuinamente motivado era um refugiado, mesmo que não tivesse demandado nem estivesse determinado a não ser um merecedor da proteção e assistência internacional.</w:t>
      </w:r>
    </w:p>
    <w:p w14:paraId="3A57A113"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lastRenderedPageBreak/>
        <w:t>Após o encerramento das atividades da OIR, a assembleia geral da ONU criou o Alto-Comissariado das Nações Unidas para Refugiados (ACNUR), por meio da resolução 319 (IV), de 3 de dezembro de 1949. O estatuto do ACNUR foi aprovado no dia 14 de dezembro de 1950 por meio da resolução 428 (V) da assembleia geral da ONU. O ACNUR iniciou suas atividades em 1º de janeiro de 1951.</w:t>
      </w:r>
    </w:p>
    <w:p w14:paraId="4ECB24F3"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ONU, por meio da resolução 429 (v), de 14 de dezembro de 1950, convocou a “Conferência de Plenipotenciários da ONU sobre o Estatuto do Apátrida e Refugiado”. A conferência teve lugar em Genebra de 2 a 25 de julho de 1951. Participaram dela vinte e seis países (incluindo o Brasil), sendo dois como observadores: Cuba e Irã. Do total de vinte e seis países, quinze eram europeus. A conferência também contou com a participação (com voz, mas sem voto) de vinte e oito organizações internacionais de caráter não governamental, dentre as quais no mínimo catorze era de caráter humanitário e/ou religioso. A CICV e a Liga das Sociedades Nacionais da Cruz Vermelha estiveram presentes. A OIR também tomou parte das discussões como membro observador sem direito a voto. Ela foi presidida pelo dinamarquês Knud Larsen (1901-1970) e teve como secretário executivo John P. Humphrey (que foi o secretário da Comissão de Direitos Humanos na elaboração da DUDH).</w:t>
      </w:r>
      <w:r w:rsidRPr="002C1356">
        <w:rPr>
          <w:rStyle w:val="Refdenotaderodap"/>
          <w:rFonts w:ascii="Times New Roman" w:hAnsi="Times New Roman"/>
          <w:sz w:val="24"/>
          <w:szCs w:val="24"/>
        </w:rPr>
        <w:footnoteReference w:id="234"/>
      </w:r>
      <w:r w:rsidRPr="002C1356">
        <w:rPr>
          <w:rFonts w:ascii="Times New Roman" w:hAnsi="Times New Roman"/>
          <w:sz w:val="24"/>
          <w:szCs w:val="24"/>
        </w:rPr>
        <w:t xml:space="preserve"> </w:t>
      </w:r>
    </w:p>
    <w:p w14:paraId="62557051"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Em uma de suas primeiras resoluções, foi decidido que a questão dos apátridas, devido à sua especificidade, seria discutida em outra oportunidade. A Convenção de 1951 foi aprovada por unanimidade no dia 28 de julho de 1951 e aberta a assinatura. Ela entrou em vigor no dia 22 de abril de 1954, depois da sexta assinatura, de acordo com o artigo 43. Os seis primeiros países signatários da Convenção de 1951, pela ordem, foram: 1) Dinamarca (1952); 2) Noruega (1953); 3) Bélgica (1953); 4) Luxemburgo (1953) 5) República Federal da Alemanha (1953) e 6) Grã-Bretanha.</w:t>
      </w:r>
    </w:p>
    <w:p w14:paraId="02C2BECD"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rPr>
      </w:pPr>
      <w:r w:rsidRPr="002C1356">
        <w:rPr>
          <w:rFonts w:ascii="Times New Roman" w:hAnsi="Times New Roman"/>
          <w:sz w:val="24"/>
          <w:szCs w:val="24"/>
        </w:rPr>
        <w:t>Logo no primeiro considerando há uma referência explícita à Carta da ONU e à DUDH:</w:t>
      </w:r>
    </w:p>
    <w:p w14:paraId="041E7D1E" w14:textId="77777777" w:rsidR="003D7DAB" w:rsidRPr="002C1356" w:rsidRDefault="003D7DAB" w:rsidP="00A931C3">
      <w:pPr>
        <w:pStyle w:val="citao"/>
        <w:spacing w:line="360" w:lineRule="auto"/>
        <w:ind w:left="2126"/>
      </w:pPr>
      <w:r w:rsidRPr="002C1356">
        <w:t xml:space="preserve">Considerando que a Carta das Nações Unidas e a Declaração Universal dos Direitos Humanos, aprovada em 10 de dezembro de 1948 pela Assembleia Geral, afirmaram o princípio de que os seres humanos devem gozar dos direitos fundamentais e liberdades sem discriminação. </w:t>
      </w:r>
    </w:p>
    <w:p w14:paraId="7E25245E"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 Convenção de 1951 inova pouco em relação à definição de refugiado da OIR e </w:t>
      </w:r>
      <w:r w:rsidRPr="002C1356">
        <w:rPr>
          <w:rFonts w:ascii="Times New Roman" w:hAnsi="Times New Roman"/>
          <w:sz w:val="24"/>
          <w:szCs w:val="24"/>
        </w:rPr>
        <w:lastRenderedPageBreak/>
        <w:t>consolida o trabalho já realizado pela SDN</w:t>
      </w:r>
      <w:r w:rsidRPr="002C1356">
        <w:rPr>
          <w:rFonts w:ascii="Times New Roman" w:hAnsi="Times New Roman"/>
          <w:i/>
          <w:sz w:val="24"/>
          <w:szCs w:val="24"/>
        </w:rPr>
        <w:t xml:space="preserve">. </w:t>
      </w:r>
      <w:r w:rsidRPr="002C1356">
        <w:rPr>
          <w:rFonts w:ascii="Times New Roman" w:hAnsi="Times New Roman"/>
          <w:sz w:val="24"/>
          <w:szCs w:val="24"/>
        </w:rPr>
        <w:t>O próprio texto da convenção reconhece sua nomogênese: “Considerando que é desejável rever e codificar os acordos internacionais anteriores relativos ao estatuto dos refugiados e estender a aplicação desses instrumentos e a proteção que eles oferecem por meio de um novo acordo”.</w:t>
      </w:r>
    </w:p>
    <w:p w14:paraId="71F117E1"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definição da condição de refugiado integra o artigo 1 da Convenção de 1951. O Artigo 1, inciso 1, complementado pelo artigo 6, manteve o estatuto dos “refugiados históricos” definidos em seis acordos anteriores, a saber: Russos, turcos, armênios, assírios, assírios-caldeus, refugiados com passaporte Nansen, originados da Alemanha e da Áustria, bem como refugiados definidos na constituição da OIR.</w:t>
      </w:r>
      <w:r w:rsidRPr="002C1356">
        <w:rPr>
          <w:rStyle w:val="Refdenotaderodap"/>
          <w:rFonts w:ascii="Times New Roman" w:hAnsi="Times New Roman"/>
          <w:sz w:val="24"/>
          <w:szCs w:val="24"/>
        </w:rPr>
        <w:footnoteReference w:id="235"/>
      </w:r>
    </w:p>
    <w:p w14:paraId="492E005C"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definição de refugiado foi estabelecida no artigo 1, inciso 2:</w:t>
      </w:r>
    </w:p>
    <w:p w14:paraId="5198A415" w14:textId="77777777" w:rsidR="003D7DAB" w:rsidRPr="002C1356" w:rsidRDefault="003D7DAB" w:rsidP="00A931C3">
      <w:pPr>
        <w:pStyle w:val="citao"/>
        <w:spacing w:line="360" w:lineRule="auto"/>
        <w:ind w:left="2126"/>
      </w:pPr>
      <w:r w:rsidRPr="002C1356">
        <w:t>Artigo 1 (…) 2. Que, em consequência dos acontecimentos ocorridos antes de 1º de janeiro de 1951 e devido a um bem-fundado temor de perseguição por motivos de raça, religião, nacionalidade, grupo social ou opiniões políticas, encontra-se fora de seu país de sua nacionalidade e que não pode ou, em virtude desse temor, não quer valer-se da proteção desse país, ou que, se não tem nacionalidade, encontra-se fora do país no qual tinha sua residência habitual em consequência de tais acontecimentos, não pode ou, devido ao referido temor, não quer voltar a ele.</w:t>
      </w:r>
    </w:p>
    <w:p w14:paraId="6EAC6924" w14:textId="01A26D26" w:rsidR="003D7DAB" w:rsidRPr="00C44339"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Os cinco motivos elencados do “bem-fundado temor de perseguição”, com exceção do “grupo social” estavam presentes na definição da OIR de objeções válidas, bem como o quesito “perseguição”. O que muda é o qualificativo “bem-fundado temor”. A esse respeito, esclarece Paul Weiss:</w:t>
      </w:r>
      <w:r w:rsidRPr="002C1356">
        <w:rPr>
          <w:rStyle w:val="Refdenotaderodap"/>
          <w:rFonts w:ascii="Times New Roman" w:hAnsi="Times New Roman"/>
          <w:sz w:val="24"/>
          <w:szCs w:val="24"/>
        </w:rPr>
        <w:footnoteReference w:id="236"/>
      </w:r>
    </w:p>
    <w:p w14:paraId="674A80B0" w14:textId="77777777" w:rsidR="003D7DAB" w:rsidRPr="002C1356" w:rsidRDefault="003D7DAB" w:rsidP="00A931C3">
      <w:pPr>
        <w:pStyle w:val="citao"/>
        <w:spacing w:line="360" w:lineRule="auto"/>
        <w:ind w:left="2126"/>
      </w:pPr>
      <w:r w:rsidRPr="002C1356">
        <w:t>(...) O medo é um sentimento subjetivo, mas um elemento objetivo foi adicionado pela adição da expressão “bem-fundado”. O solicitante tem que dar indicações que capacitem a autoridade responsável pela determinação de seu status a decidir se ele tem boas razões ou não para temer a perseguição.</w:t>
      </w:r>
    </w:p>
    <w:p w14:paraId="38207EF2" w14:textId="4F41ED6C" w:rsidR="003D7DAB" w:rsidRPr="00C44339" w:rsidRDefault="003D7DAB" w:rsidP="00C44339">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Convenção de 1951 define o refugiado como um “perseguido”. G. Daniel Cohen</w:t>
      </w:r>
      <w:r w:rsidRPr="002C1356">
        <w:rPr>
          <w:rStyle w:val="Refdenotaderodap"/>
          <w:rFonts w:ascii="Times New Roman" w:hAnsi="Times New Roman"/>
          <w:sz w:val="24"/>
          <w:szCs w:val="24"/>
        </w:rPr>
        <w:footnoteReference w:id="237"/>
      </w:r>
      <w:r w:rsidRPr="002C1356">
        <w:rPr>
          <w:rFonts w:ascii="Times New Roman" w:hAnsi="Times New Roman"/>
          <w:sz w:val="24"/>
          <w:szCs w:val="24"/>
        </w:rPr>
        <w:t xml:space="preserve"> aduz um pertinente esclarecimento: </w:t>
      </w:r>
    </w:p>
    <w:p w14:paraId="51B2CC73" w14:textId="77777777" w:rsidR="003D7DAB" w:rsidRPr="002C1356" w:rsidRDefault="003D7DAB" w:rsidP="00A931C3">
      <w:pPr>
        <w:pStyle w:val="citao"/>
        <w:spacing w:line="360" w:lineRule="auto"/>
        <w:ind w:left="2126"/>
      </w:pPr>
      <w:r w:rsidRPr="002C1356">
        <w:lastRenderedPageBreak/>
        <w:t>A resposta à questão fundamental “Quem é um refugiado?” foi fundamentada no contexto específico do pós-guerra na Europa, ainda que finalmente ancorado em uma forte linguagem universal na Convenção de Genebra de 1951, a declaração de direitos dos refugiados políticos cristalizou no Direito Internacional os principais legados da experiência dos deslocados de guerra (...) Poucos anos depois da Segunda Guerra Mundial e no meio da Guerra Fria, a sombra de Hitler e Stálin significativamente pesou sobre as percepções “universais” da perseguição política.</w:t>
      </w:r>
    </w:p>
    <w:p w14:paraId="47E3386A" w14:textId="5D6921B7" w:rsidR="003D7DAB" w:rsidRPr="002C1356" w:rsidRDefault="003D7DAB" w:rsidP="00A931C3">
      <w:pPr>
        <w:spacing w:after="0" w:line="360" w:lineRule="auto"/>
        <w:contextualSpacing/>
        <w:jc w:val="both"/>
        <w:rPr>
          <w:rFonts w:ascii="Times New Roman" w:eastAsiaTheme="minorHAnsi" w:hAnsi="Times New Roman"/>
          <w:sz w:val="24"/>
          <w:szCs w:val="24"/>
        </w:rPr>
      </w:pPr>
      <w:r w:rsidRPr="002C1356">
        <w:rPr>
          <w:rFonts w:ascii="Times New Roman" w:hAnsi="Times New Roman"/>
          <w:sz w:val="24"/>
          <w:szCs w:val="24"/>
        </w:rPr>
        <w:tab/>
        <w:t xml:space="preserve">A Convenção no artigo 3 define o direito à não discriminação e no artigo 4 o direito à religião. O artigo 10, cujo título é “continuidade de residência”, refere-se aos deslocados de guerra. </w:t>
      </w:r>
    </w:p>
    <w:p w14:paraId="72F8074E" w14:textId="77777777" w:rsidR="003D7DAB" w:rsidRPr="002C1356" w:rsidRDefault="003D7DAB" w:rsidP="003D7DAB">
      <w:pPr>
        <w:autoSpaceDE w:val="0"/>
        <w:autoSpaceDN w:val="0"/>
        <w:adjustRightInd w:val="0"/>
        <w:spacing w:after="0" w:line="360" w:lineRule="auto"/>
        <w:ind w:firstLine="708"/>
        <w:contextualSpacing/>
        <w:jc w:val="both"/>
        <w:rPr>
          <w:rFonts w:ascii="Times New Roman" w:eastAsiaTheme="minorHAnsi" w:hAnsi="Times New Roman"/>
          <w:sz w:val="24"/>
          <w:szCs w:val="24"/>
        </w:rPr>
      </w:pPr>
      <w:r w:rsidRPr="002C1356">
        <w:rPr>
          <w:rFonts w:ascii="Times New Roman" w:eastAsiaTheme="minorHAnsi" w:hAnsi="Times New Roman"/>
          <w:sz w:val="24"/>
          <w:szCs w:val="24"/>
        </w:rPr>
        <w:t xml:space="preserve">Indubitavelmente, a Convenção de 1951 é um marco na perspectiva da proteção da pessoa humana pelo Direito Internacional, uma vez que ela vai no sentido de uma proteção e supervisão internacional , para além do clássico limite territorial do Estado-nação, ao elencar direitos específicos para os refugiados em diversos de seus artigos e ao estabelecer que “o estatuto pessoal de um refugiado será regido pela lei do país de seu domicílio, ou, na falta de domicílio, pela lei do país de sua residência”. A convenção também estabeleceu o “tratamento mais favorável” aos refugiados ou “a mesma circunstância” em relação aos nacionais. </w:t>
      </w:r>
    </w:p>
    <w:p w14:paraId="303D4282" w14:textId="77777777" w:rsidR="003D7DAB" w:rsidRPr="002C1356" w:rsidRDefault="003D7DAB" w:rsidP="003D7DAB">
      <w:pPr>
        <w:autoSpaceDE w:val="0"/>
        <w:autoSpaceDN w:val="0"/>
        <w:adjustRightInd w:val="0"/>
        <w:spacing w:after="0" w:line="360" w:lineRule="auto"/>
        <w:ind w:firstLine="708"/>
        <w:contextualSpacing/>
        <w:jc w:val="both"/>
        <w:rPr>
          <w:rFonts w:ascii="Times New Roman" w:eastAsiaTheme="minorHAnsi" w:hAnsi="Times New Roman"/>
          <w:sz w:val="24"/>
          <w:szCs w:val="24"/>
        </w:rPr>
      </w:pPr>
      <w:r w:rsidRPr="002C1356">
        <w:rPr>
          <w:rFonts w:ascii="Times New Roman" w:eastAsiaTheme="minorHAnsi" w:hAnsi="Times New Roman"/>
          <w:sz w:val="24"/>
          <w:szCs w:val="24"/>
        </w:rPr>
        <w:t xml:space="preserve">O artigo 35 da Convenção de 1951 estabelece que: </w:t>
      </w:r>
    </w:p>
    <w:p w14:paraId="5B5A5827" w14:textId="253F6244" w:rsidR="003D7DAB" w:rsidRPr="002C1356" w:rsidRDefault="003D7DAB" w:rsidP="00A931C3">
      <w:pPr>
        <w:pStyle w:val="citao"/>
        <w:spacing w:line="360" w:lineRule="auto"/>
        <w:ind w:left="2126" w:firstLine="6"/>
        <w:contextualSpacing/>
      </w:pPr>
      <w:r w:rsidRPr="002C1356">
        <w:t>(…) os Estados contratantes se comprometem a fornecer-lhes, pela forma apropriada, as informações e os dados esta</w:t>
      </w:r>
      <w:r w:rsidR="00AA324E">
        <w:t>tísticos solicitados relativos:</w:t>
      </w:r>
      <w:r w:rsidR="00DA5DA9">
        <w:t xml:space="preserve"> </w:t>
      </w:r>
      <w:r w:rsidRPr="002C1356">
        <w:t>Ao estatuto dos Refugiados;</w:t>
      </w:r>
      <w:r w:rsidR="00F053EE">
        <w:t xml:space="preserve"> à</w:t>
      </w:r>
      <w:r w:rsidRPr="002C1356">
        <w:t xml:space="preserve"> execução desta Convenção, e</w:t>
      </w:r>
    </w:p>
    <w:p w14:paraId="33F4ADAE" w14:textId="77777777" w:rsidR="003D7DAB" w:rsidRPr="002C1356" w:rsidRDefault="003D7DAB" w:rsidP="00A931C3">
      <w:pPr>
        <w:pStyle w:val="citao"/>
        <w:spacing w:line="360" w:lineRule="auto"/>
        <w:ind w:left="2126" w:firstLine="6"/>
        <w:contextualSpacing/>
      </w:pPr>
      <w:r w:rsidRPr="002C1356">
        <w:t>Às leis, regulamentos e decretos que estão ou entrarão em vigor no que concerne aos refugiados.</w:t>
      </w:r>
    </w:p>
    <w:p w14:paraId="3F69C716" w14:textId="77777777" w:rsidR="003D7DAB" w:rsidRPr="002C1356" w:rsidRDefault="003D7DAB" w:rsidP="003D7DAB">
      <w:pPr>
        <w:pStyle w:val="PargrafodaLista"/>
        <w:autoSpaceDE w:val="0"/>
        <w:autoSpaceDN w:val="0"/>
        <w:adjustRightInd w:val="0"/>
        <w:spacing w:after="0" w:line="360" w:lineRule="auto"/>
        <w:ind w:left="0" w:firstLine="709"/>
        <w:jc w:val="both"/>
        <w:rPr>
          <w:rFonts w:ascii="Times New Roman" w:eastAsiaTheme="minorHAnsi" w:hAnsi="Times New Roman"/>
          <w:sz w:val="24"/>
          <w:szCs w:val="24"/>
        </w:rPr>
      </w:pPr>
      <w:r w:rsidRPr="002C1356">
        <w:rPr>
          <w:rFonts w:ascii="Times New Roman" w:eastAsiaTheme="minorHAnsi" w:hAnsi="Times New Roman"/>
          <w:sz w:val="24"/>
          <w:szCs w:val="24"/>
        </w:rPr>
        <w:t xml:space="preserve">Assim, a implementação da Convenção de 1951 ficou sob responsabilidade do Estado contratante e supervisão do ACNUR. Dando como exemplo o Brasil, a Convenção de 1951 foi aprovada no dia 7 de julho de 1960, com ratificação em 15 de novembro de 1960 e promulgação pelo Decreto nº 50215, de 28 de janeiro de 1961. Todavia, a incorporação da Convenção de 1951 no ordenamento jurídico pátrio só veio a ocorrer com a promulgação da Lei 9.474, de 22 de julho de 1997. </w:t>
      </w:r>
    </w:p>
    <w:p w14:paraId="58077793" w14:textId="77777777" w:rsidR="003D7DAB" w:rsidRPr="002C1356" w:rsidRDefault="003D7DAB" w:rsidP="003D7DAB">
      <w:pPr>
        <w:pStyle w:val="PargrafodaLista"/>
        <w:autoSpaceDE w:val="0"/>
        <w:autoSpaceDN w:val="0"/>
        <w:adjustRightInd w:val="0"/>
        <w:spacing w:after="0" w:line="360" w:lineRule="auto"/>
        <w:ind w:left="0" w:firstLine="709"/>
        <w:jc w:val="both"/>
        <w:rPr>
          <w:rFonts w:ascii="Times New Roman" w:eastAsiaTheme="minorHAnsi" w:hAnsi="Times New Roman"/>
          <w:sz w:val="24"/>
          <w:szCs w:val="24"/>
        </w:rPr>
      </w:pPr>
      <w:r w:rsidRPr="002C1356">
        <w:rPr>
          <w:rFonts w:ascii="Times New Roman" w:eastAsiaTheme="minorHAnsi" w:hAnsi="Times New Roman"/>
          <w:sz w:val="24"/>
          <w:szCs w:val="24"/>
        </w:rPr>
        <w:t xml:space="preserve">Tal lei foi aprovada no Congresso Nacional porque teve como relator o então deputado federal Aloysio Nunes Ferreira (refugiado, reconhecido pelo ACNUR na França </w:t>
      </w:r>
      <w:r w:rsidRPr="002C1356">
        <w:rPr>
          <w:rFonts w:ascii="Times New Roman" w:eastAsiaTheme="minorHAnsi" w:hAnsi="Times New Roman"/>
          <w:sz w:val="24"/>
          <w:szCs w:val="24"/>
        </w:rPr>
        <w:lastRenderedPageBreak/>
        <w:t>e atual Ministro das Relações Exteriores) e como revisor o então deputado federal Hélio Bicudo (conhecido defensor dos direitos humanos). Além da pressão política exercida por Sérgio Vieira de Mello, à época dos fatos alto funcionário do ACNUR, e Guilherme Lustosa da Cunha, então representante regional do ACNUR para o sul da América do Sul.</w:t>
      </w:r>
    </w:p>
    <w:p w14:paraId="3183216A" w14:textId="77777777" w:rsidR="003D7DAB" w:rsidRPr="002C1356" w:rsidRDefault="003D7DAB" w:rsidP="003D7DAB">
      <w:pPr>
        <w:pStyle w:val="PargrafodaLista"/>
        <w:autoSpaceDE w:val="0"/>
        <w:autoSpaceDN w:val="0"/>
        <w:adjustRightInd w:val="0"/>
        <w:spacing w:after="0" w:line="360" w:lineRule="auto"/>
        <w:ind w:left="0" w:firstLine="709"/>
        <w:jc w:val="both"/>
        <w:rPr>
          <w:rFonts w:ascii="Times New Roman" w:eastAsiaTheme="minorHAnsi" w:hAnsi="Times New Roman"/>
          <w:sz w:val="24"/>
          <w:szCs w:val="24"/>
        </w:rPr>
      </w:pPr>
      <w:r w:rsidRPr="002C1356">
        <w:rPr>
          <w:rFonts w:ascii="Times New Roman" w:eastAsiaTheme="minorHAnsi" w:hAnsi="Times New Roman"/>
          <w:sz w:val="24"/>
          <w:szCs w:val="24"/>
        </w:rPr>
        <w:t>Diante da inércia do Estado contratante, o ACNUR muito pouco pode fazer, tendo em vista o seu Estatuto que, no artigo 1, estabelece como seu dever principal “proporcionar proteção internacional aos refugiados que se enquadrem nas condições previstas no presente estatuto” que, no artigo 2, define a característica do trabalho do ACNUR “terá um caráter totalmente apolítico, será humanitário”.</w:t>
      </w:r>
    </w:p>
    <w:p w14:paraId="0EA59F46" w14:textId="77777777" w:rsidR="003D7DAB" w:rsidRPr="002C1356" w:rsidRDefault="003D7DAB" w:rsidP="003D7DAB">
      <w:pPr>
        <w:pStyle w:val="PargrafodaLista"/>
        <w:autoSpaceDE w:val="0"/>
        <w:autoSpaceDN w:val="0"/>
        <w:adjustRightInd w:val="0"/>
        <w:spacing w:after="0" w:line="360" w:lineRule="auto"/>
        <w:ind w:left="0" w:firstLine="709"/>
        <w:jc w:val="both"/>
        <w:rPr>
          <w:rFonts w:ascii="Times New Roman" w:eastAsiaTheme="minorHAnsi" w:hAnsi="Times New Roman"/>
          <w:sz w:val="24"/>
          <w:szCs w:val="24"/>
        </w:rPr>
      </w:pPr>
      <w:r w:rsidRPr="002C1356">
        <w:rPr>
          <w:rFonts w:ascii="Times New Roman" w:eastAsiaTheme="minorHAnsi" w:hAnsi="Times New Roman"/>
          <w:sz w:val="24"/>
          <w:szCs w:val="24"/>
        </w:rPr>
        <w:t>Ao que parece, a predileção pelo termo humanitário exclui a preocupação com direitos humanos dos refugiados. Tanto é que na Convenção de 1951 o termo “direitos humanos” aparece apenas uma vez ao qualificar a Declaração Universal de 1948. E no estatuto do ACNUR verifica-se o mesmo fenômeno: nenhuma referência aos direitos humanos. A questão perpassa os anos e continua bastante similar. Rossana Rocha Reis e Thais Silva Menezes concluem, ao constatar a quase ausência do conceito de direitos humanos em diversos documentos atuais do ACNUR: “Falar em direitos humanos significa recorrer a um imperativo mais forte que o humanitarismo comumente declarado pela formulação do arranjo internacional para a questão dos refugiados”:.</w:t>
      </w:r>
      <w:r w:rsidRPr="002C1356">
        <w:rPr>
          <w:rStyle w:val="Refdenotaderodap"/>
          <w:rFonts w:ascii="Times New Roman" w:eastAsiaTheme="minorHAnsi" w:hAnsi="Times New Roman"/>
          <w:sz w:val="24"/>
          <w:szCs w:val="24"/>
        </w:rPr>
        <w:footnoteReference w:id="238"/>
      </w:r>
      <w:r w:rsidRPr="002C1356">
        <w:rPr>
          <w:rFonts w:ascii="Times New Roman" w:eastAsiaTheme="minorHAnsi" w:hAnsi="Times New Roman"/>
          <w:sz w:val="24"/>
          <w:szCs w:val="24"/>
        </w:rPr>
        <w:t xml:space="preserve"> </w:t>
      </w:r>
    </w:p>
    <w:p w14:paraId="4E78D6CD" w14:textId="2F3E1EEE" w:rsidR="003D7DAB" w:rsidRPr="00C44339" w:rsidRDefault="003D7DAB" w:rsidP="00C44339">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A perspectiva humanitária foi enfatizada por Paul Weiss (consultor jurídico do ACNUR) em um texto de 1960. </w:t>
      </w:r>
    </w:p>
    <w:p w14:paraId="0CD55BC8" w14:textId="77777777" w:rsidR="003D7DAB" w:rsidRPr="002C1356" w:rsidRDefault="003D7DAB" w:rsidP="00A931C3">
      <w:pPr>
        <w:pStyle w:val="citao"/>
        <w:spacing w:line="360" w:lineRule="auto"/>
        <w:ind w:left="2126"/>
      </w:pPr>
      <w:r w:rsidRPr="002C1356">
        <w:t>O problema dos refugiados é essencialmente um problema humanitário. É de se esperar, portanto, que as definições sejam interpretadas em um espírito humanitário, de forma liberal, como está sendo já realizado em várias cortes e tribunais de alta qualidade que foram mencionados nesse artigo. A profissão jurídica tem o seu papel a exercer nesse problema humano e jurídico.</w:t>
      </w:r>
    </w:p>
    <w:p w14:paraId="702EC1F3" w14:textId="1C0F0BD2" w:rsidR="003D7DAB" w:rsidRPr="002C1356" w:rsidRDefault="003D7DAB" w:rsidP="003D7DAB">
      <w:pPr>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 xml:space="preserve">Optar de forma enfática e cristalina pela perspectiva humanitária é, no caso do ACNUR e do DIR, privilegiar a proteção da pessoa, </w:t>
      </w:r>
      <w:r w:rsidRPr="00F76777">
        <w:rPr>
          <w:rFonts w:ascii="Times New Roman" w:hAnsi="Times New Roman"/>
          <w:sz w:val="24"/>
          <w:szCs w:val="24"/>
        </w:rPr>
        <w:t>transformando a</w:t>
      </w:r>
      <w:r w:rsidR="00F76777">
        <w:rPr>
          <w:rFonts w:ascii="Times New Roman" w:hAnsi="Times New Roman"/>
          <w:sz w:val="24"/>
          <w:szCs w:val="24"/>
        </w:rPr>
        <w:t xml:space="preserve"> pessoa</w:t>
      </w:r>
      <w:r w:rsidRPr="00F76777">
        <w:rPr>
          <w:rFonts w:ascii="Times New Roman" w:hAnsi="Times New Roman"/>
          <w:sz w:val="24"/>
          <w:szCs w:val="24"/>
        </w:rPr>
        <w:t xml:space="preserve"> em uma </w:t>
      </w:r>
      <w:r w:rsidR="00F76777">
        <w:rPr>
          <w:rFonts w:ascii="Times New Roman" w:hAnsi="Times New Roman"/>
          <w:sz w:val="24"/>
          <w:szCs w:val="24"/>
        </w:rPr>
        <w:t xml:space="preserve">constante </w:t>
      </w:r>
      <w:r w:rsidRPr="00F76777">
        <w:rPr>
          <w:rFonts w:ascii="Times New Roman" w:hAnsi="Times New Roman"/>
          <w:sz w:val="24"/>
          <w:szCs w:val="24"/>
        </w:rPr>
        <w:t>vítima de perseguição.</w:t>
      </w:r>
      <w:r w:rsidRPr="002C1356">
        <w:rPr>
          <w:rFonts w:ascii="Times New Roman" w:hAnsi="Times New Roman"/>
          <w:i/>
          <w:sz w:val="24"/>
          <w:szCs w:val="24"/>
        </w:rPr>
        <w:t xml:space="preserve"> </w:t>
      </w:r>
    </w:p>
    <w:p w14:paraId="4CD36D41"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O próximo sujeito de direito a ser analisado é o que se faz presente na Convenção Internacional sobre todas as Formas de Discriminação Racial (1965).</w:t>
      </w:r>
    </w:p>
    <w:p w14:paraId="661338B1" w14:textId="77777777" w:rsidR="003D7DAB" w:rsidRPr="002C1356" w:rsidRDefault="003D7DAB" w:rsidP="003D7DAB">
      <w:pPr>
        <w:spacing w:after="0" w:line="360" w:lineRule="auto"/>
        <w:contextualSpacing/>
        <w:jc w:val="both"/>
        <w:rPr>
          <w:rFonts w:ascii="Times New Roman" w:hAnsi="Times New Roman"/>
          <w:b/>
          <w:sz w:val="24"/>
          <w:szCs w:val="24"/>
        </w:rPr>
      </w:pPr>
    </w:p>
    <w:p w14:paraId="1CCE442C" w14:textId="77777777" w:rsidR="003D7DAB" w:rsidRPr="002C1356" w:rsidRDefault="003D7DAB" w:rsidP="003D7DAB">
      <w:pPr>
        <w:spacing w:after="0" w:line="360" w:lineRule="auto"/>
        <w:ind w:firstLine="708"/>
        <w:contextualSpacing/>
        <w:jc w:val="both"/>
        <w:rPr>
          <w:rFonts w:ascii="Times New Roman" w:hAnsi="Times New Roman"/>
          <w:b/>
          <w:i/>
          <w:sz w:val="24"/>
          <w:szCs w:val="24"/>
        </w:rPr>
      </w:pPr>
      <w:r w:rsidRPr="002C1356">
        <w:rPr>
          <w:rFonts w:ascii="Times New Roman" w:hAnsi="Times New Roman"/>
          <w:b/>
          <w:sz w:val="24"/>
          <w:szCs w:val="24"/>
        </w:rPr>
        <w:lastRenderedPageBreak/>
        <w:t xml:space="preserve">2.2.3) Sujeito de Direito e o DIDH </w:t>
      </w:r>
    </w:p>
    <w:p w14:paraId="301A1424" w14:textId="77777777" w:rsidR="003D7DAB" w:rsidRPr="002C1356" w:rsidRDefault="003D7DAB" w:rsidP="003D7DAB">
      <w:pPr>
        <w:spacing w:after="0" w:line="360" w:lineRule="auto"/>
        <w:ind w:firstLine="708"/>
        <w:contextualSpacing/>
        <w:jc w:val="both"/>
        <w:rPr>
          <w:rFonts w:ascii="Times New Roman" w:hAnsi="Times New Roman"/>
          <w:i/>
          <w:sz w:val="24"/>
          <w:szCs w:val="24"/>
        </w:rPr>
      </w:pPr>
    </w:p>
    <w:p w14:paraId="73837FD8"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F76777">
        <w:rPr>
          <w:rFonts w:ascii="Times New Roman" w:hAnsi="Times New Roman"/>
          <w:sz w:val="24"/>
          <w:szCs w:val="24"/>
        </w:rPr>
        <w:t>“(...) O caráter descontrolado do significado exerce uma influência desestabilizadora sobre o poder. ”</w:t>
      </w:r>
      <w:r w:rsidRPr="00F76777">
        <w:rPr>
          <w:rStyle w:val="Refdenotaderodap"/>
          <w:rFonts w:ascii="Times New Roman" w:hAnsi="Times New Roman"/>
          <w:sz w:val="24"/>
          <w:szCs w:val="24"/>
        </w:rPr>
        <w:footnoteReference w:id="239"/>
      </w:r>
    </w:p>
    <w:p w14:paraId="16CC6859" w14:textId="77777777" w:rsidR="003D7DAB" w:rsidRPr="002C1356" w:rsidRDefault="003D7DAB" w:rsidP="003D7DAB">
      <w:pPr>
        <w:spacing w:after="0" w:line="360" w:lineRule="auto"/>
        <w:ind w:firstLine="708"/>
        <w:contextualSpacing/>
        <w:jc w:val="both"/>
        <w:rPr>
          <w:rFonts w:ascii="Times New Roman" w:hAnsi="Times New Roman"/>
          <w:sz w:val="24"/>
          <w:szCs w:val="24"/>
        </w:rPr>
      </w:pPr>
    </w:p>
    <w:p w14:paraId="3ACBE0F2"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Em 1919, durante a elaboração do Pacto da SDN, o representante do Japão apresentou uma proposta cujo objetivo era incluir o tema da igualdade racial no texto do pacto. Todavia, os debates mostraram que, para muitos países, o “racismo oficial” por parte do Estado, era prática comum, o que fez com que a proposta fosse rejeitada.</w:t>
      </w:r>
      <w:r w:rsidRPr="002C1356">
        <w:rPr>
          <w:rStyle w:val="Refdenotaderodap"/>
          <w:rFonts w:ascii="Times New Roman" w:hAnsi="Times New Roman"/>
          <w:sz w:val="24"/>
          <w:szCs w:val="24"/>
        </w:rPr>
        <w:footnoteReference w:id="240"/>
      </w:r>
      <w:r w:rsidRPr="002C1356">
        <w:rPr>
          <w:rFonts w:ascii="Times New Roman" w:hAnsi="Times New Roman"/>
          <w:sz w:val="24"/>
          <w:szCs w:val="24"/>
        </w:rPr>
        <w:t xml:space="preserve"> </w:t>
      </w:r>
    </w:p>
    <w:p w14:paraId="3A8169BF"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Em 1938, existiam aproximadamente seiscentos e quarenta e quatro (644) milhões de pessoas vivendo em países classificados como colônias, protetorados ou dependências (com exceção dos países ligados à Grã-Bretanha).</w:t>
      </w:r>
      <w:r w:rsidRPr="002C1356">
        <w:rPr>
          <w:rStyle w:val="Refdenotaderodap"/>
          <w:rFonts w:ascii="Times New Roman" w:hAnsi="Times New Roman"/>
          <w:sz w:val="24"/>
          <w:szCs w:val="24"/>
        </w:rPr>
        <w:footnoteReference w:id="241"/>
      </w:r>
      <w:r w:rsidRPr="002C1356">
        <w:rPr>
          <w:rFonts w:ascii="Times New Roman" w:hAnsi="Times New Roman"/>
          <w:sz w:val="24"/>
          <w:szCs w:val="24"/>
        </w:rPr>
        <w:t xml:space="preserve"> De acordo com a ONU, em 1945 (ano de sua fundação) um terço da população mundial vivia nos países colonizados. Atualmente, existem dezessete (17) países não autogovernados, com uma população aproximada de dois milhões de pessoas, aguardando pelo processo de descolonização, e onze (11) territórios vinculados ao Trusteeship Council.</w:t>
      </w:r>
      <w:r w:rsidRPr="002C1356">
        <w:rPr>
          <w:rStyle w:val="Refdenotaderodap"/>
          <w:rFonts w:ascii="Times New Roman" w:hAnsi="Times New Roman"/>
          <w:sz w:val="24"/>
          <w:szCs w:val="24"/>
        </w:rPr>
        <w:footnoteReference w:id="242"/>
      </w:r>
    </w:p>
    <w:p w14:paraId="11C2A951"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Juridicamente, o processo de descolonização significava o fato de que os antigos povos coloniais passavam a ser aceitos como sujeitos de Direito Internacional com direitos iguais em relação a seus outrora colonizadores. Em termos jurídicos, significou o fim de todo e qualquer vestígio do Direito Internacional das Nações Civilizadas, e para Emmanuele Jouanet</w:t>
      </w:r>
      <w:r w:rsidRPr="002C1356">
        <w:rPr>
          <w:rStyle w:val="Refdenotaderodap"/>
          <w:rFonts w:ascii="Times New Roman" w:hAnsi="Times New Roman"/>
          <w:sz w:val="24"/>
          <w:szCs w:val="24"/>
        </w:rPr>
        <w:footnoteReference w:id="243"/>
      </w:r>
      <w:r w:rsidRPr="002C1356">
        <w:rPr>
          <w:rFonts w:ascii="Times New Roman" w:hAnsi="Times New Roman"/>
          <w:sz w:val="24"/>
          <w:szCs w:val="24"/>
        </w:rPr>
        <w:t xml:space="preserve"> o início de uma nova fase: o Direito Internacional pós-colonial.</w:t>
      </w:r>
    </w:p>
    <w:p w14:paraId="666ED23B" w14:textId="339BBA99" w:rsidR="003D7DAB" w:rsidRPr="002C1356" w:rsidRDefault="003D7DAB" w:rsidP="00C44339">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Nas palavras de Jan C. Jansen e Jurgen Osterhammel:</w:t>
      </w:r>
      <w:r w:rsidRPr="002C1356">
        <w:rPr>
          <w:rStyle w:val="Refdenotaderodap"/>
          <w:rFonts w:ascii="Times New Roman" w:hAnsi="Times New Roman"/>
          <w:sz w:val="24"/>
          <w:szCs w:val="24"/>
        </w:rPr>
        <w:footnoteReference w:id="244"/>
      </w:r>
    </w:p>
    <w:p w14:paraId="448400D1" w14:textId="77777777" w:rsidR="003D7DAB" w:rsidRPr="002C1356" w:rsidRDefault="003D7DAB" w:rsidP="00A931C3">
      <w:pPr>
        <w:pStyle w:val="citao"/>
        <w:spacing w:line="360" w:lineRule="auto"/>
        <w:ind w:left="2126"/>
      </w:pPr>
      <w:r w:rsidRPr="002C1356">
        <w:rPr>
          <w:b/>
        </w:rPr>
        <w:t xml:space="preserve">“Descolonização” </w:t>
      </w:r>
      <w:r w:rsidRPr="002C1356">
        <w:t>é um termo técnico e neutro de um dos processos mais dramáticos na história moderna: o desaparecimento do império como uma forma política, e o fim da hierarquia racial como uma ideologia política amplamente aceita a qual oferecia um princípio estruturador da ordem mundial.</w:t>
      </w:r>
    </w:p>
    <w:p w14:paraId="17203489" w14:textId="77777777" w:rsidR="003D7DAB" w:rsidRPr="002C1356" w:rsidRDefault="003D7DAB" w:rsidP="003D7DAB">
      <w:pPr>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lastRenderedPageBreak/>
        <w:t>O processo de descolonização significou a simultânea dissolução de diversos impérios continentais e o estabelecimento de novos Estados-nação no sul global, no período histórico compreendido entre 1945 a 1975. No seu sentido atual: “a deslegitimação historicamente excepcional e irreversível de qualquer tipo de regime político que represente uma relação de subjugo a uma elite de poder considerada por uma vasta maioria da população um ocupante estrangeiro”.</w:t>
      </w:r>
      <w:r w:rsidRPr="002C1356">
        <w:rPr>
          <w:rStyle w:val="Refdenotaderodap"/>
          <w:rFonts w:ascii="Times New Roman" w:hAnsi="Times New Roman"/>
          <w:sz w:val="24"/>
          <w:szCs w:val="24"/>
        </w:rPr>
        <w:footnoteReference w:id="245"/>
      </w:r>
    </w:p>
    <w:p w14:paraId="498C20BE"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De acordo com dados da própria ONU, no ato da assinatura da Carta de São Francisco no ano de 1945, mais de oitenta países não eram reconhecidos como Estados soberanos. No processo de elaboração da DUDH, duas personalidades aqui já mencionadas eram provenientes de países que tinham acabado de conquistar sua independência, isto é: Charles Malik, Líbano (data da independência: 22 de novembro de 1943) e Carlo Romulo, Filipinas (data da independência: 4 de julho de 1946). </w:t>
      </w:r>
    </w:p>
    <w:p w14:paraId="306BDE27" w14:textId="78524B42" w:rsidR="003D7DAB" w:rsidRPr="002C1356" w:rsidRDefault="003D7DAB" w:rsidP="00C44339">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Apesar de não constar de forma explícita na carta da ONU, </w:t>
      </w:r>
      <w:r w:rsidRPr="00AD7D01">
        <w:rPr>
          <w:rFonts w:ascii="Times New Roman" w:hAnsi="Times New Roman"/>
          <w:sz w:val="24"/>
          <w:szCs w:val="24"/>
        </w:rPr>
        <w:t>a questão</w:t>
      </w:r>
      <w:r w:rsidRPr="002C1356">
        <w:rPr>
          <w:rFonts w:ascii="Times New Roman" w:hAnsi="Times New Roman"/>
          <w:sz w:val="24"/>
          <w:szCs w:val="24"/>
        </w:rPr>
        <w:t xml:space="preserve"> foi abordada, ainda que de forma indireta, no artigo 2 da DUDH, que trata da discriminação racial:</w:t>
      </w:r>
    </w:p>
    <w:p w14:paraId="353653E3" w14:textId="77777777" w:rsidR="003D7DAB" w:rsidRPr="002C1356" w:rsidRDefault="003D7DAB" w:rsidP="00A931C3">
      <w:pPr>
        <w:pStyle w:val="citao"/>
        <w:spacing w:line="360" w:lineRule="auto"/>
        <w:ind w:left="2126" w:firstLine="6"/>
        <w:contextualSpacing/>
      </w:pPr>
      <w:r w:rsidRPr="002C1356">
        <w:t>Artigo II</w:t>
      </w:r>
    </w:p>
    <w:p w14:paraId="003CFD84" w14:textId="77777777" w:rsidR="003D7DAB" w:rsidRPr="002C1356" w:rsidRDefault="003D7DAB" w:rsidP="00A931C3">
      <w:pPr>
        <w:pStyle w:val="citao"/>
        <w:spacing w:line="360" w:lineRule="auto"/>
        <w:ind w:left="2126" w:firstLine="6"/>
        <w:contextualSpacing/>
      </w:pPr>
      <w:r w:rsidRPr="002C1356">
        <w:t>Toda pessoa tem capacidade para gozar os direitos e as liberdades estabelecidos nesta Declaração, sem distinção de qualquer espécie, seja de raça, cor, sexo, língua, religião, opinião política ou de outra natureza, origem nacional ou social, riqueza, nascimento, ou qualquer outra condição.</w:t>
      </w:r>
    </w:p>
    <w:p w14:paraId="3ED66075" w14:textId="77777777" w:rsidR="003D7DAB" w:rsidRPr="002C1356" w:rsidRDefault="003D7DAB" w:rsidP="00A931C3">
      <w:pPr>
        <w:pStyle w:val="citao"/>
        <w:spacing w:line="360" w:lineRule="auto"/>
        <w:ind w:left="2126" w:firstLine="6"/>
        <w:contextualSpacing/>
      </w:pPr>
      <w:r w:rsidRPr="002C1356">
        <w:t>Não será também feita nenhuma distinção, fundada na condição política, jurídica ou internacional do país ou território a que pertença uma determinada pessoa, quer se trate de um território independente, sob tutela, sem governo próprio, quer sujeito a qualquer outra limitação de soberania.</w:t>
      </w:r>
    </w:p>
    <w:p w14:paraId="413F487D" w14:textId="77777777" w:rsidR="003D7DAB" w:rsidRPr="002C1356" w:rsidRDefault="003D7DAB" w:rsidP="003D7DAB">
      <w:pPr>
        <w:pStyle w:val="PargrafodaLista"/>
        <w:spacing w:after="0" w:line="360" w:lineRule="auto"/>
        <w:ind w:left="0" w:firstLine="709"/>
        <w:jc w:val="both"/>
        <w:rPr>
          <w:rFonts w:ascii="Times New Roman" w:hAnsi="Times New Roman"/>
          <w:sz w:val="24"/>
          <w:szCs w:val="24"/>
        </w:rPr>
      </w:pPr>
      <w:r w:rsidRPr="002C1356">
        <w:rPr>
          <w:rFonts w:ascii="Times New Roman" w:hAnsi="Times New Roman"/>
          <w:sz w:val="24"/>
          <w:szCs w:val="24"/>
        </w:rPr>
        <w:t xml:space="preserve">A </w:t>
      </w:r>
      <w:r w:rsidRPr="002C1356">
        <w:rPr>
          <w:rFonts w:ascii="Times New Roman" w:hAnsi="Times New Roman"/>
          <w:i/>
          <w:sz w:val="24"/>
          <w:szCs w:val="24"/>
        </w:rPr>
        <w:t>condição política, jurídica ou internacional</w:t>
      </w:r>
      <w:r w:rsidRPr="002C1356">
        <w:rPr>
          <w:rFonts w:ascii="Times New Roman" w:hAnsi="Times New Roman"/>
          <w:sz w:val="24"/>
          <w:szCs w:val="24"/>
        </w:rPr>
        <w:t xml:space="preserve"> dos povos vivendo em colônias também foi incluída enquanto uma “razão” de discriminação. O processo histórico de “descolonização” estava nos seus primórdios, mas amplamente presente nos debates da Comissão de Direitos Humanos da ONU para elaboração da DUDH. </w:t>
      </w:r>
    </w:p>
    <w:p w14:paraId="50D86E2C" w14:textId="5BD49E4A" w:rsidR="003D7DAB" w:rsidRPr="00C44339" w:rsidRDefault="003D7DAB" w:rsidP="00C44339">
      <w:pPr>
        <w:pStyle w:val="PargrafodaLista"/>
        <w:spacing w:after="0" w:line="360" w:lineRule="auto"/>
        <w:ind w:left="0" w:firstLine="709"/>
        <w:jc w:val="both"/>
        <w:rPr>
          <w:rFonts w:ascii="Times New Roman" w:hAnsi="Times New Roman"/>
          <w:sz w:val="24"/>
          <w:szCs w:val="24"/>
        </w:rPr>
      </w:pPr>
      <w:r w:rsidRPr="002C1356">
        <w:rPr>
          <w:rFonts w:ascii="Times New Roman" w:hAnsi="Times New Roman"/>
          <w:sz w:val="24"/>
          <w:szCs w:val="24"/>
        </w:rPr>
        <w:t>Apesar da abstenção na votação da DUDH de diversos países comunistas (URSS, Tchecoslováquia, República Socialista Soviética da Bielorússia, República Socialista Soviética da Ucrânia, Polônia e Iugoslávia), foi gra</w:t>
      </w:r>
      <w:r w:rsidR="00C619DE">
        <w:rPr>
          <w:rFonts w:ascii="Times New Roman" w:hAnsi="Times New Roman"/>
          <w:sz w:val="24"/>
          <w:szCs w:val="24"/>
        </w:rPr>
        <w:t xml:space="preserve">ças à influência desses países </w:t>
      </w:r>
      <w:r w:rsidRPr="002C1356">
        <w:rPr>
          <w:rFonts w:ascii="Times New Roman" w:hAnsi="Times New Roman"/>
          <w:sz w:val="24"/>
          <w:szCs w:val="24"/>
        </w:rPr>
        <w:t xml:space="preserve">que o </w:t>
      </w:r>
      <w:r w:rsidRPr="002C1356">
        <w:rPr>
          <w:rFonts w:ascii="Times New Roman" w:hAnsi="Times New Roman"/>
          <w:sz w:val="24"/>
          <w:szCs w:val="24"/>
        </w:rPr>
        <w:lastRenderedPageBreak/>
        <w:t>tema da não discriminação se fez presente de forma ampla na DUDH. Nas palavras de Morsink:</w:t>
      </w:r>
      <w:r w:rsidRPr="002C1356">
        <w:rPr>
          <w:rStyle w:val="Refdenotaderodap"/>
          <w:rFonts w:ascii="Times New Roman" w:hAnsi="Times New Roman"/>
          <w:sz w:val="24"/>
          <w:szCs w:val="24"/>
        </w:rPr>
        <w:footnoteReference w:id="246"/>
      </w:r>
    </w:p>
    <w:p w14:paraId="1A0762F5" w14:textId="0F3AC22A" w:rsidR="003D7DAB" w:rsidRPr="002C1356" w:rsidRDefault="00AD7D01" w:rsidP="00A931C3">
      <w:pPr>
        <w:pStyle w:val="citao"/>
        <w:spacing w:line="360" w:lineRule="auto"/>
        <w:ind w:left="2126"/>
        <w:jc w:val="both"/>
      </w:pPr>
      <w:r w:rsidRPr="00AD7D01">
        <w:t>Há muita linguagem de não discriminação na Carta das Nações Unidas para dizer que os comunistas introduziram esse princípio no processo de redação da Declaração. Mas podemos dizer que é principalmente devido à sua persistência que é uma característica tão pro</w:t>
      </w:r>
      <w:r>
        <w:t>e</w:t>
      </w:r>
      <w:r w:rsidRPr="00AD7D01">
        <w:t>minente do documento. Mais do que qualquer outro bloco de votação, os comunistas empurraram desde o início para a inclusão de uma linguagem clara de antidiscriminação na Declaração. Este selo de não discriminação é a marca deles no documento</w:t>
      </w:r>
      <w:r w:rsidR="003D7DAB" w:rsidRPr="00AD7D01">
        <w:t>.</w:t>
      </w:r>
      <w:r w:rsidR="003D7DAB" w:rsidRPr="00AD7D01">
        <w:rPr>
          <w:rStyle w:val="Refdenotaderodap"/>
          <w:sz w:val="24"/>
        </w:rPr>
        <w:footnoteReference w:id="247"/>
      </w:r>
    </w:p>
    <w:p w14:paraId="52D7F5A6" w14:textId="77777777" w:rsidR="003D7DAB" w:rsidRPr="002C1356" w:rsidRDefault="003D7DAB" w:rsidP="003D7DAB">
      <w:pPr>
        <w:spacing w:after="0" w:line="360" w:lineRule="auto"/>
        <w:ind w:firstLine="708"/>
        <w:contextualSpacing/>
        <w:jc w:val="both"/>
        <w:rPr>
          <w:rFonts w:ascii="Times New Roman" w:hAnsi="Times New Roman"/>
          <w:i/>
          <w:sz w:val="24"/>
          <w:szCs w:val="24"/>
        </w:rPr>
      </w:pPr>
      <w:r w:rsidRPr="002C1356">
        <w:rPr>
          <w:rFonts w:ascii="Times New Roman" w:hAnsi="Times New Roman"/>
          <w:sz w:val="24"/>
          <w:szCs w:val="24"/>
        </w:rPr>
        <w:t>Entre os dias 7 e 24 de novembro de 1950, o canadense John P. Humphrey, nesse período exercendo a função de diretor da Divisão de Direitos Humanos, escreveu a seguinte anotação no seu diário: “(…) os países “retrógrados” [“backward”] estão revoltados! [Eleanor Roosvelt] acredita que se trata de uma revolta das pessoas de pele escura em relação aos brancos. É mais do que isso”. A perplexidade de Humprey pode ser explicada por uma demanda de direitos dos antigos povos coloniais no âmbito da Assembleia Geral da ONU. Assinala Burke</w:t>
      </w:r>
      <w:r w:rsidRPr="002C1356">
        <w:rPr>
          <w:rStyle w:val="Refdenotaderodap"/>
          <w:rFonts w:ascii="Times New Roman" w:hAnsi="Times New Roman"/>
          <w:sz w:val="24"/>
          <w:szCs w:val="24"/>
        </w:rPr>
        <w:footnoteReference w:id="248"/>
      </w:r>
      <w:r w:rsidRPr="002C1356">
        <w:rPr>
          <w:rFonts w:ascii="Times New Roman" w:hAnsi="Times New Roman"/>
          <w:sz w:val="24"/>
          <w:szCs w:val="24"/>
        </w:rPr>
        <w:t>: “Entre 1950 e 1979, o processo de descolonização transformou a ONU e a forma do discurso de direitos humanos”.</w:t>
      </w:r>
    </w:p>
    <w:p w14:paraId="41F7BD8B"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fase mais intensa desse processo ocorreu entre 1945-1975. Nesse período a maioria das colônias da Ásia, África e do Caribe obtiveram sua independência e o posterior reconhecimento como Estados-membros da ONU.</w:t>
      </w:r>
      <w:r w:rsidRPr="002C1356">
        <w:rPr>
          <w:rStyle w:val="Refdenotaderodap"/>
          <w:rFonts w:ascii="Times New Roman" w:hAnsi="Times New Roman"/>
          <w:sz w:val="24"/>
          <w:szCs w:val="24"/>
        </w:rPr>
        <w:footnoteReference w:id="249"/>
      </w:r>
      <w:r w:rsidRPr="002C1356">
        <w:rPr>
          <w:rFonts w:ascii="Times New Roman" w:hAnsi="Times New Roman"/>
          <w:sz w:val="24"/>
          <w:szCs w:val="24"/>
        </w:rPr>
        <w:t xml:space="preserve"> Nos anos 1960, diversos artigos da DUDH foram utilizados na elaboração da constituição de mais de vinte de países, recém-independentes, do continente africano.</w:t>
      </w:r>
      <w:r w:rsidRPr="002C1356">
        <w:rPr>
          <w:rStyle w:val="Refdenotaderodap"/>
          <w:rFonts w:ascii="Times New Roman" w:hAnsi="Times New Roman"/>
          <w:sz w:val="24"/>
          <w:szCs w:val="24"/>
        </w:rPr>
        <w:footnoteReference w:id="250"/>
      </w:r>
      <w:r w:rsidRPr="002C1356">
        <w:rPr>
          <w:rFonts w:ascii="Times New Roman" w:hAnsi="Times New Roman"/>
          <w:sz w:val="24"/>
          <w:szCs w:val="24"/>
        </w:rPr>
        <w:t xml:space="preserve"> </w:t>
      </w:r>
    </w:p>
    <w:p w14:paraId="582F47F9" w14:textId="77777777" w:rsidR="003D7DAB" w:rsidRPr="002C1356" w:rsidRDefault="003D7DAB" w:rsidP="003D7DAB">
      <w:pPr>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 xml:space="preserve">Após a DUDH, o tema central da Comissão de Direitos Humanos da ONU foi a elaboração de instrumentos jurídicos vinculantes para os direitos humanos. No ano de 1952, ficou decidido que seriam dois pactos: um de direitos civis e políticos e o outro de direitos econômicos, sociais e culturais. Em 1954 os textos dos pactos estavam prontos e </w:t>
      </w:r>
      <w:r w:rsidRPr="002C1356">
        <w:rPr>
          <w:rFonts w:ascii="Times New Roman" w:hAnsi="Times New Roman"/>
          <w:sz w:val="24"/>
          <w:szCs w:val="24"/>
        </w:rPr>
        <w:lastRenderedPageBreak/>
        <w:t xml:space="preserve">foram encaminhados a Assembleia Geral da ONU, que só veio a apreciá-los em 1966, colocando-os em vigor no ano de 1976. </w:t>
      </w:r>
      <w:r w:rsidRPr="002C1356">
        <w:rPr>
          <w:rStyle w:val="Refdenotaderodap"/>
          <w:rFonts w:ascii="Times New Roman" w:hAnsi="Times New Roman"/>
          <w:sz w:val="24"/>
          <w:szCs w:val="24"/>
        </w:rPr>
        <w:footnoteReference w:id="251"/>
      </w:r>
      <w:r w:rsidRPr="002C1356">
        <w:rPr>
          <w:rFonts w:ascii="Times New Roman" w:hAnsi="Times New Roman"/>
          <w:sz w:val="24"/>
          <w:szCs w:val="24"/>
        </w:rPr>
        <w:t xml:space="preserve"> </w:t>
      </w:r>
    </w:p>
    <w:p w14:paraId="28E90A6D" w14:textId="77777777" w:rsidR="003D7DAB" w:rsidRPr="002C1356" w:rsidRDefault="003D7DAB" w:rsidP="003D7DAB">
      <w:pPr>
        <w:spacing w:after="0" w:line="360" w:lineRule="auto"/>
        <w:ind w:firstLine="708"/>
        <w:contextualSpacing/>
        <w:jc w:val="both"/>
        <w:rPr>
          <w:rFonts w:ascii="Times New Roman" w:eastAsia="Times New Roman" w:hAnsi="Times New Roman"/>
          <w:i/>
          <w:color w:val="000000"/>
          <w:sz w:val="24"/>
          <w:szCs w:val="24"/>
          <w:lang w:eastAsia="pt-BR"/>
        </w:rPr>
      </w:pPr>
      <w:r w:rsidRPr="002C1356">
        <w:rPr>
          <w:rFonts w:ascii="Times New Roman" w:hAnsi="Times New Roman"/>
          <w:sz w:val="24"/>
          <w:szCs w:val="24"/>
        </w:rPr>
        <w:t>Enquanto isso, os novos Estados independentes da África e Ásia foram capazes de avançar suas pautas. A realização da Conferência de Bandung (1955), com a presença de vinte e nove países da África e Ásia, foi um marco no diálogo entre esses países.</w:t>
      </w:r>
      <w:r w:rsidRPr="002C1356">
        <w:rPr>
          <w:rStyle w:val="Refdenotaderodap"/>
          <w:rFonts w:ascii="Times New Roman" w:hAnsi="Times New Roman"/>
          <w:sz w:val="24"/>
          <w:szCs w:val="24"/>
        </w:rPr>
        <w:footnoteReference w:id="252"/>
      </w:r>
      <w:r w:rsidRPr="002C1356">
        <w:rPr>
          <w:rFonts w:ascii="Times New Roman" w:hAnsi="Times New Roman"/>
          <w:sz w:val="24"/>
          <w:szCs w:val="24"/>
        </w:rPr>
        <w:t xml:space="preserve"> O fim do colonialismo e a luta contra discriminação racial se fizeram presentes na </w:t>
      </w:r>
      <w:r w:rsidRPr="002C1356">
        <w:rPr>
          <w:rFonts w:ascii="Times New Roman" w:eastAsia="Times New Roman" w:hAnsi="Times New Roman"/>
          <w:color w:val="000000"/>
          <w:sz w:val="24"/>
          <w:szCs w:val="24"/>
          <w:lang w:eastAsia="pt-BR"/>
        </w:rPr>
        <w:t xml:space="preserve">Declaração sobre a Concessão da Independência aos Países e Povos Coloniais (resolução da Assembleia Geral da ONU 1514 (XV) de 14 de dezembro de 1960): “Acreditando que o processo de liberdade é irresistível e irreversível e que, a fim de evitar crises graves, é preciso pôr fim ao colonialismo e a todas as práticas de segregação e discriminação que o acompanham”. </w:t>
      </w:r>
    </w:p>
    <w:p w14:paraId="0F41D1D1" w14:textId="77777777" w:rsidR="003D7DAB" w:rsidRPr="002C1356" w:rsidRDefault="003D7DAB" w:rsidP="003D7DAB">
      <w:pPr>
        <w:spacing w:after="0" w:line="360" w:lineRule="auto"/>
        <w:ind w:firstLine="709"/>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color w:val="000000"/>
          <w:sz w:val="24"/>
          <w:szCs w:val="24"/>
          <w:lang w:eastAsia="pt-BR"/>
        </w:rPr>
        <w:t xml:space="preserve">O artigo 1 equipara a colonização à violação dos direitos humanos: </w:t>
      </w:r>
      <w:r w:rsidRPr="002C1356">
        <w:rPr>
          <w:rFonts w:ascii="Times New Roman" w:eastAsia="Times New Roman" w:hAnsi="Times New Roman"/>
          <w:color w:val="333333"/>
          <w:sz w:val="24"/>
          <w:szCs w:val="24"/>
          <w:lang w:eastAsia="pt-BR"/>
        </w:rPr>
        <w:t xml:space="preserve">“A sujeição dos povos a uma subjugação, dominação e exploração constitui uma negação dos direitos humanos fundamentais, é contrária à Carta das Nações Unidas e compromete a causa da paz e da cooperação mundial”. </w:t>
      </w:r>
    </w:p>
    <w:p w14:paraId="6B1AE6B6" w14:textId="77777777" w:rsidR="003D7DAB" w:rsidRPr="002C1356" w:rsidRDefault="003D7DAB" w:rsidP="003D7DAB">
      <w:pPr>
        <w:spacing w:line="360" w:lineRule="auto"/>
        <w:ind w:firstLine="708"/>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color w:val="333333"/>
          <w:sz w:val="24"/>
          <w:szCs w:val="24"/>
          <w:lang w:eastAsia="pt-BR"/>
        </w:rPr>
        <w:t>Quinze anos depois da criação da ONU, o processo de descolonização transformou se em uma pauta central da organização, e isso graças à ação conjunta dos novos países independentes da África e da Ásia.</w:t>
      </w:r>
      <w:r w:rsidRPr="002C1356">
        <w:rPr>
          <w:rStyle w:val="Refdenotaderodap"/>
          <w:rFonts w:ascii="Times New Roman" w:eastAsia="Times New Roman" w:hAnsi="Times New Roman"/>
          <w:color w:val="333333"/>
          <w:sz w:val="24"/>
          <w:szCs w:val="24"/>
          <w:lang w:eastAsia="pt-BR"/>
        </w:rPr>
        <w:footnoteReference w:id="253"/>
      </w:r>
      <w:r w:rsidRPr="002C1356">
        <w:rPr>
          <w:rFonts w:ascii="Times New Roman" w:eastAsia="Times New Roman" w:hAnsi="Times New Roman"/>
          <w:color w:val="333333"/>
          <w:sz w:val="24"/>
          <w:szCs w:val="24"/>
          <w:lang w:eastAsia="pt-BR"/>
        </w:rPr>
        <w:t xml:space="preserve"> Após a emergência do tema do fim do colonialismo, urgia a elaboração de um novo documento que tratasse o tema de uma presente e constante violação de direitos humanos, isto é: a discriminação racial.</w:t>
      </w:r>
    </w:p>
    <w:p w14:paraId="0211BF45" w14:textId="77777777" w:rsidR="003D7DAB" w:rsidRPr="002C1356" w:rsidRDefault="003D7DAB" w:rsidP="003D7DAB">
      <w:pPr>
        <w:spacing w:line="360" w:lineRule="auto"/>
        <w:ind w:firstLine="708"/>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color w:val="333333"/>
          <w:sz w:val="24"/>
          <w:szCs w:val="24"/>
          <w:lang w:eastAsia="pt-BR"/>
        </w:rPr>
        <w:t xml:space="preserve">Nos anos 1960 havia dois fenômenos históricos de segregação racial que se transformaram em questões críticas nas negociações travadas entre países africanos e asiáticos e países do bloco ocidental capitalista: a segregação racial nos EUA e a política de </w:t>
      </w:r>
      <w:r w:rsidRPr="002C1356">
        <w:rPr>
          <w:rFonts w:ascii="Times New Roman" w:eastAsia="Times New Roman" w:hAnsi="Times New Roman"/>
          <w:i/>
          <w:color w:val="333333"/>
          <w:sz w:val="24"/>
          <w:szCs w:val="24"/>
          <w:lang w:eastAsia="pt-BR"/>
        </w:rPr>
        <w:t xml:space="preserve">apartheid </w:t>
      </w:r>
      <w:r w:rsidRPr="002C1356">
        <w:rPr>
          <w:rFonts w:ascii="Times New Roman" w:eastAsia="Times New Roman" w:hAnsi="Times New Roman"/>
          <w:color w:val="333333"/>
          <w:sz w:val="24"/>
          <w:szCs w:val="24"/>
          <w:lang w:eastAsia="pt-BR"/>
        </w:rPr>
        <w:t>na África do Sul.</w:t>
      </w:r>
    </w:p>
    <w:p w14:paraId="7DE363F3" w14:textId="77777777" w:rsidR="003D7DAB" w:rsidRPr="002C1356" w:rsidRDefault="003D7DAB" w:rsidP="003D7DAB">
      <w:pPr>
        <w:spacing w:line="360" w:lineRule="auto"/>
        <w:ind w:firstLine="708"/>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color w:val="333333"/>
          <w:sz w:val="24"/>
          <w:szCs w:val="24"/>
          <w:lang w:eastAsia="pt-BR"/>
        </w:rPr>
        <w:t>O diplomata britânico Hugh Foot, durante vários anos, foi administrador colonial, tendo reconhecido sucesso na Jamaica durante os anos 1950 ao preparar o país para independência, o que veio a ocorrer em 6 de agosto de 1962. Posteriormente ele viria a ser o representante da Grã-Bretanha na ONU. Seu comentário ilustra a forma de pensar dos países colonizadores:</w:t>
      </w:r>
      <w:r w:rsidRPr="002C1356">
        <w:rPr>
          <w:rStyle w:val="Refdenotaderodap"/>
          <w:rFonts w:ascii="Times New Roman" w:eastAsia="Times New Roman" w:hAnsi="Times New Roman"/>
          <w:color w:val="333333"/>
          <w:sz w:val="24"/>
          <w:szCs w:val="24"/>
          <w:lang w:eastAsia="pt-BR"/>
        </w:rPr>
        <w:footnoteReference w:id="254"/>
      </w:r>
    </w:p>
    <w:p w14:paraId="177E4FBA" w14:textId="0384C0C6" w:rsidR="003D7DAB" w:rsidRPr="002C1356" w:rsidRDefault="00AD7D01" w:rsidP="00A931C3">
      <w:pPr>
        <w:pStyle w:val="citao"/>
        <w:spacing w:line="360" w:lineRule="auto"/>
        <w:ind w:left="2126"/>
        <w:jc w:val="both"/>
        <w:rPr>
          <w:lang w:eastAsia="pt-BR"/>
        </w:rPr>
      </w:pPr>
      <w:r w:rsidRPr="00AD7D01">
        <w:rPr>
          <w:lang w:eastAsia="pt-BR"/>
        </w:rPr>
        <w:lastRenderedPageBreak/>
        <w:t>Não mostramos indignação quando vemos escravidão política ou exploração econômica ou injustiça social. Quando as pessoas sujeitas falam sobre a liberdade, as chamamos de "emocional". Quando eles insistem em uma política positiva de libertação, nós os chamamos de "imprudentes". Quando as resoluções são aprovadas nas Nações Unidas com o apoio irresistível do mundo, nós os chamamos de "total falta de responsabilidade". Em um mundo cheio de perigo explosivo, não temos mais ideais do que a manutenção do status q</w:t>
      </w:r>
      <w:r>
        <w:rPr>
          <w:lang w:eastAsia="pt-BR"/>
        </w:rPr>
        <w:t>uo</w:t>
      </w:r>
      <w:r w:rsidR="003D7DAB" w:rsidRPr="00AD7D01">
        <w:rPr>
          <w:lang w:eastAsia="pt-BR"/>
        </w:rPr>
        <w:t>.</w:t>
      </w:r>
      <w:r w:rsidR="003D7DAB" w:rsidRPr="00AD7D01">
        <w:rPr>
          <w:rStyle w:val="Refdenotaderodap"/>
          <w:rFonts w:eastAsia="Times New Roman"/>
          <w:color w:val="333333"/>
          <w:sz w:val="24"/>
          <w:lang w:eastAsia="pt-BR"/>
        </w:rPr>
        <w:footnoteReference w:id="255"/>
      </w:r>
    </w:p>
    <w:p w14:paraId="433F6145" w14:textId="021D6FC9" w:rsidR="003D7DAB" w:rsidRPr="00C44339" w:rsidRDefault="003D7DAB" w:rsidP="00C44339">
      <w:pPr>
        <w:spacing w:line="360" w:lineRule="auto"/>
        <w:ind w:firstLine="708"/>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color w:val="333333"/>
          <w:sz w:val="24"/>
          <w:szCs w:val="24"/>
          <w:lang w:eastAsia="pt-BR"/>
        </w:rPr>
        <w:t>O tema dos direitos humanos foi afetado pela política de “polaridades definidas” entre EUA e URSS, o que levou a uma complexa e demorada negociação da aprovação dos dois Pactos de Direitos Humanos. Aproveitando-se desse espaço vazio da ação diplomática, os “novos” países africanos e asiáticos conduziam os trabalhos na Assembleia Geral da ONU de instrumentos jurídicos de Direitos Humanos significativos para seus povos. Nesse sentido, vale a reflexão do diplomata de Gana (cuja independência ocorreu em 6 de março de 1957) Alex Quaison-Sackey (1924-1992)</w:t>
      </w:r>
      <w:r w:rsidRPr="002C1356">
        <w:rPr>
          <w:rStyle w:val="Refdenotaderodap"/>
          <w:rFonts w:ascii="Times New Roman" w:eastAsia="Times New Roman" w:hAnsi="Times New Roman"/>
          <w:color w:val="333333"/>
          <w:sz w:val="24"/>
          <w:szCs w:val="24"/>
          <w:lang w:eastAsia="pt-BR"/>
        </w:rPr>
        <w:footnoteReference w:id="256"/>
      </w:r>
      <w:r w:rsidRPr="002C1356">
        <w:rPr>
          <w:rFonts w:ascii="Times New Roman" w:eastAsia="Times New Roman" w:hAnsi="Times New Roman"/>
          <w:color w:val="333333"/>
          <w:sz w:val="24"/>
          <w:szCs w:val="24"/>
          <w:lang w:eastAsia="pt-BR"/>
        </w:rPr>
        <w:t>:</w:t>
      </w:r>
    </w:p>
    <w:p w14:paraId="71837D1D" w14:textId="0BA99D0E" w:rsidR="003D7DAB" w:rsidRDefault="00B226E2" w:rsidP="00A931C3">
      <w:pPr>
        <w:spacing w:before="120" w:after="120" w:line="360" w:lineRule="auto"/>
        <w:ind w:left="2126"/>
        <w:contextualSpacing/>
        <w:jc w:val="both"/>
        <w:rPr>
          <w:rFonts w:ascii="Times New Roman" w:eastAsia="Times New Roman" w:hAnsi="Times New Roman"/>
          <w:color w:val="333333"/>
          <w:lang w:eastAsia="pt-BR"/>
        </w:rPr>
      </w:pPr>
      <w:r w:rsidRPr="00B226E2">
        <w:rPr>
          <w:rFonts w:ascii="Times New Roman" w:eastAsia="Times New Roman" w:hAnsi="Times New Roman"/>
          <w:color w:val="333333"/>
          <w:lang w:eastAsia="pt-BR"/>
        </w:rPr>
        <w:t>Enquanto a União Soviética e os Estados Unidos assumirem posições antagônicas sobre problemas mundiais e tentar atrair a sua orbita em qualquer número de outros países, tanto tempo haverá a necessidade de um grupo de países permanecerem fora dos dois campos - um grupo dos países que abordarão as questões internacionais o mais objetivamente possível e proclamar a justiça, a moral e os direitos humanos.</w:t>
      </w:r>
    </w:p>
    <w:p w14:paraId="5E3AB29F" w14:textId="77777777" w:rsidR="00B226E2" w:rsidRPr="00B226E2" w:rsidRDefault="00B226E2" w:rsidP="00B226E2">
      <w:pPr>
        <w:spacing w:before="120" w:after="120" w:line="240" w:lineRule="auto"/>
        <w:ind w:left="2126"/>
        <w:contextualSpacing/>
        <w:jc w:val="both"/>
        <w:rPr>
          <w:rFonts w:ascii="Times New Roman" w:eastAsia="Times New Roman" w:hAnsi="Times New Roman"/>
          <w:color w:val="333333"/>
          <w:lang w:eastAsia="pt-BR"/>
        </w:rPr>
      </w:pPr>
    </w:p>
    <w:p w14:paraId="781817E8" w14:textId="09CF0337" w:rsidR="003D7DAB" w:rsidRPr="002C1356" w:rsidRDefault="003D7DAB" w:rsidP="003D7DAB">
      <w:pPr>
        <w:spacing w:after="0" w:line="360" w:lineRule="auto"/>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i/>
          <w:color w:val="333333"/>
          <w:sz w:val="24"/>
          <w:szCs w:val="24"/>
          <w:lang w:eastAsia="pt-BR"/>
        </w:rPr>
        <w:tab/>
      </w:r>
      <w:r w:rsidRPr="002C1356">
        <w:rPr>
          <w:rFonts w:ascii="Times New Roman" w:eastAsia="Times New Roman" w:hAnsi="Times New Roman"/>
          <w:color w:val="333333"/>
          <w:sz w:val="24"/>
          <w:szCs w:val="24"/>
          <w:lang w:eastAsia="pt-BR"/>
        </w:rPr>
        <w:t>No ano de 1964, Alex Quaison-Sackey,</w:t>
      </w:r>
      <w:r w:rsidR="00306BD4">
        <w:rPr>
          <w:rStyle w:val="Refdenotaderodap"/>
          <w:rFonts w:ascii="Times New Roman" w:eastAsia="Times New Roman" w:hAnsi="Times New Roman"/>
          <w:color w:val="333333"/>
          <w:sz w:val="24"/>
          <w:szCs w:val="24"/>
          <w:lang w:eastAsia="pt-BR"/>
        </w:rPr>
        <w:footnoteReference w:id="257"/>
      </w:r>
      <w:r w:rsidRPr="002C1356">
        <w:rPr>
          <w:rFonts w:ascii="Times New Roman" w:eastAsia="Times New Roman" w:hAnsi="Times New Roman"/>
          <w:color w:val="333333"/>
          <w:sz w:val="24"/>
          <w:szCs w:val="24"/>
          <w:lang w:eastAsia="pt-BR"/>
        </w:rPr>
        <w:t xml:space="preserve"> então como presidente de Gana, foi o primeiro soberano de um Estado da África a abrir uma assembleia geral da ONU. Seu discurso é um clamor ao universalismo dos direitos humanos. </w:t>
      </w:r>
    </w:p>
    <w:p w14:paraId="4EAA92E6" w14:textId="54283287" w:rsidR="003D7DAB" w:rsidRPr="00B226E2" w:rsidRDefault="00B226E2" w:rsidP="00A931C3">
      <w:pPr>
        <w:spacing w:before="120" w:after="120" w:line="360" w:lineRule="auto"/>
        <w:ind w:left="2126"/>
        <w:contextualSpacing/>
        <w:jc w:val="both"/>
        <w:rPr>
          <w:rFonts w:ascii="Times New Roman" w:eastAsia="Times New Roman" w:hAnsi="Times New Roman"/>
          <w:color w:val="333333"/>
          <w:lang w:eastAsia="pt-BR"/>
        </w:rPr>
      </w:pPr>
      <w:r w:rsidRPr="00B226E2">
        <w:rPr>
          <w:rFonts w:ascii="Times New Roman" w:eastAsia="Times New Roman" w:hAnsi="Times New Roman"/>
          <w:color w:val="333333"/>
          <w:lang w:eastAsia="pt-BR"/>
        </w:rPr>
        <w:t>Os padrões universais devem existir, e a própria existência das Nações Unidas é um testemunho dessa convicção; mas esses padrões universais devem ser desenvolvidos por todas as nações, e eles podem ser d</w:t>
      </w:r>
      <w:r>
        <w:rPr>
          <w:rFonts w:ascii="Times New Roman" w:eastAsia="Times New Roman" w:hAnsi="Times New Roman"/>
          <w:color w:val="333333"/>
          <w:lang w:eastAsia="pt-BR"/>
        </w:rPr>
        <w:t>esenvolvidos apenas pelo acordo fruto do diálogo e</w:t>
      </w:r>
      <w:r w:rsidRPr="00B226E2">
        <w:rPr>
          <w:rFonts w:ascii="Times New Roman" w:eastAsia="Times New Roman" w:hAnsi="Times New Roman"/>
          <w:color w:val="333333"/>
          <w:lang w:eastAsia="pt-BR"/>
        </w:rPr>
        <w:t>, na aceitação de novas ide</w:t>
      </w:r>
      <w:r>
        <w:rPr>
          <w:rFonts w:ascii="Times New Roman" w:eastAsia="Times New Roman" w:hAnsi="Times New Roman"/>
          <w:color w:val="333333"/>
          <w:lang w:eastAsia="pt-BR"/>
        </w:rPr>
        <w:t>ias e a</w:t>
      </w:r>
      <w:r w:rsidRPr="00B226E2">
        <w:rPr>
          <w:rFonts w:ascii="Times New Roman" w:eastAsia="Times New Roman" w:hAnsi="Times New Roman"/>
          <w:color w:val="333333"/>
          <w:lang w:eastAsia="pt-BR"/>
        </w:rPr>
        <w:t xml:space="preserve"> disposição de conceder a outros os direitos que se espera </w:t>
      </w:r>
      <w:r>
        <w:rPr>
          <w:rFonts w:ascii="Times New Roman" w:eastAsia="Times New Roman" w:hAnsi="Times New Roman"/>
          <w:color w:val="333333"/>
          <w:lang w:eastAsia="pt-BR"/>
        </w:rPr>
        <w:t>para si próprio</w:t>
      </w:r>
      <w:r w:rsidRPr="00B226E2">
        <w:rPr>
          <w:rFonts w:ascii="Times New Roman" w:eastAsia="Times New Roman" w:hAnsi="Times New Roman"/>
          <w:color w:val="333333"/>
          <w:lang w:eastAsia="pt-BR"/>
        </w:rPr>
        <w:t>.</w:t>
      </w:r>
    </w:p>
    <w:p w14:paraId="24927AA1" w14:textId="61FA6AAE" w:rsidR="003D7DAB" w:rsidRPr="002C1356" w:rsidRDefault="003D7DAB" w:rsidP="003D7DAB">
      <w:pPr>
        <w:spacing w:after="0" w:line="360" w:lineRule="auto"/>
        <w:contextualSpacing/>
        <w:jc w:val="both"/>
        <w:rPr>
          <w:rFonts w:ascii="Times New Roman" w:eastAsia="Times New Roman" w:hAnsi="Times New Roman"/>
          <w:color w:val="333333"/>
          <w:sz w:val="24"/>
          <w:szCs w:val="24"/>
          <w:lang w:eastAsia="pt-BR"/>
        </w:rPr>
      </w:pPr>
      <w:r w:rsidRPr="002C1356">
        <w:rPr>
          <w:rFonts w:ascii="Times New Roman" w:eastAsia="Times New Roman" w:hAnsi="Times New Roman"/>
          <w:color w:val="333333"/>
          <w:sz w:val="24"/>
          <w:szCs w:val="24"/>
          <w:lang w:eastAsia="pt-BR"/>
        </w:rPr>
        <w:tab/>
        <w:t xml:space="preserve">A atuação dos países recém-independentes, na assembleia geral da ONU, possibilitou a aprovação de um segundo documento, que condenava, uma vez mais, o </w:t>
      </w:r>
      <w:r w:rsidRPr="002C1356">
        <w:rPr>
          <w:rFonts w:ascii="Times New Roman" w:eastAsia="Times New Roman" w:hAnsi="Times New Roman"/>
          <w:color w:val="333333"/>
          <w:sz w:val="24"/>
          <w:szCs w:val="24"/>
          <w:lang w:eastAsia="pt-BR"/>
        </w:rPr>
        <w:lastRenderedPageBreak/>
        <w:t xml:space="preserve">colonialismo, enfatizava a questão do </w:t>
      </w:r>
      <w:r w:rsidRPr="002C1356">
        <w:rPr>
          <w:rFonts w:ascii="Times New Roman" w:eastAsia="Times New Roman" w:hAnsi="Times New Roman"/>
          <w:i/>
          <w:color w:val="333333"/>
          <w:sz w:val="24"/>
          <w:szCs w:val="24"/>
          <w:lang w:eastAsia="pt-BR"/>
        </w:rPr>
        <w:t>apartheid</w:t>
      </w:r>
      <w:r w:rsidRPr="002C1356">
        <w:rPr>
          <w:rFonts w:ascii="Times New Roman" w:eastAsia="Times New Roman" w:hAnsi="Times New Roman"/>
          <w:color w:val="333333"/>
          <w:sz w:val="24"/>
          <w:szCs w:val="24"/>
          <w:lang w:eastAsia="pt-BR"/>
        </w:rPr>
        <w:t xml:space="preserve"> e introduziu, de forma explícita, o tema da discriminação racial. Referido documento foi a Declaração das Nações Unidas sobre a Eliminação de Todas as Formas de Discriminação Racial (resolução da Assembleia Geral da ONU número 1904 [XVIII], de 20 de novembro de 1963). Nos considerandos é feita referência à </w:t>
      </w:r>
      <w:r w:rsidRPr="002C1356">
        <w:rPr>
          <w:rFonts w:ascii="Times New Roman" w:hAnsi="Times New Roman"/>
          <w:sz w:val="24"/>
          <w:szCs w:val="24"/>
          <w:lang w:eastAsia="pt-BR"/>
        </w:rPr>
        <w:t>Declaração sobre a Concessão de Independência aos Países e Povos Coloniais e condena-se também o colonialismo</w:t>
      </w:r>
      <w:r w:rsidRPr="002C1356">
        <w:rPr>
          <w:rFonts w:ascii="Times New Roman" w:eastAsia="Times New Roman" w:hAnsi="Times New Roman"/>
          <w:color w:val="333333"/>
          <w:sz w:val="24"/>
          <w:szCs w:val="24"/>
          <w:lang w:eastAsia="pt-BR"/>
        </w:rPr>
        <w:t xml:space="preserve">. A condenação a práticas racistas com participação do Estado, entre elas o </w:t>
      </w:r>
      <w:r w:rsidRPr="002C1356">
        <w:rPr>
          <w:rFonts w:ascii="Times New Roman" w:eastAsia="Times New Roman" w:hAnsi="Times New Roman"/>
          <w:i/>
          <w:color w:val="333333"/>
          <w:sz w:val="24"/>
          <w:szCs w:val="24"/>
          <w:lang w:eastAsia="pt-BR"/>
        </w:rPr>
        <w:t>apartheid</w:t>
      </w:r>
      <w:r w:rsidRPr="002C1356">
        <w:rPr>
          <w:rFonts w:ascii="Times New Roman" w:eastAsia="Times New Roman" w:hAnsi="Times New Roman"/>
          <w:color w:val="333333"/>
          <w:sz w:val="24"/>
          <w:szCs w:val="24"/>
          <w:lang w:eastAsia="pt-BR"/>
        </w:rPr>
        <w:t>, é evidente.</w:t>
      </w:r>
    </w:p>
    <w:p w14:paraId="22772BBD" w14:textId="214A13F5" w:rsidR="003D7DAB" w:rsidRPr="002C1356" w:rsidRDefault="003D7DAB" w:rsidP="00A931C3">
      <w:pPr>
        <w:pStyle w:val="citao"/>
        <w:spacing w:line="360" w:lineRule="auto"/>
        <w:ind w:left="2126"/>
        <w:rPr>
          <w:lang w:eastAsia="pt-BR"/>
        </w:rPr>
      </w:pPr>
      <w:r w:rsidRPr="002C1356">
        <w:rPr>
          <w:lang w:eastAsia="pt-BR"/>
        </w:rPr>
        <w:t xml:space="preserve">(…) Alarmados com as manifestações de discriminação racial em evidência em algumas áreas do mundo, algumas das quais são impostas por determinados governos, por meio de, medidas administrativas ou outras medidas legais, sob a forma, nomeadamente, de, a segregação do </w:t>
      </w:r>
      <w:r w:rsidRPr="002C1356">
        <w:rPr>
          <w:i/>
          <w:lang w:eastAsia="pt-BR"/>
        </w:rPr>
        <w:t>aparthei</w:t>
      </w:r>
      <w:r w:rsidR="00A24AED">
        <w:rPr>
          <w:i/>
          <w:lang w:eastAsia="pt-BR"/>
        </w:rPr>
        <w:t>d</w:t>
      </w:r>
      <w:r w:rsidRPr="002C1356">
        <w:rPr>
          <w:lang w:eastAsia="pt-BR"/>
        </w:rPr>
        <w:t xml:space="preserve"> e da separação, bem como pela promoção e divulgação das doutrinas de superioridade racial e expansionismo em certas áreas;</w:t>
      </w:r>
    </w:p>
    <w:p w14:paraId="2F98CC8A" w14:textId="04FAC71B" w:rsidR="003D7DAB" w:rsidRPr="002C1356" w:rsidRDefault="003D7DAB" w:rsidP="00C44339">
      <w:pPr>
        <w:spacing w:after="0" w:line="360" w:lineRule="auto"/>
        <w:contextualSpacing/>
        <w:jc w:val="both"/>
        <w:rPr>
          <w:rFonts w:ascii="Times New Roman" w:hAnsi="Times New Roman"/>
          <w:i/>
          <w:sz w:val="24"/>
          <w:szCs w:val="24"/>
          <w:lang w:eastAsia="pt-BR"/>
        </w:rPr>
      </w:pPr>
      <w:r w:rsidRPr="002C1356">
        <w:rPr>
          <w:rFonts w:ascii="Times New Roman" w:hAnsi="Times New Roman"/>
          <w:b/>
          <w:i/>
          <w:sz w:val="24"/>
          <w:szCs w:val="24"/>
        </w:rPr>
        <w:tab/>
      </w:r>
      <w:r w:rsidRPr="002C1356">
        <w:rPr>
          <w:rFonts w:ascii="Times New Roman" w:hAnsi="Times New Roman"/>
          <w:sz w:val="24"/>
          <w:szCs w:val="24"/>
        </w:rPr>
        <w:t>No artigo 1 da Declaração em tela, a discriminação racial foi definida enquanto uma ofensa a dignidade da pessoa humana e uma forma de violação dos direitos humanos.</w:t>
      </w:r>
    </w:p>
    <w:p w14:paraId="13EB8F38" w14:textId="77777777" w:rsidR="003D7DAB" w:rsidRPr="002C1356" w:rsidRDefault="003D7DAB" w:rsidP="00A931C3">
      <w:pPr>
        <w:pStyle w:val="citao"/>
        <w:spacing w:line="360" w:lineRule="auto"/>
        <w:ind w:left="2126"/>
      </w:pPr>
      <w:r w:rsidRPr="002C1356">
        <w:t>Artigo</w:t>
      </w:r>
      <w:r w:rsidRPr="002C1356">
        <w:rPr>
          <w:b/>
        </w:rPr>
        <w:t xml:space="preserve"> </w:t>
      </w:r>
      <w:r w:rsidRPr="002C1356">
        <w:t xml:space="preserve">1 – A discriminação entre os seres humanos em razão da raça, cor ou origem étnica é uma ofensa à dignidade humana e será condenada como uma negação dos princípios da Carta das Nações Unidas, como uma violação dos direitos humanos e liberdades fundamentais proclamados na Declaração Universal dos Direitos Humanos, como um obstáculo às relações amigáveis e pacíficas entre as nações e como um fato capaz de perturbar a paz e a segurança entre os povos. </w:t>
      </w:r>
    </w:p>
    <w:p w14:paraId="537D8CAA"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Elaborada a Declaração sobre a </w:t>
      </w:r>
      <w:r w:rsidRPr="002C1356">
        <w:rPr>
          <w:rFonts w:ascii="Times New Roman" w:eastAsia="Times New Roman" w:hAnsi="Times New Roman"/>
          <w:color w:val="333333"/>
          <w:sz w:val="24"/>
          <w:szCs w:val="24"/>
          <w:lang w:eastAsia="pt-BR"/>
        </w:rPr>
        <w:t xml:space="preserve">Eliminação de Todas as Formas de Discriminação Racial no final de 1963, a etapa seguinte foi a elaboração de um tratado vinculante que tomou como base a Declaração. Isso só não foi realizado no ano de 1964 devido a uma crise financeira da ONU e a controvérsias políticas que comprometeram seriamente a reunião da assembleia geral do ano em tela. Por fim, durante a sessão da Assembleia geral da ONU de 1965, no dia 21 de dezembro, por meio da </w:t>
      </w:r>
      <w:r w:rsidRPr="002C1356">
        <w:rPr>
          <w:rFonts w:ascii="Times New Roman" w:hAnsi="Times New Roman"/>
          <w:sz w:val="24"/>
          <w:szCs w:val="24"/>
        </w:rPr>
        <w:t xml:space="preserve">resolução nº 2.106-A (XX) foi aprovada a Convenção Internacional sobre a Eliminação de todas as Formas de Discriminação Racial (CERD). Aberta para assinatura no dia 7 de março de 1966, nove países foram os primeiros signatários, a saber: Bielorrússia, Brasil, República Centro Africana, Grécia, Israel, Filipinas, Polônia, União Soviética e Ucrânia. Ela entrou em </w:t>
      </w:r>
      <w:r w:rsidRPr="002C1356">
        <w:rPr>
          <w:rFonts w:ascii="Times New Roman" w:hAnsi="Times New Roman"/>
          <w:sz w:val="24"/>
          <w:szCs w:val="24"/>
        </w:rPr>
        <w:lastRenderedPageBreak/>
        <w:t>vigor no dia 4 de janeiro de 1969 – trigésimo dia após a entrega do vigésimo sétimo instrumento de ratificação – de acordo com o artigo 19 da CERD.</w:t>
      </w:r>
      <w:r w:rsidRPr="002C1356">
        <w:rPr>
          <w:rStyle w:val="Refdenotaderodap"/>
          <w:rFonts w:ascii="Times New Roman" w:hAnsi="Times New Roman"/>
          <w:sz w:val="24"/>
          <w:szCs w:val="24"/>
        </w:rPr>
        <w:footnoteReference w:id="258"/>
      </w:r>
    </w:p>
    <w:p w14:paraId="128A2F4D"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 A CERD faz referência expressa nos seus considerandos tanto à DUDH como à </w:t>
      </w:r>
      <w:r w:rsidRPr="002C1356">
        <w:rPr>
          <w:rFonts w:ascii="Times New Roman" w:eastAsia="Times New Roman" w:hAnsi="Times New Roman"/>
          <w:color w:val="000000"/>
          <w:sz w:val="24"/>
          <w:szCs w:val="24"/>
          <w:lang w:eastAsia="pt-BR"/>
        </w:rPr>
        <w:t xml:space="preserve">Declaração sobre a Concessão da Independência aos Países e Povos Coloniais </w:t>
      </w:r>
      <w:r w:rsidRPr="002C1356">
        <w:rPr>
          <w:rFonts w:ascii="Times New Roman" w:hAnsi="Times New Roman"/>
          <w:sz w:val="24"/>
          <w:szCs w:val="24"/>
        </w:rPr>
        <w:t>(1960) e a Declaração sobre a Eliminação de Todas as Formas de Discriminação Racial (1963).</w:t>
      </w:r>
    </w:p>
    <w:p w14:paraId="30853971" w14:textId="244E4B3D" w:rsidR="003D7DAB" w:rsidRPr="00C44339" w:rsidRDefault="003D7DAB" w:rsidP="00C44339">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Durante os debates para elaboração da CERD, os representantes do Senegal (independência: junho 1960) e da Colômbia apresentaram em conjunto uma proposta a fim de que fosse incluído no preâmbulo da Convenção a seguinte frase: “Convencidos de que a existência de barreiras raciais repugna os ideais de qualquer sociedade civilizada”. O representante do Senegal fez a defesa da sua proposta: </w:t>
      </w:r>
    </w:p>
    <w:p w14:paraId="01F970C8" w14:textId="0A8F4497" w:rsidR="003D7DAB" w:rsidRPr="002C1356" w:rsidRDefault="003D7DAB" w:rsidP="00A931C3">
      <w:pPr>
        <w:pStyle w:val="citao"/>
        <w:spacing w:line="360" w:lineRule="auto"/>
        <w:ind w:left="2126"/>
      </w:pPr>
      <w:r w:rsidRPr="002C1356">
        <w:t>Sociedade civilizada significava qualquer sociedade normativa orientada por um olhar ético cujos princípios gerais fundamentais estavam presentes na Declaração Universal de Dire</w:t>
      </w:r>
      <w:r w:rsidR="00C619DE">
        <w:t xml:space="preserve">itos Humanos; seu oposto era a </w:t>
      </w:r>
      <w:r w:rsidRPr="002C1356">
        <w:t>sociedade selvagem, que era dominada pela ideia de que o poder detém da razão [might is right].</w:t>
      </w:r>
      <w:r w:rsidRPr="002C1356">
        <w:rPr>
          <w:rStyle w:val="Refdenotaderodap"/>
          <w:sz w:val="24"/>
        </w:rPr>
        <w:footnoteReference w:id="259"/>
      </w:r>
    </w:p>
    <w:p w14:paraId="13A35607" w14:textId="77777777" w:rsidR="003D7DAB" w:rsidRPr="002C1356" w:rsidRDefault="003D7DAB" w:rsidP="003D7DAB">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Ao final dos debates, por sugestão do representante do Brasil, o adjetivo “civilizada” foi trocado por “humana”, restando a frase: “Convencidos de que a existência de barreiras raciais repugna os ideais de qualquer sociedade humana”.</w:t>
      </w:r>
    </w:p>
    <w:p w14:paraId="28AA1090" w14:textId="6AA938CD" w:rsidR="003D7DAB" w:rsidRPr="002C1356" w:rsidRDefault="003D7DAB" w:rsidP="00C44339">
      <w:pPr>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Logo no artigo 1 da Convenção é definida a discriminação racial:</w:t>
      </w:r>
    </w:p>
    <w:p w14:paraId="1F4A30F7" w14:textId="77777777" w:rsidR="003D7DAB" w:rsidRPr="002C1356" w:rsidRDefault="003D7DAB" w:rsidP="003D7DAB">
      <w:pPr>
        <w:pStyle w:val="citao"/>
        <w:spacing w:line="360" w:lineRule="auto"/>
        <w:ind w:left="0" w:firstLine="2127"/>
        <w:contextualSpacing/>
      </w:pPr>
      <w:r w:rsidRPr="002C1356">
        <w:t>Parte I</w:t>
      </w:r>
    </w:p>
    <w:p w14:paraId="7C454699" w14:textId="77777777" w:rsidR="003D7DAB" w:rsidRPr="002C1356" w:rsidRDefault="003D7DAB" w:rsidP="003D7DAB">
      <w:pPr>
        <w:pStyle w:val="citao"/>
        <w:spacing w:line="360" w:lineRule="auto"/>
        <w:contextualSpacing/>
      </w:pPr>
      <w:r w:rsidRPr="002C1356">
        <w:t>Artigo 1 – Para fins da presente Convenção, a expressão “discriminação racial” significará toda distinção, exclusão, restrição ou preferência baseada em raça, cor, descendência ou origem nacional ou étnica que tenha por objeto ou resultado anular ou restringir o reconhecimento, gozo ou exercício em um mesmo plano (em igualdade de condição) de direitos humanos e liberdades fundamentais nos campos político, econômico, social, cultural ou em qualquer outro campo da vida pública.</w:t>
      </w:r>
    </w:p>
    <w:p w14:paraId="08B257BE"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p>
    <w:p w14:paraId="3CDCC6C0"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i/>
          <w:sz w:val="24"/>
          <w:szCs w:val="24"/>
        </w:rPr>
      </w:pPr>
      <w:r w:rsidRPr="002C1356">
        <w:rPr>
          <w:rFonts w:ascii="Times New Roman" w:hAnsi="Times New Roman"/>
          <w:sz w:val="24"/>
          <w:szCs w:val="24"/>
        </w:rPr>
        <w:t xml:space="preserve">Na definição de discriminação racial, a CERD estabelece um direito individual ou coletivo a uma “prestação negativa” do Estado e da população em geral. De uma pessoa ou grupo de pessoas não ter restringido o </w:t>
      </w:r>
      <w:r w:rsidRPr="002C1356">
        <w:rPr>
          <w:rFonts w:ascii="Times New Roman" w:hAnsi="Times New Roman"/>
          <w:i/>
          <w:sz w:val="24"/>
          <w:szCs w:val="24"/>
        </w:rPr>
        <w:t xml:space="preserve">reconhecimento, gozo ou exercício de direitos </w:t>
      </w:r>
      <w:r w:rsidRPr="002C1356">
        <w:rPr>
          <w:rFonts w:ascii="Times New Roman" w:hAnsi="Times New Roman"/>
          <w:i/>
          <w:sz w:val="24"/>
          <w:szCs w:val="24"/>
        </w:rPr>
        <w:lastRenderedPageBreak/>
        <w:t>humanos e liberdades fundamentais</w:t>
      </w:r>
      <w:r w:rsidRPr="002C1356">
        <w:rPr>
          <w:rFonts w:ascii="Times New Roman" w:hAnsi="Times New Roman"/>
          <w:sz w:val="24"/>
          <w:szCs w:val="24"/>
        </w:rPr>
        <w:t>. O que se quer enfatizar é que o direito à “não” discriminação racial é diferente de outros direitos humanos como: direito à moradia, direito à educação, direito à alimentação e direito à agua potável. Trata-se de um direito que, quando respeitado, possibilita o exercício de outros direitos em sua plenitude.</w:t>
      </w:r>
      <w:r w:rsidRPr="002C1356">
        <w:rPr>
          <w:rFonts w:ascii="Times New Roman" w:hAnsi="Times New Roman"/>
          <w:i/>
          <w:sz w:val="24"/>
          <w:szCs w:val="24"/>
        </w:rPr>
        <w:t xml:space="preserve"> </w:t>
      </w:r>
    </w:p>
    <w:p w14:paraId="28368D78" w14:textId="78F501E9" w:rsidR="003D7DAB" w:rsidRPr="00C44339"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Elucida Lafer</w:t>
      </w:r>
      <w:r w:rsidRPr="002C1356">
        <w:rPr>
          <w:rStyle w:val="Refdenotaderodap"/>
          <w:rFonts w:ascii="Times New Roman" w:hAnsi="Times New Roman"/>
          <w:sz w:val="24"/>
          <w:szCs w:val="24"/>
        </w:rPr>
        <w:footnoteReference w:id="260"/>
      </w:r>
      <w:r w:rsidRPr="002C1356">
        <w:rPr>
          <w:rFonts w:ascii="Times New Roman" w:hAnsi="Times New Roman"/>
          <w:sz w:val="24"/>
          <w:szCs w:val="24"/>
        </w:rPr>
        <w:t xml:space="preserve"> a adequada compreensão dos conceitos de raça e racismo.</w:t>
      </w:r>
    </w:p>
    <w:p w14:paraId="4FDDFF26" w14:textId="77777777" w:rsidR="003D7DAB" w:rsidRPr="002C1356" w:rsidRDefault="003D7DAB" w:rsidP="00A931C3">
      <w:pPr>
        <w:pStyle w:val="citao"/>
        <w:spacing w:line="360" w:lineRule="auto"/>
        <w:ind w:left="2126"/>
      </w:pPr>
      <w:r w:rsidRPr="002C1356">
        <w:t xml:space="preserve">O sequenciamento do genoma humano confirmou que só existe uma raça – a raça humana. Assim, é certo que os judeus não são uma raça, mas não são uma raça os brancos, os negros, os mulatos, os índios, os ciganos, os árabes e quaisquer outros integrantes da espécie humana. Todos, no entanto, podem ser vítimas da prática de racismo. Por isso, discutir o crime da prática de racismo a partir do tema “raça” é um equívoco. O crime da prática do racismo tem sua base e reside nas teorias e nos preconceitos que discriminam grupos ou pessoas a eles atribuindo características “raciais”. </w:t>
      </w:r>
    </w:p>
    <w:p w14:paraId="0B8A7356"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CERD estabelece no artigo 8 um comitê a ela ligado formado por “dezoito peritos de grande prestígio moral e reconhecida imparcialidade” para supervisão do seu cumprimento pelos Estados signatários. Foi o primeiro mecanismo convencional de monitoramento de violação de direitos humanos a ser criado na história do DIDH.</w:t>
      </w:r>
    </w:p>
    <w:p w14:paraId="2D7D84DB" w14:textId="6A5747FF" w:rsidR="003D7DAB" w:rsidRPr="00C44339"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A CERD determinou também o estabelecimento de medidas promocionais tanto na luta contra o preconceito e discriminação como para promover o entendimento, a tolerância e a amizade entre nações e grupos raciais e étnicos.</w:t>
      </w:r>
    </w:p>
    <w:p w14:paraId="435E8194" w14:textId="77777777" w:rsidR="003D7DAB" w:rsidRPr="002C1356" w:rsidRDefault="003D7DAB" w:rsidP="00A931C3">
      <w:pPr>
        <w:pStyle w:val="citao"/>
        <w:spacing w:line="360" w:lineRule="auto"/>
        <w:ind w:left="2126"/>
      </w:pPr>
      <w:r w:rsidRPr="002C1356">
        <w:t xml:space="preserve">Artigo 7 </w:t>
      </w:r>
      <w:r w:rsidRPr="002C1356">
        <w:rPr>
          <w:b/>
        </w:rPr>
        <w:t xml:space="preserve">– </w:t>
      </w:r>
      <w:r w:rsidRPr="002C1356">
        <w:t xml:space="preserve">Os Estados-parte comprometem-se a tomar as medidas imediatas e eficazes, principalmente no campo do ensino, educação, cultura e informação, para lutar contra preconceitos que levem à discriminação racial e </w:t>
      </w:r>
      <w:bookmarkStart w:id="9" w:name="_Hlk493493754"/>
      <w:r w:rsidRPr="002C1356">
        <w:t>promover o entendimento, a tolerância e a amizade entre nações e grupos raciais e étnicos</w:t>
      </w:r>
      <w:bookmarkEnd w:id="9"/>
      <w:r w:rsidRPr="002C1356">
        <w:t>, assim como propagar os propósitos e os princípios da Carta das Nações Unidas, da Declaração Universal dos Direitos Humanos, da Declaração sobre a eliminação de todas as formas de Discriminação Racial.</w:t>
      </w:r>
    </w:p>
    <w:p w14:paraId="106F617B" w14:textId="3171E152" w:rsidR="003D7DAB" w:rsidRPr="00C44339" w:rsidRDefault="003D7DAB" w:rsidP="00C44339">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Na Parte II da CERD, toda ela dedicada ao Comitê, fica estabelecido, de forma inédita, um novo direito: o direito de petição.</w:t>
      </w:r>
    </w:p>
    <w:p w14:paraId="1BFB57E5" w14:textId="77777777" w:rsidR="003D7DAB" w:rsidRPr="002C1356" w:rsidRDefault="003D7DAB" w:rsidP="00A931C3">
      <w:pPr>
        <w:pStyle w:val="citao"/>
        <w:spacing w:line="360" w:lineRule="auto"/>
        <w:ind w:left="2126"/>
      </w:pPr>
      <w:r w:rsidRPr="002C1356">
        <w:lastRenderedPageBreak/>
        <w:t xml:space="preserve">Artigo 14 – 1 Todo Estado-parte na presente convenção poderá declarar, a qualquer momento, que reconhece a competência do Comitê para receber examinar as comunicações enviadas por indivíduos e grupos de indivíduos sob sua jurisdição que aleguem ser vítimas de violação, por um Estado-parte, de qualquer um dos direitos enunciados na presente Convenção. O comitê não receberá comunicação alguma relativa a um Estado-parte que não houver feito declaração dessa natureza. </w:t>
      </w:r>
    </w:p>
    <w:p w14:paraId="1467A61D"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 xml:space="preserve">Cartas e correspondências em geral foram enviadas para o Comitê de Direitos Humanos da ONU desde sua criação. Elas revelam um vácuo existente entre as normas de direito internacional e a situação desesperadora das pessoas que desejam ver tais normas efetivadas. Tais correspondências só iniciaram a ser consideradas a partir do final dos anos 1960, tendo em vista: 1) a luta contra o </w:t>
      </w:r>
      <w:r w:rsidRPr="002C1356">
        <w:rPr>
          <w:rFonts w:ascii="Times New Roman" w:hAnsi="Times New Roman"/>
          <w:i/>
          <w:sz w:val="24"/>
          <w:szCs w:val="24"/>
        </w:rPr>
        <w:t>apartheid</w:t>
      </w:r>
      <w:r w:rsidRPr="002C1356">
        <w:rPr>
          <w:rFonts w:ascii="Times New Roman" w:hAnsi="Times New Roman"/>
          <w:sz w:val="24"/>
          <w:szCs w:val="24"/>
        </w:rPr>
        <w:t>, 2) o processo de descolonização e a discriminação racial.</w:t>
      </w:r>
      <w:r w:rsidRPr="002C1356">
        <w:rPr>
          <w:rStyle w:val="Refdenotaderodap"/>
          <w:rFonts w:ascii="Times New Roman" w:hAnsi="Times New Roman"/>
          <w:sz w:val="24"/>
          <w:szCs w:val="24"/>
        </w:rPr>
        <w:footnoteReference w:id="261"/>
      </w:r>
    </w:p>
    <w:p w14:paraId="675C69AB" w14:textId="77777777" w:rsidR="003D7DAB" w:rsidRPr="002C1356" w:rsidRDefault="003D7DAB" w:rsidP="003D7DAB">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2C1356">
        <w:rPr>
          <w:rFonts w:ascii="Times New Roman" w:hAnsi="Times New Roman"/>
          <w:sz w:val="24"/>
          <w:szCs w:val="24"/>
        </w:rPr>
        <w:t>A nomogênese do direito de petição na história dos direitos humanos na ONU tem seu início com a proposta apresentada pelo libanês Charles Malik na primeira sessão do Comitê (janeiro-fevereiro 1947). Malik foi apoiado no seu pleito por: Hansa Metha (Índia, independente em 15 de agosto de 1947) e Carlo Romulo (Filipinas).</w:t>
      </w:r>
      <w:r w:rsidRPr="002C1356">
        <w:rPr>
          <w:rStyle w:val="Refdenotaderodap"/>
          <w:rFonts w:ascii="Times New Roman" w:hAnsi="Times New Roman"/>
          <w:sz w:val="24"/>
          <w:szCs w:val="24"/>
        </w:rPr>
        <w:footnoteReference w:id="262"/>
      </w:r>
    </w:p>
    <w:p w14:paraId="5F4EBBBB"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Durante os debates preliminares da CERD, a proposta dos países latino-americanos era a criação de uma Corte Internacional de Direitos Humanos. O representante do Líbano apresentou a proposta de um comitê para recebimento de petições. Em 2 de dezembro de 1965, a proposta do Líbano foi aprovada.</w:t>
      </w:r>
      <w:r w:rsidRPr="002C1356">
        <w:rPr>
          <w:rStyle w:val="Refdenotaderodap"/>
          <w:rFonts w:ascii="Times New Roman" w:hAnsi="Times New Roman"/>
          <w:sz w:val="24"/>
          <w:szCs w:val="24"/>
        </w:rPr>
        <w:footnoteReference w:id="263"/>
      </w:r>
    </w:p>
    <w:p w14:paraId="6A84E360" w14:textId="77777777" w:rsidR="003D7DAB" w:rsidRPr="002C1356" w:rsidRDefault="003D7DAB" w:rsidP="003D7DAB">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2C1356">
        <w:rPr>
          <w:rFonts w:ascii="Times New Roman" w:hAnsi="Times New Roman"/>
          <w:sz w:val="24"/>
          <w:szCs w:val="24"/>
        </w:rPr>
        <w:t>Estabelecimento do primeiro mecanismo convencional de monitoramento de violação de direitos humanos e o direito de petição individual na esfera internacional. A luta contra a discriminação racial cria precedentes...</w:t>
      </w:r>
    </w:p>
    <w:p w14:paraId="0713D00A" w14:textId="4E47C81E" w:rsidR="003D7DAB" w:rsidRPr="002C1356" w:rsidRDefault="003D7DAB">
      <w:pPr>
        <w:rPr>
          <w:rFonts w:ascii="Times New Roman" w:hAnsi="Times New Roman"/>
          <w:i/>
          <w:sz w:val="24"/>
          <w:szCs w:val="24"/>
        </w:rPr>
      </w:pPr>
      <w:r w:rsidRPr="002C1356">
        <w:rPr>
          <w:rFonts w:ascii="Times New Roman" w:hAnsi="Times New Roman"/>
          <w:i/>
          <w:sz w:val="24"/>
          <w:szCs w:val="24"/>
        </w:rPr>
        <w:br w:type="page"/>
      </w:r>
    </w:p>
    <w:p w14:paraId="2FE92B93" w14:textId="77777777" w:rsidR="003D7DAB" w:rsidRPr="00A24AED" w:rsidRDefault="003D7DAB" w:rsidP="003D7DAB">
      <w:pPr>
        <w:rPr>
          <w:rFonts w:ascii="Times New Roman" w:hAnsi="Times New Roman"/>
          <w:b/>
          <w:sz w:val="24"/>
          <w:szCs w:val="24"/>
        </w:rPr>
      </w:pPr>
      <w:r w:rsidRPr="00A24AED">
        <w:rPr>
          <w:rFonts w:ascii="Times New Roman" w:hAnsi="Times New Roman"/>
          <w:b/>
          <w:sz w:val="24"/>
          <w:szCs w:val="24"/>
        </w:rPr>
        <w:lastRenderedPageBreak/>
        <w:t>CONCLUSÃO</w:t>
      </w:r>
    </w:p>
    <w:p w14:paraId="1F398065" w14:textId="77777777" w:rsidR="003D7DAB" w:rsidRPr="002C1356" w:rsidRDefault="003D7DAB" w:rsidP="003D7DAB">
      <w:pPr>
        <w:jc w:val="center"/>
        <w:rPr>
          <w:rFonts w:ascii="Times New Roman" w:hAnsi="Times New Roman"/>
          <w:b/>
          <w:sz w:val="24"/>
          <w:szCs w:val="24"/>
          <w:u w:val="single"/>
        </w:rPr>
      </w:pPr>
    </w:p>
    <w:p w14:paraId="7BFF5BEF"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A não violência é o princípio de organização com uma função diretiva direcionado a quem elabora a norma das três vertentes da proteção internacional dos direitos da pessoa humana.</w:t>
      </w:r>
      <w:r w:rsidRPr="002C1356">
        <w:rPr>
          <w:rStyle w:val="Refdenotaderodap"/>
          <w:rFonts w:ascii="Times New Roman" w:hAnsi="Times New Roman"/>
          <w:sz w:val="24"/>
          <w:szCs w:val="24"/>
        </w:rPr>
        <w:footnoteReference w:id="264"/>
      </w:r>
      <w:r w:rsidRPr="002C1356">
        <w:rPr>
          <w:rFonts w:ascii="Times New Roman" w:hAnsi="Times New Roman"/>
          <w:sz w:val="24"/>
          <w:szCs w:val="24"/>
        </w:rPr>
        <w:t xml:space="preserve"> O objetivo principal da não violência é a proteção da pessoa humana em face da violência, para os fins desta tese, definida de acordo com a Organização Mundial de Saúde:</w:t>
      </w:r>
    </w:p>
    <w:p w14:paraId="002FCD4C" w14:textId="77777777" w:rsidR="003D7DAB" w:rsidRPr="002C1356" w:rsidRDefault="003D7DAB" w:rsidP="003D7DAB">
      <w:pPr>
        <w:pStyle w:val="Citao2"/>
        <w:rPr>
          <w:rFonts w:cs="Times New Roman"/>
        </w:rPr>
      </w:pPr>
      <w:r w:rsidRPr="002C1356">
        <w:rPr>
          <w:rFonts w:cs="Times New Roman"/>
        </w:rPr>
        <w:t>Uso intencional da força física ou do poder, real ou potencial, contra si próprio, contra outras pessoas ou contra um grupo ou uma comunidade, que resulte ou tenha grande possibilidade de resultar em lesão, morte, dano psicológico, deficiência de desenvolvimento ou privação.</w:t>
      </w:r>
    </w:p>
    <w:p w14:paraId="2CCFB84D" w14:textId="77777777" w:rsidR="001E79B6" w:rsidRPr="00A931C3" w:rsidRDefault="001E79B6" w:rsidP="00A931C3">
      <w:pPr>
        <w:spacing w:after="0" w:line="360" w:lineRule="auto"/>
        <w:ind w:firstLine="709"/>
        <w:jc w:val="both"/>
        <w:rPr>
          <w:rFonts w:ascii="Times New Roman" w:hAnsi="Times New Roman"/>
          <w:sz w:val="24"/>
        </w:rPr>
      </w:pPr>
    </w:p>
    <w:p w14:paraId="66FC261B" w14:textId="71CBB609" w:rsidR="003D7DAB" w:rsidRPr="002C1356" w:rsidRDefault="003D7DAB" w:rsidP="003D7DAB">
      <w:pPr>
        <w:spacing w:after="0" w:line="360" w:lineRule="auto"/>
        <w:ind w:firstLine="709"/>
        <w:jc w:val="both"/>
        <w:rPr>
          <w:rFonts w:ascii="Times New Roman" w:hAnsi="Times New Roman"/>
          <w:i/>
          <w:sz w:val="24"/>
          <w:szCs w:val="24"/>
        </w:rPr>
      </w:pPr>
      <w:r w:rsidRPr="002C1356">
        <w:rPr>
          <w:rFonts w:ascii="Times New Roman" w:hAnsi="Times New Roman"/>
          <w:sz w:val="24"/>
          <w:szCs w:val="24"/>
        </w:rPr>
        <w:t xml:space="preserve">A pessoa protegida da Convenção para Melhorar a Condição dos Feridos nos Exércitos em Campanha (1864), Convenção de Genebra do Estatuto do Refugiado (1951) e Convenção Internacional para Eliminação de todas as Formas de Discriminação Racial (1965) é a pessoa humana vítima de violência e, portanto, carente de proteção. </w:t>
      </w:r>
    </w:p>
    <w:p w14:paraId="724ECD32" w14:textId="77777777" w:rsidR="003D7DAB" w:rsidRPr="002C1356" w:rsidRDefault="003D7DAB" w:rsidP="003D7DAB">
      <w:pPr>
        <w:spacing w:after="0" w:line="360" w:lineRule="auto"/>
        <w:ind w:firstLine="708"/>
        <w:jc w:val="both"/>
        <w:rPr>
          <w:rFonts w:ascii="Times New Roman" w:hAnsi="Times New Roman"/>
          <w:i/>
          <w:sz w:val="24"/>
          <w:szCs w:val="24"/>
        </w:rPr>
      </w:pPr>
      <w:r w:rsidRPr="002C1356">
        <w:rPr>
          <w:rFonts w:ascii="Times New Roman" w:hAnsi="Times New Roman"/>
          <w:sz w:val="24"/>
          <w:szCs w:val="24"/>
        </w:rPr>
        <w:t>“Pessoa protegida” é uma expressão utilizada pelo Direito Internacional Humanitário também cabível para o indivíduo como destinatário da norma da Convenção de Genebra do Estatuto do Refugiado (1951) e Convenção Internacional para Eliminação de todas as Formas de Discriminação Racial (1965). A questão que coloco é: a pessoa protegida possui personalidade jurídica? Dito de outro modo, a pessoa protegida é um sujeito de Direito?</w:t>
      </w:r>
    </w:p>
    <w:p w14:paraId="5422ECE0" w14:textId="77777777" w:rsidR="003D7DAB" w:rsidRPr="002C1356" w:rsidRDefault="003D7DAB" w:rsidP="003D7DAB">
      <w:pPr>
        <w:spacing w:after="0" w:line="360" w:lineRule="auto"/>
        <w:ind w:firstLine="708"/>
        <w:jc w:val="both"/>
        <w:rPr>
          <w:rFonts w:ascii="Times New Roman" w:hAnsi="Times New Roman"/>
          <w:sz w:val="24"/>
          <w:szCs w:val="24"/>
        </w:rPr>
      </w:pPr>
      <w:r w:rsidRPr="002C1356">
        <w:rPr>
          <w:rFonts w:ascii="Times New Roman" w:hAnsi="Times New Roman"/>
          <w:sz w:val="24"/>
          <w:szCs w:val="24"/>
        </w:rPr>
        <w:t xml:space="preserve">No livro </w:t>
      </w:r>
      <w:r w:rsidRPr="002C1356">
        <w:rPr>
          <w:rFonts w:ascii="Times New Roman" w:hAnsi="Times New Roman"/>
          <w:i/>
          <w:sz w:val="24"/>
          <w:szCs w:val="24"/>
        </w:rPr>
        <w:t>Princípios do Direito Internacional</w:t>
      </w:r>
      <w:r w:rsidRPr="002C1356">
        <w:rPr>
          <w:rFonts w:ascii="Times New Roman" w:hAnsi="Times New Roman"/>
          <w:sz w:val="24"/>
          <w:szCs w:val="24"/>
        </w:rPr>
        <w:t>, publicado em 1952, Hans Kelsen (1881-1973) afirma que o indivíduo é sujeito de Direito do Direito Internacional em determinadas condições.</w:t>
      </w:r>
      <w:r w:rsidRPr="002C1356">
        <w:rPr>
          <w:rStyle w:val="Refdenotaderodap"/>
          <w:rFonts w:ascii="Times New Roman" w:hAnsi="Times New Roman"/>
          <w:sz w:val="24"/>
          <w:szCs w:val="24"/>
        </w:rPr>
        <w:footnoteReference w:id="265"/>
      </w:r>
    </w:p>
    <w:p w14:paraId="5AE63500"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 xml:space="preserve">Para Kelsen, principal teórico da concepção formalista da personalidade jurídica internacional, não existe sujeito </w:t>
      </w:r>
      <w:r w:rsidRPr="002C1356">
        <w:rPr>
          <w:rFonts w:ascii="Times New Roman" w:hAnsi="Times New Roman"/>
          <w:i/>
          <w:sz w:val="24"/>
          <w:szCs w:val="24"/>
        </w:rPr>
        <w:t xml:space="preserve">a priori </w:t>
      </w:r>
      <w:r w:rsidRPr="002C1356">
        <w:rPr>
          <w:rFonts w:ascii="Times New Roman" w:hAnsi="Times New Roman"/>
          <w:sz w:val="24"/>
          <w:szCs w:val="24"/>
        </w:rPr>
        <w:t xml:space="preserve">para o Direito internacional. Trata-se de um sistema aberto, e em tese qualquer entidade pode ter personalidade jurídica, basta ser a destinatária de uma norma internacional. Para a concepção individualista da </w:t>
      </w:r>
      <w:r w:rsidRPr="002C1356">
        <w:rPr>
          <w:rFonts w:ascii="Times New Roman" w:hAnsi="Times New Roman"/>
          <w:sz w:val="24"/>
          <w:szCs w:val="24"/>
        </w:rPr>
        <w:lastRenderedPageBreak/>
        <w:t xml:space="preserve">personalidade jurídica, a partir da DUDH, o indivíduo – e não o Estado – é o sujeito </w:t>
      </w:r>
      <w:r w:rsidRPr="002C1356">
        <w:rPr>
          <w:rFonts w:ascii="Times New Roman" w:hAnsi="Times New Roman"/>
          <w:i/>
          <w:sz w:val="24"/>
          <w:szCs w:val="24"/>
        </w:rPr>
        <w:t xml:space="preserve">a priori </w:t>
      </w:r>
      <w:r w:rsidRPr="002C1356">
        <w:rPr>
          <w:rFonts w:ascii="Times New Roman" w:hAnsi="Times New Roman"/>
          <w:sz w:val="24"/>
          <w:szCs w:val="24"/>
        </w:rPr>
        <w:t>(originário) do Direito Internacional.</w:t>
      </w:r>
      <w:r w:rsidRPr="002C1356">
        <w:rPr>
          <w:rStyle w:val="Refdenotaderodap"/>
          <w:rFonts w:ascii="Times New Roman" w:hAnsi="Times New Roman"/>
          <w:sz w:val="24"/>
          <w:szCs w:val="24"/>
        </w:rPr>
        <w:footnoteReference w:id="266"/>
      </w:r>
      <w:r w:rsidRPr="002C1356">
        <w:rPr>
          <w:rFonts w:ascii="Times New Roman" w:hAnsi="Times New Roman"/>
          <w:sz w:val="24"/>
          <w:szCs w:val="24"/>
        </w:rPr>
        <w:t xml:space="preserve"> </w:t>
      </w:r>
    </w:p>
    <w:p w14:paraId="4C8C22DB"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 xml:space="preserve">Portmann propõe uma leitura complementar dessas duas concepções, de forma que indivíduo tem personalidade jurídica </w:t>
      </w:r>
      <w:r w:rsidRPr="002C1356">
        <w:rPr>
          <w:rFonts w:ascii="Times New Roman" w:hAnsi="Times New Roman"/>
          <w:i/>
          <w:sz w:val="24"/>
          <w:szCs w:val="24"/>
        </w:rPr>
        <w:t xml:space="preserve">a priori </w:t>
      </w:r>
      <w:r w:rsidRPr="002C1356">
        <w:rPr>
          <w:rFonts w:ascii="Times New Roman" w:hAnsi="Times New Roman"/>
          <w:sz w:val="24"/>
          <w:szCs w:val="24"/>
        </w:rPr>
        <w:t>no Direito Internacional no caso de normas jurídicas relacionadas ao Direito Penal Internacional e ao Direito Internacional dos Direitos Humanos.</w:t>
      </w:r>
      <w:r w:rsidRPr="002C1356">
        <w:rPr>
          <w:rStyle w:val="Refdenotaderodap"/>
          <w:rFonts w:ascii="Times New Roman" w:hAnsi="Times New Roman"/>
          <w:sz w:val="24"/>
          <w:szCs w:val="24"/>
        </w:rPr>
        <w:footnoteReference w:id="267"/>
      </w:r>
      <w:r w:rsidRPr="002C1356">
        <w:rPr>
          <w:rFonts w:ascii="Times New Roman" w:hAnsi="Times New Roman"/>
          <w:sz w:val="24"/>
          <w:szCs w:val="24"/>
        </w:rPr>
        <w:t xml:space="preserve"> </w:t>
      </w:r>
    </w:p>
    <w:p w14:paraId="37220DF1"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 xml:space="preserve">Seguindo esse raciocínio, as pessoas protegidas nas três convenções aqui analisadas podem ser consideradas detentoras de personalidade jurídica e, portanto, sujeitos de Direito na ordem internacional. Indubitavelmente uma mudança radical em relação ao Direito Internacional das Nações Civilizadas (1815-1919), no qual o indivíduo era considerado na medida em que estivesse vinculado a determinado Estado soberano. </w:t>
      </w:r>
    </w:p>
    <w:p w14:paraId="307D9CFC"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A partir da SDN, já na fase do Direito Internacional da Humanidade, o indivíduo transforma-se, graças ao Direito Internacional, em objeto de proteção da comunidade internacional como um todo. A partir da DUDH, a pessoa humana passou a integrar a normativa do Direito Internacional; posteriormente, graças aos tratados aqui analisados, a pessoa humana adquire personalidade jurídica na ordem internacional.</w:t>
      </w:r>
    </w:p>
    <w:p w14:paraId="5DFC3F7E"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Alerta Portmann que “a única consequência direta de possuir personalidade no Direito Internacional é a capacidade de invocar a responsabilidade e de tornar-se responsável por crimes internacionais. Não existe nenhuma capacidade inerente de criar normas internacionais”.</w:t>
      </w:r>
      <w:r w:rsidRPr="002C1356">
        <w:rPr>
          <w:rStyle w:val="Refdenotaderodap"/>
          <w:rFonts w:ascii="Times New Roman" w:hAnsi="Times New Roman"/>
          <w:sz w:val="24"/>
          <w:szCs w:val="24"/>
        </w:rPr>
        <w:footnoteReference w:id="268"/>
      </w:r>
      <w:r w:rsidRPr="002C1356">
        <w:rPr>
          <w:rFonts w:ascii="Times New Roman" w:hAnsi="Times New Roman"/>
          <w:sz w:val="24"/>
          <w:szCs w:val="24"/>
        </w:rPr>
        <w:t xml:space="preserve"> Portanto, a personalidade jurídica no Direito Internacional é uma etapa imprescindível no processo de afirmação histórica dos direitos humanos, mas é importante considerar que, utilizando a classificação de Rainer Forst, temos o reconhecimento da pessoa ética, moral e de direito mas não o reconhecimento pleno de uma cidadania transnacional.</w:t>
      </w:r>
    </w:p>
    <w:p w14:paraId="311CBDB5"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 xml:space="preserve">A Convenção de 1951 determina um procedimento jurídico para definição de quais pessoas terão sua condição de refugiado reconhecida como tal. O ACNUR edita um </w:t>
      </w:r>
      <w:r w:rsidRPr="002C1356">
        <w:rPr>
          <w:rFonts w:ascii="Times New Roman" w:hAnsi="Times New Roman"/>
          <w:i/>
          <w:sz w:val="24"/>
          <w:szCs w:val="24"/>
        </w:rPr>
        <w:t>Manual de Procedimentos e Critérios para Determinar a Condição de Refugiado</w:t>
      </w:r>
      <w:r w:rsidRPr="002C1356">
        <w:rPr>
          <w:rFonts w:ascii="Times New Roman" w:hAnsi="Times New Roman"/>
          <w:sz w:val="24"/>
          <w:szCs w:val="24"/>
        </w:rPr>
        <w:t>.</w:t>
      </w:r>
      <w:r w:rsidRPr="002C1356">
        <w:rPr>
          <w:rStyle w:val="Refdenotaderodap"/>
          <w:rFonts w:ascii="Times New Roman" w:hAnsi="Times New Roman"/>
          <w:sz w:val="24"/>
          <w:szCs w:val="24"/>
        </w:rPr>
        <w:footnoteReference w:id="269"/>
      </w:r>
      <w:r w:rsidRPr="002C1356">
        <w:rPr>
          <w:rFonts w:ascii="Times New Roman" w:hAnsi="Times New Roman"/>
          <w:sz w:val="24"/>
          <w:szCs w:val="24"/>
        </w:rPr>
        <w:t xml:space="preserve"> Após um ato declaratório, emitido pelo ACNUR ou pelo país a quem foi demandado o estatuto, é efetivado o reconhecimento da condição de refugiado de determinada pessoa. Observe-se que a condição de refugiado é provisória e que, de acordo com a normativa </w:t>
      </w:r>
      <w:r w:rsidRPr="002C1356">
        <w:rPr>
          <w:rFonts w:ascii="Times New Roman" w:hAnsi="Times New Roman"/>
          <w:sz w:val="24"/>
          <w:szCs w:val="24"/>
        </w:rPr>
        <w:lastRenderedPageBreak/>
        <w:t>do ACNUR, soluções duradouras para o problema devem ser providenciadas, sendo a repatriação voluntária a primeira da lista.</w:t>
      </w:r>
    </w:p>
    <w:p w14:paraId="36A6A90A" w14:textId="77777777" w:rsidR="003D7DAB" w:rsidRPr="002C1356" w:rsidRDefault="003D7DAB" w:rsidP="003D7DAB">
      <w:pPr>
        <w:spacing w:after="0" w:line="360" w:lineRule="auto"/>
        <w:ind w:firstLine="708"/>
        <w:jc w:val="both"/>
        <w:rPr>
          <w:rFonts w:ascii="Times New Roman" w:hAnsi="Times New Roman"/>
          <w:sz w:val="24"/>
          <w:szCs w:val="24"/>
        </w:rPr>
      </w:pPr>
      <w:r w:rsidRPr="002C1356">
        <w:rPr>
          <w:rFonts w:ascii="Times New Roman" w:hAnsi="Times New Roman"/>
          <w:sz w:val="24"/>
          <w:szCs w:val="24"/>
        </w:rPr>
        <w:t>Para Emma Haddad</w:t>
      </w:r>
      <w:r w:rsidRPr="002C1356">
        <w:rPr>
          <w:rStyle w:val="Refdenotaderodap"/>
          <w:rFonts w:ascii="Times New Roman" w:hAnsi="Times New Roman"/>
          <w:sz w:val="24"/>
          <w:szCs w:val="24"/>
        </w:rPr>
        <w:footnoteReference w:id="270"/>
      </w:r>
      <w:r w:rsidRPr="002C1356">
        <w:rPr>
          <w:rFonts w:ascii="Times New Roman" w:hAnsi="Times New Roman"/>
          <w:sz w:val="24"/>
          <w:szCs w:val="24"/>
        </w:rPr>
        <w:t xml:space="preserve"> “um refugiado é um indivíduo que tenha sido forçado, num grau significativo, para fora de sua comunidade política”. Uma vez reconhecido como refugiado(a) a pessoa terá a possibilidade do exercício de direitos estabelecido na Convenção de 1951. Todavia, o refugiado não tem o direito de participação política no país que o acolheu. Portanto, caso tenha sucesso na sua integração local – a segunda solução duradoura – o refugiado só voltará a ser um sujeito político quando perder sua condição de refugiado. Um refugiado não é um cidadão no pleno exercício de seus direitos.</w:t>
      </w:r>
    </w:p>
    <w:p w14:paraId="32AFA7C5"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O reconhecimento de uma pessoa como refugiado indubitavelmente tem um caráter protetivo. No sentido mais básico e elementar de proteção: o cuidado com alguém mais fraco. Todavia, deve-se levar em consideração que estar na condição de refugiado cria um estereótipo para pessoa. Refugiado é um rótulo.</w:t>
      </w:r>
      <w:r w:rsidRPr="002C1356">
        <w:rPr>
          <w:rStyle w:val="Refdenotaderodap"/>
          <w:rFonts w:ascii="Times New Roman" w:hAnsi="Times New Roman"/>
          <w:sz w:val="24"/>
          <w:szCs w:val="24"/>
        </w:rPr>
        <w:footnoteReference w:id="271"/>
      </w:r>
      <w:r w:rsidRPr="002C1356">
        <w:rPr>
          <w:rFonts w:ascii="Times New Roman" w:hAnsi="Times New Roman"/>
          <w:sz w:val="24"/>
          <w:szCs w:val="24"/>
        </w:rPr>
        <w:t xml:space="preserve"> </w:t>
      </w:r>
    </w:p>
    <w:p w14:paraId="17C400D1"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Em um texto escrito, em 1943, Arendt</w:t>
      </w:r>
      <w:r w:rsidRPr="002C1356">
        <w:rPr>
          <w:rStyle w:val="Refdenotaderodap"/>
          <w:rFonts w:ascii="Times New Roman" w:hAnsi="Times New Roman"/>
          <w:sz w:val="24"/>
          <w:szCs w:val="24"/>
        </w:rPr>
        <w:footnoteReference w:id="272"/>
      </w:r>
      <w:r w:rsidRPr="002C1356">
        <w:rPr>
          <w:rFonts w:ascii="Times New Roman" w:hAnsi="Times New Roman"/>
          <w:sz w:val="24"/>
          <w:szCs w:val="24"/>
        </w:rPr>
        <w:t xml:space="preserve"> expressa o mal-estar que a condição de refugiado pode trazer a uma pessoa </w:t>
      </w:r>
    </w:p>
    <w:p w14:paraId="62D28E86" w14:textId="77777777" w:rsidR="003D7DAB" w:rsidRPr="002C1356" w:rsidRDefault="003D7DAB" w:rsidP="003D7DAB">
      <w:pPr>
        <w:pStyle w:val="Citao2"/>
        <w:rPr>
          <w:rFonts w:cs="Times New Roman"/>
        </w:rPr>
      </w:pPr>
      <w:r w:rsidRPr="002C1356">
        <w:rPr>
          <w:rFonts w:cs="Times New Roman"/>
        </w:rPr>
        <w:t xml:space="preserve">Em primeiro lugar, não gostamos de ser chamados de “refugiados”. Nós mesmos nos chamamos de “recém-chegados” ou “imigrantes”. Nossos jornais são jornais para “norte-americanos de língua alemã”; e até onde sei, não há e nunca houve qualquer clube fundado pelo povo-perseguido por Hitler cujo nome indicasse que seus membros eram refugiados.  </w:t>
      </w:r>
    </w:p>
    <w:p w14:paraId="42B295AD" w14:textId="77777777" w:rsidR="003D7DAB" w:rsidRPr="002C1356" w:rsidRDefault="003D7DAB" w:rsidP="003D7DAB">
      <w:pPr>
        <w:pStyle w:val="Citao2"/>
        <w:rPr>
          <w:rFonts w:cs="Times New Roman"/>
        </w:rPr>
      </w:pPr>
    </w:p>
    <w:p w14:paraId="5824F65F" w14:textId="77777777" w:rsidR="003D7DAB" w:rsidRPr="002C1356" w:rsidRDefault="003D7DAB" w:rsidP="003D7DAB">
      <w:pPr>
        <w:spacing w:after="0" w:line="360" w:lineRule="auto"/>
        <w:ind w:firstLine="709"/>
        <w:jc w:val="both"/>
        <w:rPr>
          <w:rFonts w:ascii="Times New Roman" w:hAnsi="Times New Roman"/>
          <w:sz w:val="24"/>
          <w:szCs w:val="24"/>
        </w:rPr>
      </w:pPr>
      <w:r w:rsidRPr="002C1356">
        <w:rPr>
          <w:rFonts w:ascii="Times New Roman" w:hAnsi="Times New Roman"/>
          <w:sz w:val="24"/>
          <w:szCs w:val="24"/>
        </w:rPr>
        <w:t>A entrevista de elegibilidade, realizada previamente ao reconhecimento da condição de refugiado, considera a narrativa dos buscadores de asilo, apenas e tão somente, para averiguar a existência de um plausível “bem-fundado temor de perseguição”. Os outros detalhes, por mais significativos que sejam para o buscador de asilo, não são relevantes para determinação de sua condição de refugiado.</w:t>
      </w:r>
      <w:r w:rsidRPr="002C1356">
        <w:rPr>
          <w:rStyle w:val="Refdenotaderodap"/>
          <w:rFonts w:ascii="Times New Roman" w:hAnsi="Times New Roman"/>
          <w:sz w:val="24"/>
          <w:szCs w:val="24"/>
        </w:rPr>
        <w:footnoteReference w:id="273"/>
      </w:r>
      <w:r w:rsidRPr="002C1356">
        <w:rPr>
          <w:rFonts w:ascii="Times New Roman" w:hAnsi="Times New Roman"/>
          <w:sz w:val="24"/>
          <w:szCs w:val="24"/>
        </w:rPr>
        <w:t xml:space="preserve"> O exercício desses direitos tem lugar no país de acolhimento, e o ACNUR, de forma apolítica e humanitária, tem a tarefa de supervisão.</w:t>
      </w:r>
    </w:p>
    <w:p w14:paraId="1D0C8344" w14:textId="77777777" w:rsidR="003D7DAB" w:rsidRPr="002C1356" w:rsidRDefault="003D7DAB" w:rsidP="003D7DAB">
      <w:pPr>
        <w:spacing w:after="0" w:line="360" w:lineRule="auto"/>
        <w:ind w:firstLine="708"/>
        <w:jc w:val="both"/>
        <w:rPr>
          <w:rFonts w:ascii="Times New Roman" w:hAnsi="Times New Roman"/>
          <w:sz w:val="24"/>
          <w:szCs w:val="24"/>
        </w:rPr>
      </w:pPr>
      <w:r w:rsidRPr="002C1356">
        <w:rPr>
          <w:rFonts w:ascii="Times New Roman" w:hAnsi="Times New Roman"/>
          <w:sz w:val="24"/>
          <w:szCs w:val="24"/>
        </w:rPr>
        <w:lastRenderedPageBreak/>
        <w:t>O tema da participação política de buscadores de asilo e refugiados está ausente da Convenção de 1951, mas foi a participação política dos grupos de países africanos e asiáticos que tornou possível a Convenção Internacional para Eliminação de Todas as Formas de Discriminação Racial (1965).</w:t>
      </w:r>
    </w:p>
    <w:p w14:paraId="041478A3" w14:textId="77777777" w:rsidR="003D7DAB" w:rsidRPr="002C1356" w:rsidRDefault="003D7DAB" w:rsidP="003D7DAB">
      <w:pPr>
        <w:spacing w:after="0" w:line="360" w:lineRule="auto"/>
        <w:ind w:firstLine="708"/>
        <w:jc w:val="both"/>
        <w:rPr>
          <w:rFonts w:ascii="Times New Roman" w:hAnsi="Times New Roman"/>
          <w:sz w:val="24"/>
          <w:szCs w:val="24"/>
        </w:rPr>
      </w:pPr>
      <w:r w:rsidRPr="002C1356">
        <w:rPr>
          <w:rFonts w:ascii="Times New Roman" w:hAnsi="Times New Roman"/>
          <w:sz w:val="24"/>
          <w:szCs w:val="24"/>
        </w:rPr>
        <w:t>Graças à firme e decisiva atuação política desses países foi estabelecido o direito de petição no artigo 14 (1). O direito de petição só é possível para vítimas de discriminação racial. Ao reduzir o escopo do direito de petição, resta impossível a participação política de eventuais interessados, inexistindo, portanto, a possibilidade da apresentação de uma petição que apresente um projeto de promoção de igualdade racial, por exemplo.</w:t>
      </w:r>
    </w:p>
    <w:p w14:paraId="2064A9C8" w14:textId="77777777" w:rsidR="003D7DAB" w:rsidRPr="002C1356" w:rsidRDefault="003D7DAB" w:rsidP="003D7DAB">
      <w:pPr>
        <w:spacing w:after="0" w:line="360" w:lineRule="auto"/>
        <w:jc w:val="both"/>
        <w:rPr>
          <w:rFonts w:ascii="Times New Roman" w:hAnsi="Times New Roman"/>
          <w:sz w:val="24"/>
          <w:szCs w:val="24"/>
        </w:rPr>
      </w:pPr>
      <w:r w:rsidRPr="002C1356">
        <w:rPr>
          <w:rFonts w:ascii="Times New Roman" w:hAnsi="Times New Roman"/>
          <w:sz w:val="24"/>
          <w:szCs w:val="24"/>
        </w:rPr>
        <w:tab/>
        <w:t>A lógica de criação das normas do Direito Internacional dos Direitos Humanos especifica situações de vulnerabilidade e carência de proteção nas quais o destinatário da norma é categorizado como vítima. Afirma Cançado Trindade:</w:t>
      </w:r>
      <w:r w:rsidRPr="002C1356">
        <w:rPr>
          <w:rStyle w:val="Refdenotaderodap"/>
          <w:rFonts w:ascii="Times New Roman" w:hAnsi="Times New Roman"/>
          <w:sz w:val="24"/>
          <w:szCs w:val="24"/>
        </w:rPr>
        <w:footnoteReference w:id="274"/>
      </w:r>
    </w:p>
    <w:p w14:paraId="2996EC9B" w14:textId="31EC6077" w:rsidR="003D7DAB" w:rsidRPr="002C1356" w:rsidRDefault="00A24AED" w:rsidP="00A931C3">
      <w:pPr>
        <w:pStyle w:val="Citao2"/>
        <w:ind w:firstLine="0"/>
        <w:rPr>
          <w:rFonts w:cs="Times New Roman"/>
        </w:rPr>
      </w:pPr>
      <w:r w:rsidRPr="002C1356">
        <w:rPr>
          <w:rFonts w:cs="Times New Roman"/>
        </w:rPr>
        <w:t xml:space="preserve"> </w:t>
      </w:r>
      <w:r w:rsidR="003D7DAB" w:rsidRPr="002C1356">
        <w:rPr>
          <w:rFonts w:cs="Times New Roman"/>
        </w:rPr>
        <w:t>(…) A centralidade das vítimas no universo conceitual do Direito Internacional dos Direitos Humanos, insuficientemente analisada pela doutrina jurídica contemporânea até o presente, é da maior relevância e acarreta consequências práticas. Na verdade, é da própria essência do Direito Internacional dos Direitos Humanos, porquanto é na proteção estendida às vítimas que este alcança sua plenitude.</w:t>
      </w:r>
    </w:p>
    <w:p w14:paraId="1DFFC6B6" w14:textId="77777777" w:rsidR="003D7DAB" w:rsidRPr="002C1356" w:rsidRDefault="003D7DAB" w:rsidP="003D7DAB">
      <w:pPr>
        <w:spacing w:after="0" w:line="360" w:lineRule="auto"/>
        <w:jc w:val="both"/>
        <w:rPr>
          <w:rFonts w:ascii="Times New Roman" w:hAnsi="Times New Roman"/>
          <w:i/>
          <w:sz w:val="24"/>
          <w:szCs w:val="24"/>
        </w:rPr>
      </w:pPr>
    </w:p>
    <w:p w14:paraId="7876E3C5" w14:textId="77777777" w:rsidR="003D7DAB" w:rsidRPr="002C1356" w:rsidRDefault="003D7DAB" w:rsidP="003D7DAB">
      <w:pPr>
        <w:spacing w:after="0" w:line="360" w:lineRule="auto"/>
        <w:jc w:val="both"/>
        <w:rPr>
          <w:rFonts w:ascii="Times New Roman" w:hAnsi="Times New Roman"/>
          <w:sz w:val="24"/>
          <w:szCs w:val="24"/>
        </w:rPr>
      </w:pPr>
      <w:r w:rsidRPr="002C1356">
        <w:rPr>
          <w:rFonts w:ascii="Times New Roman" w:hAnsi="Times New Roman"/>
          <w:i/>
          <w:sz w:val="24"/>
          <w:szCs w:val="24"/>
        </w:rPr>
        <w:tab/>
      </w:r>
      <w:r w:rsidRPr="002C1356">
        <w:rPr>
          <w:rFonts w:ascii="Times New Roman" w:hAnsi="Times New Roman"/>
          <w:sz w:val="24"/>
          <w:szCs w:val="24"/>
        </w:rPr>
        <w:t>A categorização como vítima alcança os próprios mecanismos de monitoramento dos tratados (como o da Convenção de discriminação Racial). A vitimização dos sujeitos de direito do DIDH esvazia a capacidade de ação política dessas pessoas.</w:t>
      </w:r>
    </w:p>
    <w:p w14:paraId="040CEA7D" w14:textId="77777777" w:rsidR="003D7DAB" w:rsidRPr="002C1356" w:rsidRDefault="003D7DAB" w:rsidP="003D7DAB">
      <w:pPr>
        <w:pStyle w:val="PargrafodaLista"/>
        <w:spacing w:after="0" w:line="360" w:lineRule="auto"/>
        <w:ind w:left="0" w:firstLine="708"/>
        <w:jc w:val="both"/>
        <w:rPr>
          <w:rFonts w:ascii="Times New Roman" w:hAnsi="Times New Roman"/>
          <w:sz w:val="24"/>
          <w:szCs w:val="24"/>
        </w:rPr>
      </w:pPr>
      <w:r w:rsidRPr="002C1356">
        <w:rPr>
          <w:rFonts w:ascii="Times New Roman" w:hAnsi="Times New Roman"/>
          <w:sz w:val="24"/>
          <w:szCs w:val="24"/>
        </w:rPr>
        <w:t>A fim de superar esse desafio urge pensar em formas de cooperação e diálogo constante entre o Direito Internacional dos Direitos Humanos e o Direito Cosmopolita. Lembro aqui as palavras de Kant</w:t>
      </w:r>
      <w:r w:rsidRPr="002C1356">
        <w:rPr>
          <w:rStyle w:val="Refdenotaderodap"/>
          <w:rFonts w:ascii="Times New Roman" w:hAnsi="Times New Roman"/>
          <w:sz w:val="24"/>
          <w:szCs w:val="24"/>
        </w:rPr>
        <w:footnoteReference w:id="275"/>
      </w:r>
      <w:r w:rsidRPr="002C1356">
        <w:rPr>
          <w:rFonts w:ascii="Times New Roman" w:hAnsi="Times New Roman"/>
          <w:sz w:val="24"/>
          <w:szCs w:val="24"/>
        </w:rPr>
        <w:t xml:space="preserve"> a propósito das características do Direito Cosmopolita: “(...) não é nenhuma representação fantástica e extravagante do direito, mas um complemento necessário de código não escrito, tanto do direito político como do direito das gentes, num direito público da humanidade em geral”.  </w:t>
      </w:r>
    </w:p>
    <w:p w14:paraId="7E8C82DD" w14:textId="77777777" w:rsidR="003D7DAB" w:rsidRDefault="003D7DAB" w:rsidP="00ED2EBF">
      <w:pPr>
        <w:pStyle w:val="PargrafodaLista"/>
        <w:spacing w:after="0" w:line="360" w:lineRule="auto"/>
        <w:ind w:left="0" w:firstLine="709"/>
        <w:jc w:val="both"/>
        <w:rPr>
          <w:rFonts w:ascii="Times New Roman" w:hAnsi="Times New Roman"/>
          <w:sz w:val="24"/>
          <w:szCs w:val="24"/>
        </w:rPr>
      </w:pPr>
      <w:r w:rsidRPr="002C1356">
        <w:rPr>
          <w:rFonts w:ascii="Times New Roman" w:hAnsi="Times New Roman"/>
          <w:sz w:val="24"/>
          <w:szCs w:val="24"/>
        </w:rPr>
        <w:t xml:space="preserve"> O Direito Cosmopolita é a dimensão adequada para o surgimento do Sujeito de Direitos Humanos, um verdadeiro cidadão cosmopolita, que, tomando a dignidade da pessoa humana como fundamento de sua ação, tenha como tarefa a reinvenção dos </w:t>
      </w:r>
      <w:r w:rsidRPr="002C1356">
        <w:rPr>
          <w:rFonts w:ascii="Times New Roman" w:hAnsi="Times New Roman"/>
          <w:sz w:val="24"/>
          <w:szCs w:val="24"/>
        </w:rPr>
        <w:lastRenderedPageBreak/>
        <w:t>direitos, a proposição de iniciativas, a reflexão e o pensamento e, por meio da ação política como agir conjunto, seja capaz de iluminar a afirmação de Hannah Arendt:</w:t>
      </w:r>
      <w:r w:rsidRPr="002C1356">
        <w:rPr>
          <w:rStyle w:val="Refdenotaderodap"/>
          <w:rFonts w:ascii="Times New Roman" w:hAnsi="Times New Roman"/>
          <w:sz w:val="24"/>
          <w:szCs w:val="24"/>
        </w:rPr>
        <w:footnoteReference w:id="276"/>
      </w:r>
      <w:r w:rsidRPr="002C1356">
        <w:rPr>
          <w:rFonts w:ascii="Times New Roman" w:hAnsi="Times New Roman"/>
          <w:sz w:val="24"/>
          <w:szCs w:val="24"/>
        </w:rPr>
        <w:t xml:space="preserve"> “(...) O homem pode perder todos os chamados Direitos do Homem sem perder sua qualidade essencial de homem, sua dignidade humana. Só a perda, da própria comunidade é que o expulsa da humanidade”.</w:t>
      </w:r>
    </w:p>
    <w:p w14:paraId="75D3236C" w14:textId="4002D401" w:rsidR="00204620" w:rsidRDefault="00204620">
      <w:pPr>
        <w:rPr>
          <w:rFonts w:ascii="Times New Roman" w:hAnsi="Times New Roman"/>
          <w:sz w:val="24"/>
          <w:szCs w:val="24"/>
        </w:rPr>
      </w:pPr>
      <w:r>
        <w:rPr>
          <w:rFonts w:ascii="Times New Roman" w:hAnsi="Times New Roman"/>
          <w:sz w:val="24"/>
          <w:szCs w:val="24"/>
        </w:rPr>
        <w:br w:type="page"/>
      </w:r>
    </w:p>
    <w:p w14:paraId="62254994" w14:textId="103C12D7" w:rsidR="00204620" w:rsidRPr="00D45BEE" w:rsidRDefault="00D45BEE" w:rsidP="00A24AED">
      <w:pPr>
        <w:spacing w:line="360" w:lineRule="auto"/>
        <w:contextualSpacing/>
        <w:rPr>
          <w:rFonts w:ascii="Times New Roman" w:hAnsi="Times New Roman"/>
          <w:b/>
          <w:caps/>
          <w:sz w:val="24"/>
          <w:szCs w:val="24"/>
          <w:lang w:val="en-US"/>
        </w:rPr>
      </w:pPr>
      <w:r w:rsidRPr="00D45BEE">
        <w:rPr>
          <w:rFonts w:ascii="Times New Roman" w:hAnsi="Times New Roman"/>
          <w:b/>
          <w:caps/>
          <w:sz w:val="24"/>
          <w:szCs w:val="24"/>
          <w:lang w:val="en-US"/>
        </w:rPr>
        <w:lastRenderedPageBreak/>
        <w:t>Bibliografia</w:t>
      </w:r>
    </w:p>
    <w:p w14:paraId="4B8493CC" w14:textId="77777777" w:rsidR="00204620" w:rsidRPr="00EA7770" w:rsidRDefault="00204620" w:rsidP="00EA7770">
      <w:pPr>
        <w:spacing w:line="360" w:lineRule="auto"/>
        <w:contextualSpacing/>
        <w:rPr>
          <w:rFonts w:ascii="Times New Roman" w:hAnsi="Times New Roman"/>
          <w:sz w:val="24"/>
          <w:szCs w:val="24"/>
          <w:lang w:val="en-US"/>
        </w:rPr>
      </w:pPr>
    </w:p>
    <w:p w14:paraId="4F2CA132" w14:textId="2EA687A0" w:rsidR="00D11E5C" w:rsidRPr="00EA7770" w:rsidRDefault="00D11E5C" w:rsidP="009D7E8B">
      <w:pPr>
        <w:spacing w:line="360" w:lineRule="auto"/>
        <w:contextualSpacing/>
        <w:rPr>
          <w:rFonts w:ascii="Times New Roman" w:hAnsi="Times New Roman"/>
          <w:sz w:val="24"/>
          <w:szCs w:val="24"/>
        </w:rPr>
      </w:pPr>
      <w:r w:rsidRPr="00EA7770">
        <w:rPr>
          <w:rFonts w:ascii="Times New Roman" w:hAnsi="Times New Roman"/>
          <w:sz w:val="24"/>
          <w:szCs w:val="24"/>
          <w:lang w:val="en-US"/>
        </w:rPr>
        <w:t xml:space="preserve">ABBOT H. Porter. </w:t>
      </w:r>
      <w:r w:rsidRPr="00EA7770">
        <w:rPr>
          <w:rFonts w:ascii="Times New Roman" w:hAnsi="Times New Roman"/>
          <w:i/>
          <w:sz w:val="24"/>
          <w:szCs w:val="24"/>
          <w:lang w:val="en-US"/>
        </w:rPr>
        <w:t xml:space="preserve">The Cambridge Introduction to Narrative. </w:t>
      </w:r>
      <w:r w:rsidRPr="00EA7770">
        <w:rPr>
          <w:rFonts w:ascii="Times New Roman" w:hAnsi="Times New Roman"/>
          <w:sz w:val="24"/>
          <w:szCs w:val="24"/>
        </w:rPr>
        <w:t>Cambridge: Cambridge University Press, 2008 [edição Kindle].</w:t>
      </w:r>
    </w:p>
    <w:p w14:paraId="2C020691" w14:textId="77512DBA" w:rsidR="00D11E5C" w:rsidRPr="00EA7770" w:rsidRDefault="00D11E5C"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ALMEIDA, Guilherme Assis de. </w:t>
      </w:r>
      <w:r w:rsidRPr="00EA7770">
        <w:rPr>
          <w:rFonts w:ascii="Times New Roman" w:hAnsi="Times New Roman"/>
          <w:i/>
          <w:sz w:val="24"/>
          <w:szCs w:val="24"/>
        </w:rPr>
        <w:t xml:space="preserve">Direitos Humanos e Não Violência. </w:t>
      </w:r>
      <w:r w:rsidRPr="00EA7770">
        <w:rPr>
          <w:rFonts w:ascii="Times New Roman" w:hAnsi="Times New Roman"/>
          <w:sz w:val="24"/>
          <w:szCs w:val="24"/>
        </w:rPr>
        <w:t>São Paulo: Editora Atlas, 2001.</w:t>
      </w:r>
    </w:p>
    <w:p w14:paraId="64C2C669" w14:textId="74CD2435" w:rsidR="00D11E5C" w:rsidRPr="00EA7770" w:rsidRDefault="00D11E5C"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____________________________ e PINHEIRO, Paulo Sérgio. </w:t>
      </w:r>
      <w:r w:rsidRPr="00EA7770">
        <w:rPr>
          <w:rFonts w:ascii="Times New Roman" w:hAnsi="Times New Roman"/>
          <w:i/>
          <w:sz w:val="24"/>
          <w:szCs w:val="24"/>
        </w:rPr>
        <w:t xml:space="preserve">Violência Urbana. </w:t>
      </w:r>
      <w:r w:rsidRPr="00EA7770">
        <w:rPr>
          <w:rFonts w:ascii="Times New Roman" w:hAnsi="Times New Roman"/>
          <w:sz w:val="24"/>
          <w:szCs w:val="24"/>
        </w:rPr>
        <w:t>São Paulo: Publifolha (Folha Explica nº 57), 2003.</w:t>
      </w:r>
    </w:p>
    <w:p w14:paraId="7CF2E861" w14:textId="2F137048" w:rsidR="00F76777" w:rsidRPr="00EA7770" w:rsidRDefault="00F76777"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ANDRADE ,José Henrique Fischel de. </w:t>
      </w:r>
      <w:r w:rsidRPr="00EA7770">
        <w:rPr>
          <w:rFonts w:ascii="Times New Roman" w:hAnsi="Times New Roman"/>
          <w:i/>
          <w:sz w:val="24"/>
          <w:szCs w:val="24"/>
        </w:rPr>
        <w:t>Direito Internacional dos Refugiados – Evolução histórica (1921-1952)</w:t>
      </w:r>
      <w:r w:rsidRPr="00EA7770">
        <w:rPr>
          <w:rFonts w:ascii="Times New Roman" w:hAnsi="Times New Roman"/>
          <w:sz w:val="24"/>
          <w:szCs w:val="24"/>
        </w:rPr>
        <w:t xml:space="preserve">. </w:t>
      </w:r>
      <w:r w:rsidR="00953F1C" w:rsidRPr="00EA7770">
        <w:rPr>
          <w:rFonts w:ascii="Times New Roman" w:hAnsi="Times New Roman"/>
          <w:sz w:val="24"/>
          <w:szCs w:val="24"/>
        </w:rPr>
        <w:t xml:space="preserve">Rio de Janeiro: Editora Renovar, </w:t>
      </w:r>
      <w:r w:rsidRPr="00EA7770">
        <w:rPr>
          <w:rFonts w:ascii="Times New Roman" w:hAnsi="Times New Roman"/>
          <w:sz w:val="24"/>
          <w:szCs w:val="24"/>
        </w:rPr>
        <w:t>1996</w:t>
      </w:r>
      <w:r w:rsidR="00953F1C" w:rsidRPr="00EA7770">
        <w:rPr>
          <w:rFonts w:ascii="Times New Roman" w:hAnsi="Times New Roman"/>
          <w:sz w:val="24"/>
          <w:szCs w:val="24"/>
        </w:rPr>
        <w:t>.</w:t>
      </w:r>
    </w:p>
    <w:p w14:paraId="152BA3F6" w14:textId="17C73B1F" w:rsidR="00F76777" w:rsidRPr="00EA7770" w:rsidRDefault="00F76777"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_______________________________ </w:t>
      </w:r>
      <w:r w:rsidRPr="00EA7770">
        <w:rPr>
          <w:rFonts w:ascii="Times New Roman" w:hAnsi="Times New Roman"/>
          <w:i/>
          <w:sz w:val="24"/>
          <w:szCs w:val="24"/>
        </w:rPr>
        <w:t>Política de Proteção a Refugiados da ONU sua gênese no período pós guerra (1946-1952)</w:t>
      </w:r>
      <w:r w:rsidR="00953F1C" w:rsidRPr="00EA7770">
        <w:rPr>
          <w:rFonts w:ascii="Times New Roman" w:hAnsi="Times New Roman"/>
          <w:i/>
          <w:sz w:val="24"/>
          <w:szCs w:val="24"/>
        </w:rPr>
        <w:t>.</w:t>
      </w:r>
      <w:r w:rsidRPr="00EA7770">
        <w:rPr>
          <w:rFonts w:ascii="Times New Roman" w:hAnsi="Times New Roman"/>
          <w:i/>
          <w:sz w:val="24"/>
          <w:szCs w:val="24"/>
        </w:rPr>
        <w:t xml:space="preserve"> </w:t>
      </w:r>
      <w:r w:rsidRPr="00EA7770">
        <w:rPr>
          <w:rFonts w:ascii="Times New Roman" w:hAnsi="Times New Roman"/>
          <w:sz w:val="24"/>
          <w:szCs w:val="24"/>
        </w:rPr>
        <w:t>Tese de Doutorado, UNB, 2006</w:t>
      </w:r>
      <w:r w:rsidR="00953F1C" w:rsidRPr="00EA7770">
        <w:rPr>
          <w:rFonts w:ascii="Times New Roman" w:hAnsi="Times New Roman"/>
          <w:sz w:val="24"/>
          <w:szCs w:val="24"/>
        </w:rPr>
        <w:t>.</w:t>
      </w:r>
    </w:p>
    <w:p w14:paraId="792F46C2" w14:textId="4D486F63" w:rsidR="00AA324E" w:rsidRPr="00EA7770" w:rsidRDefault="00AA324E"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APPIAH , Kwame Anthony. </w:t>
      </w:r>
      <w:r w:rsidRPr="00EA7770">
        <w:rPr>
          <w:rFonts w:ascii="Times New Roman" w:hAnsi="Times New Roman"/>
          <w:i/>
          <w:sz w:val="24"/>
          <w:szCs w:val="24"/>
        </w:rPr>
        <w:t>O Código de Honra:</w:t>
      </w:r>
      <w:r w:rsidRPr="00EA7770">
        <w:rPr>
          <w:rFonts w:ascii="Times New Roman" w:hAnsi="Times New Roman"/>
          <w:sz w:val="24"/>
          <w:szCs w:val="24"/>
        </w:rPr>
        <w:t xml:space="preserve"> Como ocorrem as Revoluções Morais. Tradução Denise Bottmann. S</w:t>
      </w:r>
      <w:r w:rsidR="0066647E" w:rsidRPr="00EA7770">
        <w:rPr>
          <w:rFonts w:ascii="Times New Roman" w:hAnsi="Times New Roman"/>
          <w:sz w:val="24"/>
          <w:szCs w:val="24"/>
        </w:rPr>
        <w:t>ão Paulo: Companhia das Letras, [2010]</w:t>
      </w:r>
      <w:r w:rsidRPr="00EA7770">
        <w:rPr>
          <w:rFonts w:ascii="Times New Roman" w:hAnsi="Times New Roman"/>
          <w:sz w:val="24"/>
          <w:szCs w:val="24"/>
        </w:rPr>
        <w:t xml:space="preserve"> 2012</w:t>
      </w:r>
      <w:r w:rsidR="0066647E" w:rsidRPr="00EA7770">
        <w:rPr>
          <w:rFonts w:ascii="Times New Roman" w:hAnsi="Times New Roman"/>
          <w:sz w:val="24"/>
          <w:szCs w:val="24"/>
        </w:rPr>
        <w:t>.</w:t>
      </w:r>
    </w:p>
    <w:p w14:paraId="31070B85" w14:textId="6EE61442" w:rsidR="00204620" w:rsidRPr="00EA7770" w:rsidRDefault="00204620"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lang w:val="en-US"/>
        </w:rPr>
        <w:t xml:space="preserve">ARENDT, Hannah. </w:t>
      </w:r>
      <w:r w:rsidR="00B05CCC" w:rsidRPr="00EA7770">
        <w:rPr>
          <w:rFonts w:ascii="Times New Roman" w:hAnsi="Times New Roman"/>
          <w:i/>
          <w:sz w:val="24"/>
          <w:szCs w:val="24"/>
        </w:rPr>
        <w:t>Nós, Refugiados.</w:t>
      </w:r>
      <w:r w:rsidR="00B05CCC" w:rsidRPr="00EA7770">
        <w:rPr>
          <w:rFonts w:ascii="Times New Roman" w:hAnsi="Times New Roman"/>
          <w:sz w:val="24"/>
          <w:szCs w:val="24"/>
        </w:rPr>
        <w:t xml:space="preserve"> In: Jerome Kohn e Ron H. Feldman (org.) </w:t>
      </w:r>
      <w:r w:rsidR="00B05CCC" w:rsidRPr="00EA7770">
        <w:rPr>
          <w:rFonts w:ascii="Times New Roman" w:hAnsi="Times New Roman"/>
          <w:i/>
          <w:sz w:val="24"/>
          <w:szCs w:val="24"/>
        </w:rPr>
        <w:t>Escritos Judaicos</w:t>
      </w:r>
      <w:r w:rsidR="00B05CCC" w:rsidRPr="00EA7770">
        <w:rPr>
          <w:rFonts w:ascii="Times New Roman" w:hAnsi="Times New Roman"/>
          <w:sz w:val="24"/>
          <w:szCs w:val="24"/>
        </w:rPr>
        <w:t>, tradução de Laura Degaspare Monte Mascaro, Luciana Garcia de Oliveira e Thiago Dias da Silva. Barueri: Editor</w:t>
      </w:r>
      <w:r w:rsidR="0066647E" w:rsidRPr="00EA7770">
        <w:rPr>
          <w:rFonts w:ascii="Times New Roman" w:hAnsi="Times New Roman"/>
          <w:sz w:val="24"/>
          <w:szCs w:val="24"/>
        </w:rPr>
        <w:t>a Manole 2016 [2007] pp. 477-92.</w:t>
      </w:r>
    </w:p>
    <w:p w14:paraId="39946F3E" w14:textId="0BA42C61"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________________ </w:t>
      </w:r>
      <w:r w:rsidRPr="00EA7770">
        <w:rPr>
          <w:rFonts w:ascii="Times New Roman" w:hAnsi="Times New Roman"/>
          <w:i/>
          <w:sz w:val="24"/>
          <w:szCs w:val="24"/>
        </w:rPr>
        <w:t>Origens do Totalitarismo</w:t>
      </w:r>
      <w:r w:rsidRPr="00EA7770">
        <w:rPr>
          <w:rFonts w:ascii="Times New Roman" w:hAnsi="Times New Roman"/>
          <w:sz w:val="24"/>
          <w:szCs w:val="24"/>
        </w:rPr>
        <w:t>. Tradução de Roberto Raposo. São Paulo: Companhia das Letras, [</w:t>
      </w:r>
      <w:r w:rsidR="00EC5C94" w:rsidRPr="00EA7770">
        <w:rPr>
          <w:rFonts w:ascii="Times New Roman" w:hAnsi="Times New Roman"/>
          <w:sz w:val="24"/>
          <w:szCs w:val="24"/>
        </w:rPr>
        <w:t>1949</w:t>
      </w:r>
      <w:r w:rsidRPr="00EA7770">
        <w:rPr>
          <w:rFonts w:ascii="Times New Roman" w:hAnsi="Times New Roman"/>
          <w:sz w:val="24"/>
          <w:szCs w:val="24"/>
        </w:rPr>
        <w:t xml:space="preserve">] </w:t>
      </w:r>
      <w:r w:rsidR="00EC5C94" w:rsidRPr="00EA7770">
        <w:rPr>
          <w:rFonts w:ascii="Times New Roman" w:hAnsi="Times New Roman"/>
          <w:sz w:val="24"/>
          <w:szCs w:val="24"/>
        </w:rPr>
        <w:t>19</w:t>
      </w:r>
      <w:r w:rsidRPr="00EA7770">
        <w:rPr>
          <w:rFonts w:ascii="Times New Roman" w:hAnsi="Times New Roman"/>
          <w:sz w:val="24"/>
          <w:szCs w:val="24"/>
        </w:rPr>
        <w:t>8</w:t>
      </w:r>
      <w:r w:rsidR="00EC5C94" w:rsidRPr="00EA7770">
        <w:rPr>
          <w:rFonts w:ascii="Times New Roman" w:hAnsi="Times New Roman"/>
          <w:sz w:val="24"/>
          <w:szCs w:val="24"/>
        </w:rPr>
        <w:t>9</w:t>
      </w:r>
      <w:r w:rsidRPr="00EA7770">
        <w:rPr>
          <w:rFonts w:ascii="Times New Roman" w:hAnsi="Times New Roman"/>
          <w:sz w:val="24"/>
          <w:szCs w:val="24"/>
        </w:rPr>
        <w:t>.</w:t>
      </w:r>
    </w:p>
    <w:p w14:paraId="54E2A026" w14:textId="7D6D7510"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_______________ </w:t>
      </w:r>
      <w:r w:rsidRPr="00EA7770">
        <w:rPr>
          <w:rFonts w:ascii="Times New Roman" w:hAnsi="Times New Roman"/>
          <w:i/>
          <w:sz w:val="24"/>
          <w:szCs w:val="24"/>
        </w:rPr>
        <w:t>Homens em Tempos Sombrios</w:t>
      </w:r>
      <w:r w:rsidRPr="00EA7770">
        <w:rPr>
          <w:rFonts w:ascii="Times New Roman" w:hAnsi="Times New Roman"/>
          <w:sz w:val="24"/>
          <w:szCs w:val="24"/>
        </w:rPr>
        <w:t>. Tradução de Denise Bottmann. São Paulo: Companhia das Letras, [1968] 2008.</w:t>
      </w:r>
    </w:p>
    <w:p w14:paraId="75644E37" w14:textId="631B0846" w:rsidR="00D11E5C" w:rsidRPr="00EA7770" w:rsidRDefault="006B7157"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ASSY, Bethania. </w:t>
      </w:r>
      <w:r w:rsidRPr="00EA7770">
        <w:rPr>
          <w:rFonts w:ascii="Times New Roman" w:hAnsi="Times New Roman"/>
          <w:i/>
          <w:sz w:val="24"/>
          <w:szCs w:val="24"/>
        </w:rPr>
        <w:t xml:space="preserve">Ética, Responsabilidade e Juízo em Hannah Arendt. </w:t>
      </w:r>
      <w:r w:rsidRPr="00EA7770">
        <w:rPr>
          <w:rFonts w:ascii="Times New Roman" w:hAnsi="Times New Roman"/>
          <w:sz w:val="24"/>
          <w:szCs w:val="24"/>
        </w:rPr>
        <w:t>São Paulo: Perspectiva, Instituto Norberto Bobbio, 2015</w:t>
      </w:r>
      <w:r w:rsidR="0066647E" w:rsidRPr="00EA7770">
        <w:rPr>
          <w:rFonts w:ascii="Times New Roman" w:hAnsi="Times New Roman"/>
          <w:sz w:val="24"/>
          <w:szCs w:val="24"/>
        </w:rPr>
        <w:t>.</w:t>
      </w:r>
    </w:p>
    <w:p w14:paraId="1526C413" w14:textId="1828DAE5"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BECKER, Jean-Jacques. </w:t>
      </w:r>
      <w:r w:rsidRPr="00EA7770">
        <w:rPr>
          <w:rFonts w:ascii="Times New Roman" w:hAnsi="Times New Roman"/>
          <w:i/>
          <w:sz w:val="24"/>
          <w:szCs w:val="24"/>
        </w:rPr>
        <w:t xml:space="preserve">O Tratado de Versalhes. </w:t>
      </w:r>
      <w:r w:rsidRPr="00EA7770">
        <w:rPr>
          <w:rFonts w:ascii="Times New Roman" w:hAnsi="Times New Roman"/>
          <w:sz w:val="24"/>
          <w:szCs w:val="24"/>
        </w:rPr>
        <w:t>Tradução Constancia Egrejas. São Paulo: Editora UNESP, [2002] 2011.</w:t>
      </w:r>
    </w:p>
    <w:p w14:paraId="726246A0" w14:textId="2B1E18BE" w:rsidR="00C30895" w:rsidRPr="00EA7770" w:rsidRDefault="00C30895"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BEGLEY, Louis </w:t>
      </w:r>
      <w:r w:rsidRPr="00EA7770">
        <w:rPr>
          <w:rFonts w:ascii="Times New Roman" w:hAnsi="Times New Roman"/>
          <w:i/>
          <w:sz w:val="24"/>
          <w:szCs w:val="24"/>
        </w:rPr>
        <w:t>O Caso Dreyfus: Ilha do Diabo, Guantánamo e o pesadelo da história</w:t>
      </w:r>
      <w:r w:rsidRPr="00EA7770">
        <w:rPr>
          <w:rFonts w:ascii="Times New Roman" w:hAnsi="Times New Roman"/>
          <w:sz w:val="24"/>
          <w:szCs w:val="24"/>
        </w:rPr>
        <w:t>. São Paulo: Companhia das Letras, 2010</w:t>
      </w:r>
      <w:r w:rsidR="0066647E" w:rsidRPr="00EA7770">
        <w:rPr>
          <w:rFonts w:ascii="Times New Roman" w:hAnsi="Times New Roman"/>
          <w:sz w:val="24"/>
          <w:szCs w:val="24"/>
        </w:rPr>
        <w:t xml:space="preserve"> [2004]</w:t>
      </w:r>
      <w:r w:rsidRPr="00EA7770">
        <w:rPr>
          <w:rFonts w:ascii="Times New Roman" w:hAnsi="Times New Roman"/>
          <w:sz w:val="24"/>
          <w:szCs w:val="24"/>
        </w:rPr>
        <w:t>.</w:t>
      </w:r>
    </w:p>
    <w:p w14:paraId="7C848432" w14:textId="4D431CA9" w:rsidR="008E3218" w:rsidRPr="00EA7770" w:rsidRDefault="008E3218" w:rsidP="009D7E8B">
      <w:pPr>
        <w:spacing w:line="360" w:lineRule="auto"/>
        <w:contextualSpacing/>
        <w:rPr>
          <w:rFonts w:ascii="Times New Roman" w:hAnsi="Times New Roman"/>
          <w:sz w:val="24"/>
          <w:szCs w:val="24"/>
        </w:rPr>
      </w:pPr>
      <w:r w:rsidRPr="00EA7770">
        <w:rPr>
          <w:rFonts w:ascii="Times New Roman" w:hAnsi="Times New Roman"/>
          <w:sz w:val="24"/>
          <w:szCs w:val="24"/>
        </w:rPr>
        <w:t>BENTWICH, N. “L’Origine et l`Histoire du Système des Mandats Internationaux”</w:t>
      </w:r>
      <w:r w:rsidRPr="00EA7770">
        <w:rPr>
          <w:rFonts w:ascii="Times New Roman" w:hAnsi="Times New Roman"/>
          <w:i/>
          <w:sz w:val="24"/>
          <w:szCs w:val="24"/>
        </w:rPr>
        <w:t xml:space="preserve"> RCADI</w:t>
      </w:r>
      <w:r w:rsidRPr="00EA7770">
        <w:rPr>
          <w:rFonts w:ascii="Times New Roman" w:hAnsi="Times New Roman"/>
          <w:sz w:val="24"/>
          <w:szCs w:val="24"/>
        </w:rPr>
        <w:t>, 1929 IV Tome 29, p. 121-32</w:t>
      </w:r>
      <w:r w:rsidRPr="00A931C3">
        <w:rPr>
          <w:rFonts w:ascii="Times New Roman" w:hAnsi="Times New Roman"/>
          <w:sz w:val="24"/>
        </w:rPr>
        <w:t>.</w:t>
      </w:r>
    </w:p>
    <w:p w14:paraId="102EE902" w14:textId="728777AF" w:rsidR="00CD5839" w:rsidRPr="00EA7770" w:rsidRDefault="00CD5839" w:rsidP="009D7E8B">
      <w:pPr>
        <w:spacing w:line="360" w:lineRule="auto"/>
        <w:contextualSpacing/>
        <w:rPr>
          <w:rFonts w:ascii="TimesNewRomanPSMT" w:hAnsi="TimesNewRomanPSMT" w:cs="TimesNewRomanPSMT"/>
          <w:sz w:val="24"/>
          <w:szCs w:val="24"/>
        </w:rPr>
      </w:pPr>
      <w:r w:rsidRPr="00EA7770">
        <w:rPr>
          <w:rFonts w:ascii="TimesNewRomanPSMT" w:hAnsi="TimesNewRomanPSMT" w:cs="TimesNewRomanPSMT"/>
          <w:sz w:val="24"/>
          <w:szCs w:val="24"/>
          <w:lang w:val="en-US"/>
        </w:rPr>
        <w:t xml:space="preserve">BERNSTEIN J., Richard </w:t>
      </w:r>
      <w:r w:rsidRPr="00EA7770">
        <w:rPr>
          <w:rFonts w:ascii="TimesNewRomanPSMT" w:hAnsi="TimesNewRomanPSMT" w:cs="TimesNewRomanPSMT"/>
          <w:i/>
          <w:sz w:val="24"/>
          <w:szCs w:val="24"/>
          <w:lang w:val="en-US"/>
        </w:rPr>
        <w:t xml:space="preserve">The Pragmatic Turn. </w:t>
      </w:r>
      <w:r w:rsidRPr="00EA7770">
        <w:rPr>
          <w:rFonts w:ascii="TimesNewRomanPSMT" w:hAnsi="TimesNewRomanPSMT" w:cs="TimesNewRomanPSMT"/>
          <w:sz w:val="24"/>
          <w:szCs w:val="24"/>
        </w:rPr>
        <w:t>Cambridge (UK): Polity Press, 2010.</w:t>
      </w:r>
    </w:p>
    <w:p w14:paraId="52075BF9" w14:textId="386EED5D" w:rsidR="00C30895" w:rsidRPr="00EA7770" w:rsidRDefault="00C30895"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BIRNBAUM, </w:t>
      </w:r>
      <w:r w:rsidR="0053398B" w:rsidRPr="00EA7770">
        <w:rPr>
          <w:rFonts w:ascii="Times New Roman" w:hAnsi="Times New Roman"/>
          <w:sz w:val="24"/>
          <w:szCs w:val="24"/>
        </w:rPr>
        <w:t xml:space="preserve">Pierre </w:t>
      </w:r>
      <w:r w:rsidRPr="00EA7770">
        <w:rPr>
          <w:rFonts w:ascii="Times New Roman" w:hAnsi="Times New Roman"/>
          <w:i/>
          <w:sz w:val="24"/>
          <w:szCs w:val="24"/>
        </w:rPr>
        <w:t xml:space="preserve">L’Affaire Dreyfus”. </w:t>
      </w:r>
      <w:r w:rsidRPr="00EA7770">
        <w:rPr>
          <w:rFonts w:ascii="Times New Roman" w:hAnsi="Times New Roman"/>
          <w:sz w:val="24"/>
          <w:szCs w:val="24"/>
        </w:rPr>
        <w:t>La République em Péril Paris: Gallimard (Découvertes), 1994</w:t>
      </w:r>
      <w:r w:rsidR="0053398B" w:rsidRPr="00EA7770">
        <w:rPr>
          <w:rFonts w:ascii="Times New Roman" w:hAnsi="Times New Roman"/>
          <w:sz w:val="24"/>
          <w:szCs w:val="24"/>
        </w:rPr>
        <w:t>.</w:t>
      </w:r>
    </w:p>
    <w:p w14:paraId="0B3CC075" w14:textId="70DA6E11" w:rsidR="00204620" w:rsidRPr="00EA7770" w:rsidRDefault="00204620" w:rsidP="009D7E8B">
      <w:pPr>
        <w:spacing w:line="360" w:lineRule="auto"/>
        <w:contextualSpacing/>
        <w:rPr>
          <w:rFonts w:ascii="Times New Roman" w:hAnsi="Times New Roman"/>
          <w:sz w:val="24"/>
          <w:szCs w:val="24"/>
        </w:rPr>
      </w:pPr>
      <w:r w:rsidRPr="00EA7770">
        <w:rPr>
          <w:rStyle w:val="apple-style-span"/>
          <w:rFonts w:ascii="Times New Roman" w:hAnsi="Times New Roman"/>
          <w:color w:val="000000"/>
          <w:sz w:val="24"/>
          <w:szCs w:val="24"/>
        </w:rPr>
        <w:t xml:space="preserve">BOBBIO, Norberto. </w:t>
      </w:r>
      <w:r w:rsidRPr="00EA7770">
        <w:rPr>
          <w:rStyle w:val="apple-style-span"/>
          <w:rFonts w:ascii="Times New Roman" w:hAnsi="Times New Roman"/>
          <w:i/>
          <w:color w:val="000000"/>
          <w:sz w:val="24"/>
          <w:szCs w:val="24"/>
        </w:rPr>
        <w:t>A Era dos Direitos.</w:t>
      </w:r>
      <w:r w:rsidRPr="00EA7770">
        <w:rPr>
          <w:rStyle w:val="apple-style-span"/>
          <w:rFonts w:ascii="Times New Roman" w:hAnsi="Times New Roman"/>
          <w:color w:val="000000"/>
          <w:sz w:val="24"/>
          <w:szCs w:val="24"/>
        </w:rPr>
        <w:t xml:space="preserve"> Tradução Carlos Nelson Coutinho. Rio de Janeiro: Campus, 1992.</w:t>
      </w:r>
    </w:p>
    <w:p w14:paraId="34AFFAC8" w14:textId="10BF0B1F"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lastRenderedPageBreak/>
        <w:t xml:space="preserve">_______________ </w:t>
      </w:r>
      <w:r w:rsidRPr="00EA7770">
        <w:rPr>
          <w:rFonts w:ascii="Times New Roman" w:hAnsi="Times New Roman"/>
          <w:i/>
          <w:sz w:val="24"/>
          <w:szCs w:val="24"/>
        </w:rPr>
        <w:t>O Problema da Guerra e as Vias da Paz</w:t>
      </w:r>
      <w:r w:rsidRPr="00EA7770">
        <w:rPr>
          <w:rFonts w:ascii="Times New Roman" w:hAnsi="Times New Roman"/>
          <w:sz w:val="24"/>
          <w:szCs w:val="24"/>
        </w:rPr>
        <w:t xml:space="preserve">. Tradução Álvaro Lorencini. São Paulo: Editora UNESP, 2003. </w:t>
      </w:r>
    </w:p>
    <w:p w14:paraId="5E349FEC" w14:textId="0C1A69B9"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 </w:t>
      </w:r>
      <w:r w:rsidRPr="00EA7770">
        <w:rPr>
          <w:rFonts w:ascii="Times New Roman" w:hAnsi="Times New Roman"/>
          <w:sz w:val="24"/>
          <w:szCs w:val="24"/>
          <w:lang w:val="en-US"/>
        </w:rPr>
        <w:t>“</w:t>
      </w:r>
      <w:r w:rsidRPr="00EA7770">
        <w:rPr>
          <w:rFonts w:ascii="Times New Roman" w:hAnsi="Times New Roman"/>
          <w:sz w:val="24"/>
          <w:szCs w:val="24"/>
        </w:rPr>
        <w:t>Terceiro Ausente</w:t>
      </w:r>
      <w:r w:rsidRPr="00EA7770">
        <w:rPr>
          <w:rFonts w:ascii="Times New Roman" w:hAnsi="Times New Roman"/>
          <w:sz w:val="24"/>
          <w:szCs w:val="24"/>
          <w:lang w:val="en-US"/>
        </w:rPr>
        <w:t>”</w:t>
      </w:r>
      <w:r w:rsidRPr="00EA7770">
        <w:rPr>
          <w:rFonts w:ascii="Times New Roman" w:hAnsi="Times New Roman"/>
          <w:i/>
          <w:sz w:val="24"/>
          <w:szCs w:val="24"/>
        </w:rPr>
        <w:t>.</w:t>
      </w:r>
      <w:r w:rsidRPr="00EA7770">
        <w:rPr>
          <w:rFonts w:ascii="Times New Roman" w:hAnsi="Times New Roman"/>
          <w:sz w:val="24"/>
          <w:szCs w:val="24"/>
        </w:rPr>
        <w:t xml:space="preserve"> </w:t>
      </w:r>
      <w:r w:rsidRPr="00EA7770">
        <w:rPr>
          <w:rFonts w:ascii="Times New Roman" w:hAnsi="Times New Roman"/>
          <w:i/>
          <w:sz w:val="24"/>
          <w:szCs w:val="24"/>
        </w:rPr>
        <w:t>Ensaios e Discursos sobre a Paz e a Guerra</w:t>
      </w:r>
      <w:r w:rsidRPr="00EA7770">
        <w:rPr>
          <w:rFonts w:ascii="Times New Roman" w:hAnsi="Times New Roman"/>
          <w:sz w:val="24"/>
          <w:szCs w:val="24"/>
        </w:rPr>
        <w:t>. São Paulo: Editora Manole e Centro de Estudos Norberto Bobbio, [</w:t>
      </w:r>
      <w:r w:rsidR="00A20E3F" w:rsidRPr="00EA7770">
        <w:rPr>
          <w:rFonts w:ascii="Times New Roman" w:hAnsi="Times New Roman"/>
          <w:sz w:val="24"/>
          <w:szCs w:val="24"/>
        </w:rPr>
        <w:t>1989</w:t>
      </w:r>
      <w:r w:rsidRPr="00EA7770">
        <w:rPr>
          <w:rFonts w:ascii="Times New Roman" w:hAnsi="Times New Roman"/>
          <w:sz w:val="24"/>
          <w:szCs w:val="24"/>
        </w:rPr>
        <w:t xml:space="preserve">] 2009. </w:t>
      </w:r>
    </w:p>
    <w:p w14:paraId="7EFF4EC9" w14:textId="52503F07" w:rsidR="00D2186E" w:rsidRPr="00EA7770" w:rsidRDefault="00D2186E"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BUGNION , François. “Birth of an idea: the founding of the International Committee of the Red Cross and of the International Red Cross and Red Crescent Movement: from Solferino to the original Geneva Convention (1859-1864)”. In; </w:t>
      </w:r>
      <w:r w:rsidRPr="00EA7770">
        <w:rPr>
          <w:rFonts w:ascii="Times New Roman" w:hAnsi="Times New Roman"/>
          <w:i/>
          <w:sz w:val="24"/>
          <w:szCs w:val="24"/>
        </w:rPr>
        <w:t xml:space="preserve">Interantional Review of the Red Cross Humanitarian Debate: Law, Policy, Action. </w:t>
      </w:r>
      <w:r w:rsidRPr="00EA7770">
        <w:rPr>
          <w:rFonts w:ascii="Times New Roman" w:hAnsi="Times New Roman"/>
          <w:sz w:val="24"/>
          <w:szCs w:val="24"/>
        </w:rPr>
        <w:t xml:space="preserve">vol. 94, nº 888, winter 2012 special number ICRC: 150 Years of </w:t>
      </w:r>
      <w:r w:rsidR="0066647E" w:rsidRPr="00EA7770">
        <w:rPr>
          <w:rFonts w:ascii="Times New Roman" w:hAnsi="Times New Roman"/>
          <w:sz w:val="24"/>
          <w:szCs w:val="24"/>
        </w:rPr>
        <w:t xml:space="preserve">Humanitarian Action, </w:t>
      </w:r>
      <w:r w:rsidR="00677ADF" w:rsidRPr="00EA7770">
        <w:rPr>
          <w:rFonts w:ascii="Times New Roman" w:hAnsi="Times New Roman"/>
          <w:sz w:val="24"/>
          <w:szCs w:val="24"/>
        </w:rPr>
        <w:t>p</w:t>
      </w:r>
      <w:r w:rsidR="0066647E" w:rsidRPr="00EA7770">
        <w:rPr>
          <w:rFonts w:ascii="Times New Roman" w:hAnsi="Times New Roman"/>
          <w:sz w:val="24"/>
          <w:szCs w:val="24"/>
        </w:rPr>
        <w:t>p. 1299-338.</w:t>
      </w:r>
    </w:p>
    <w:p w14:paraId="1223EEA0" w14:textId="646968DF" w:rsidR="00A20E3F" w:rsidRPr="00EA7770" w:rsidRDefault="00A20E3F"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BURGERS, Jan Herman “The Road to San Francisco: The Revival of the Human Rights Idea in the Twentieth Century”. In: </w:t>
      </w:r>
      <w:r w:rsidRPr="00EA7770">
        <w:rPr>
          <w:rFonts w:ascii="Times New Roman" w:hAnsi="Times New Roman"/>
          <w:i/>
          <w:sz w:val="24"/>
          <w:szCs w:val="24"/>
        </w:rPr>
        <w:t xml:space="preserve">Human Rights Quaterly </w:t>
      </w:r>
      <w:r w:rsidRPr="00EA7770">
        <w:rPr>
          <w:rFonts w:ascii="Times New Roman" w:hAnsi="Times New Roman"/>
          <w:sz w:val="24"/>
          <w:szCs w:val="24"/>
        </w:rPr>
        <w:t>(HRQ) vol.</w:t>
      </w:r>
      <w:r w:rsidR="00EA7770" w:rsidRPr="00EA7770">
        <w:rPr>
          <w:rFonts w:ascii="Times New Roman" w:hAnsi="Times New Roman"/>
          <w:sz w:val="24"/>
          <w:szCs w:val="24"/>
        </w:rPr>
        <w:t xml:space="preserve"> </w:t>
      </w:r>
      <w:r w:rsidRPr="00EA7770">
        <w:rPr>
          <w:rFonts w:ascii="Times New Roman" w:hAnsi="Times New Roman"/>
          <w:sz w:val="24"/>
          <w:szCs w:val="24"/>
        </w:rPr>
        <w:t>14, nº 4 (nov. 1992), pp. 447-77</w:t>
      </w:r>
      <w:r w:rsidR="0066647E" w:rsidRPr="00EA7770">
        <w:rPr>
          <w:rFonts w:ascii="Times New Roman" w:hAnsi="Times New Roman"/>
          <w:sz w:val="24"/>
          <w:szCs w:val="24"/>
        </w:rPr>
        <w:t>.</w:t>
      </w:r>
    </w:p>
    <w:p w14:paraId="078F3E28" w14:textId="6B8ECB07" w:rsidR="00AD7D01" w:rsidRPr="00EA7770" w:rsidRDefault="00AD7D01"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BURKE, Roland </w:t>
      </w:r>
      <w:r w:rsidRPr="00EA7770">
        <w:rPr>
          <w:rFonts w:ascii="Times New Roman" w:hAnsi="Times New Roman"/>
          <w:i/>
          <w:sz w:val="24"/>
          <w:szCs w:val="24"/>
        </w:rPr>
        <w:t xml:space="preserve">Decolonization and the Evolution of International Human Rights </w:t>
      </w:r>
      <w:r w:rsidRPr="00EA7770">
        <w:rPr>
          <w:rFonts w:ascii="Times New Roman" w:hAnsi="Times New Roman"/>
          <w:sz w:val="24"/>
          <w:szCs w:val="24"/>
        </w:rPr>
        <w:t>(Pennsylvania Studies in Human Rights). Philadelphia: Univers</w:t>
      </w:r>
      <w:r w:rsidR="0066647E" w:rsidRPr="00EA7770">
        <w:rPr>
          <w:rFonts w:ascii="Times New Roman" w:hAnsi="Times New Roman"/>
          <w:sz w:val="24"/>
          <w:szCs w:val="24"/>
        </w:rPr>
        <w:t>ity of Pennsylvania Press, 2010.</w:t>
      </w:r>
    </w:p>
    <w:p w14:paraId="150A24F8" w14:textId="600FC36D" w:rsidR="00F76777" w:rsidRPr="00EA7770" w:rsidRDefault="00F76777" w:rsidP="009D7E8B">
      <w:pPr>
        <w:spacing w:line="360" w:lineRule="auto"/>
        <w:contextualSpacing/>
        <w:rPr>
          <w:sz w:val="24"/>
          <w:szCs w:val="24"/>
        </w:rPr>
      </w:pPr>
      <w:r w:rsidRPr="00EA7770">
        <w:rPr>
          <w:rFonts w:ascii="Times New Roman" w:hAnsi="Times New Roman"/>
          <w:sz w:val="24"/>
          <w:szCs w:val="24"/>
        </w:rPr>
        <w:t xml:space="preserve">BURUMA, Ian. </w:t>
      </w:r>
      <w:r w:rsidRPr="00EA7770">
        <w:rPr>
          <w:rFonts w:ascii="Times New Roman" w:hAnsi="Times New Roman"/>
          <w:i/>
          <w:sz w:val="24"/>
          <w:szCs w:val="24"/>
        </w:rPr>
        <w:t xml:space="preserve">Ano Zero – Uma história de 1945, </w:t>
      </w:r>
      <w:r w:rsidRPr="00EA7770">
        <w:rPr>
          <w:rFonts w:ascii="Times New Roman" w:hAnsi="Times New Roman"/>
          <w:sz w:val="24"/>
          <w:szCs w:val="24"/>
        </w:rPr>
        <w:t>tradução Paul Geiger. São Paulo: Companhia das Letras, 2015 [2013]</w:t>
      </w:r>
      <w:r w:rsidR="0066647E" w:rsidRPr="00EA7770">
        <w:rPr>
          <w:rFonts w:ascii="Times New Roman" w:hAnsi="Times New Roman"/>
          <w:sz w:val="24"/>
          <w:szCs w:val="24"/>
        </w:rPr>
        <w:t>.</w:t>
      </w:r>
    </w:p>
    <w:p w14:paraId="1840FB78" w14:textId="01FFA7D4" w:rsidR="006B7157" w:rsidRPr="00EA7770" w:rsidRDefault="006B7157"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CALVO, Charles.</w:t>
      </w:r>
      <w:r w:rsidRPr="00EA7770">
        <w:rPr>
          <w:rFonts w:ascii="Times New Roman" w:hAnsi="Times New Roman"/>
          <w:i/>
          <w:sz w:val="24"/>
          <w:szCs w:val="24"/>
        </w:rPr>
        <w:t xml:space="preserve"> Dictionnaire de Droit International Public et Privé (1885) Tome I-II </w:t>
      </w:r>
      <w:hyperlink r:id="rId9" w:history="1">
        <w:r w:rsidRPr="00EA7770">
          <w:rPr>
            <w:rStyle w:val="Hyperlink"/>
            <w:rFonts w:ascii="Times New Roman" w:hAnsi="Times New Roman"/>
            <w:sz w:val="24"/>
            <w:szCs w:val="24"/>
          </w:rPr>
          <w:t>http://cataloguebnf.fr/ark:/12148/bpt6k5432857z</w:t>
        </w:r>
      </w:hyperlink>
      <w:r w:rsidR="0066647E" w:rsidRPr="00EA7770">
        <w:rPr>
          <w:rFonts w:ascii="Times New Roman" w:hAnsi="Times New Roman"/>
          <w:sz w:val="24"/>
          <w:szCs w:val="24"/>
        </w:rPr>
        <w:t xml:space="preserve"> Tome II p. </w:t>
      </w:r>
      <w:r w:rsidRPr="00EA7770">
        <w:rPr>
          <w:rFonts w:ascii="Times New Roman" w:hAnsi="Times New Roman"/>
          <w:sz w:val="24"/>
          <w:szCs w:val="24"/>
        </w:rPr>
        <w:t>2</w:t>
      </w:r>
      <w:r w:rsidR="0066647E" w:rsidRPr="00EA7770">
        <w:rPr>
          <w:rFonts w:ascii="Times New Roman" w:hAnsi="Times New Roman"/>
          <w:sz w:val="24"/>
          <w:szCs w:val="24"/>
        </w:rPr>
        <w:t>.</w:t>
      </w:r>
      <w:r w:rsidRPr="00EA7770">
        <w:rPr>
          <w:rFonts w:ascii="Times New Roman" w:hAnsi="Times New Roman"/>
          <w:sz w:val="24"/>
          <w:szCs w:val="24"/>
        </w:rPr>
        <w:t xml:space="preserve"> </w:t>
      </w:r>
      <w:r w:rsidR="0066647E" w:rsidRPr="00EA7770">
        <w:rPr>
          <w:rFonts w:ascii="Times New Roman" w:hAnsi="Times New Roman"/>
          <w:sz w:val="24"/>
          <w:szCs w:val="24"/>
        </w:rPr>
        <w:t>A</w:t>
      </w:r>
      <w:r w:rsidRPr="00EA7770">
        <w:rPr>
          <w:rFonts w:ascii="Times New Roman" w:hAnsi="Times New Roman"/>
          <w:sz w:val="24"/>
          <w:szCs w:val="24"/>
        </w:rPr>
        <w:t xml:space="preserve">cesso </w:t>
      </w:r>
      <w:r w:rsidR="00C13EE1" w:rsidRPr="00EA7770">
        <w:rPr>
          <w:rFonts w:ascii="Times New Roman" w:hAnsi="Times New Roman"/>
          <w:sz w:val="24"/>
          <w:szCs w:val="24"/>
        </w:rPr>
        <w:t>em</w:t>
      </w:r>
      <w:r w:rsidR="0066647E" w:rsidRPr="00EA7770">
        <w:rPr>
          <w:rFonts w:ascii="Times New Roman" w:hAnsi="Times New Roman"/>
          <w:sz w:val="24"/>
          <w:szCs w:val="24"/>
        </w:rPr>
        <w:t>:</w:t>
      </w:r>
      <w:r w:rsidR="00C13EE1" w:rsidRPr="00EA7770">
        <w:rPr>
          <w:rFonts w:ascii="Times New Roman" w:hAnsi="Times New Roman"/>
          <w:sz w:val="24"/>
          <w:szCs w:val="24"/>
        </w:rPr>
        <w:t xml:space="preserve"> 12 </w:t>
      </w:r>
      <w:r w:rsidR="0066647E" w:rsidRPr="00EA7770">
        <w:rPr>
          <w:rFonts w:ascii="Times New Roman" w:hAnsi="Times New Roman"/>
          <w:sz w:val="24"/>
          <w:szCs w:val="24"/>
        </w:rPr>
        <w:t xml:space="preserve">ago </w:t>
      </w:r>
      <w:r w:rsidR="00C13EE1" w:rsidRPr="00EA7770">
        <w:rPr>
          <w:rFonts w:ascii="Times New Roman" w:hAnsi="Times New Roman"/>
          <w:sz w:val="24"/>
          <w:szCs w:val="24"/>
        </w:rPr>
        <w:t>2017.</w:t>
      </w:r>
    </w:p>
    <w:p w14:paraId="3527A584" w14:textId="38D47D56" w:rsidR="00C13EE1" w:rsidRPr="00A931C3" w:rsidRDefault="00C13EE1" w:rsidP="009D7E8B">
      <w:pPr>
        <w:spacing w:line="360" w:lineRule="auto"/>
        <w:contextualSpacing/>
        <w:rPr>
          <w:rFonts w:ascii="Times New Roman" w:hAnsi="Times New Roman"/>
          <w:sz w:val="24"/>
        </w:rPr>
      </w:pPr>
      <w:r w:rsidRPr="00EA7770">
        <w:rPr>
          <w:rFonts w:ascii="Times New Roman" w:hAnsi="Times New Roman"/>
          <w:sz w:val="24"/>
          <w:szCs w:val="24"/>
          <w:lang w:val="fr-FR"/>
        </w:rPr>
        <w:t xml:space="preserve">CANÇADO TRINDADE, Antônio Augusto </w:t>
      </w:r>
      <w:r w:rsidRPr="00A931C3">
        <w:rPr>
          <w:rFonts w:ascii="Times New Roman" w:hAnsi="Times New Roman"/>
          <w:i/>
          <w:sz w:val="24"/>
        </w:rPr>
        <w:t>O Direito Internacional dos Direitos Humanos no limiar do Novo Século</w:t>
      </w:r>
      <w:r w:rsidRPr="00A931C3">
        <w:rPr>
          <w:rFonts w:ascii="Times New Roman" w:hAnsi="Times New Roman"/>
          <w:sz w:val="24"/>
        </w:rPr>
        <w:t>. In: Tratado de Direito Internacional dos Direitos Humanos (volume III), capítulo XX. Porto Alegre: Sergio Antonio Fabris Editor, 2003 p. 405-509</w:t>
      </w:r>
      <w:r w:rsidR="0066647E" w:rsidRPr="00EA7770">
        <w:rPr>
          <w:rFonts w:ascii="Times New Roman" w:hAnsi="Times New Roman"/>
          <w:sz w:val="24"/>
          <w:szCs w:val="24"/>
        </w:rPr>
        <w:t>.</w:t>
      </w:r>
    </w:p>
    <w:p w14:paraId="1F426430" w14:textId="47D61CAC" w:rsidR="009E3506" w:rsidRPr="00EA7770" w:rsidRDefault="009E3506" w:rsidP="009D7E8B">
      <w:pPr>
        <w:spacing w:line="360" w:lineRule="auto"/>
        <w:contextualSpacing/>
        <w:rPr>
          <w:sz w:val="24"/>
          <w:szCs w:val="24"/>
          <w:lang w:val="fr-FR"/>
        </w:rPr>
      </w:pPr>
      <w:r w:rsidRPr="00A931C3">
        <w:rPr>
          <w:rFonts w:ascii="Times New Roman" w:hAnsi="Times New Roman"/>
          <w:sz w:val="24"/>
        </w:rPr>
        <w:t xml:space="preserve">______________________________________ </w:t>
      </w:r>
      <w:r w:rsidRPr="00EA7770">
        <w:rPr>
          <w:rFonts w:ascii="Times New Roman" w:hAnsi="Times New Roman"/>
          <w:sz w:val="24"/>
          <w:szCs w:val="24"/>
        </w:rPr>
        <w:t xml:space="preserve">“Direito Internacional dos Direitos Humanos, Direito Internacional Humanitário, Direito Internacional dos Refugiados </w:t>
      </w:r>
      <w:r w:rsidRPr="00EA7770">
        <w:rPr>
          <w:rFonts w:ascii="Times New Roman" w:hAnsi="Times New Roman"/>
          <w:i/>
          <w:sz w:val="24"/>
          <w:szCs w:val="24"/>
        </w:rPr>
        <w:t xml:space="preserve">– </w:t>
      </w:r>
      <w:r w:rsidRPr="00EA7770">
        <w:rPr>
          <w:rFonts w:ascii="Times New Roman" w:hAnsi="Times New Roman"/>
          <w:sz w:val="24"/>
          <w:szCs w:val="24"/>
        </w:rPr>
        <w:t xml:space="preserve">Aproximações ou convergências”. In: </w:t>
      </w:r>
      <w:r w:rsidRPr="00EA7770">
        <w:rPr>
          <w:rFonts w:ascii="Times New Roman" w:hAnsi="Times New Roman"/>
          <w:i/>
          <w:sz w:val="24"/>
          <w:szCs w:val="24"/>
        </w:rPr>
        <w:t xml:space="preserve">As Três Vertentes da Proteção Internacional dos Direitos da Pessoa Humana – Direitos Humanos, Direito Humanitário, Direito dos Refugiados. </w:t>
      </w:r>
      <w:r w:rsidRPr="00EA7770">
        <w:rPr>
          <w:rFonts w:ascii="Times New Roman" w:hAnsi="Times New Roman"/>
          <w:sz w:val="24"/>
          <w:szCs w:val="24"/>
        </w:rPr>
        <w:t>San José: IIDH,1996, p. 29-85</w:t>
      </w:r>
      <w:r w:rsidR="0066647E" w:rsidRPr="00EA7770">
        <w:rPr>
          <w:rFonts w:ascii="Times New Roman" w:hAnsi="Times New Roman"/>
          <w:sz w:val="24"/>
          <w:szCs w:val="24"/>
        </w:rPr>
        <w:t>.</w:t>
      </w:r>
    </w:p>
    <w:p w14:paraId="23E815B3" w14:textId="014A8E80" w:rsidR="00204620" w:rsidRPr="00EA7770" w:rsidRDefault="00204620"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lang w:val="fr-FR"/>
        </w:rPr>
        <w:t xml:space="preserve">CARBASSE, Jean-Marie. </w:t>
      </w:r>
      <w:r w:rsidRPr="00EA7770">
        <w:rPr>
          <w:rFonts w:ascii="Times New Roman" w:hAnsi="Times New Roman"/>
          <w:i/>
          <w:sz w:val="24"/>
          <w:szCs w:val="24"/>
          <w:lang w:val="fr-FR"/>
        </w:rPr>
        <w:t xml:space="preserve">Histoire du Droit. </w:t>
      </w:r>
      <w:r w:rsidRPr="00EA7770">
        <w:rPr>
          <w:rFonts w:ascii="Times New Roman" w:hAnsi="Times New Roman"/>
          <w:sz w:val="24"/>
          <w:szCs w:val="24"/>
          <w:lang w:val="fr-FR"/>
        </w:rPr>
        <w:t>2</w:t>
      </w:r>
      <w:r w:rsidRPr="00EA7770">
        <w:rPr>
          <w:rFonts w:ascii="Times New Roman" w:hAnsi="Times New Roman"/>
          <w:sz w:val="24"/>
          <w:szCs w:val="24"/>
          <w:vertAlign w:val="superscript"/>
          <w:lang w:val="fr-FR"/>
        </w:rPr>
        <w:t>a</w:t>
      </w:r>
      <w:r w:rsidRPr="00EA7770">
        <w:rPr>
          <w:rFonts w:ascii="Times New Roman" w:hAnsi="Times New Roman"/>
          <w:sz w:val="24"/>
          <w:szCs w:val="24"/>
          <w:lang w:val="fr-FR"/>
        </w:rPr>
        <w:t xml:space="preserve"> edição corrigida.</w:t>
      </w:r>
      <w:r w:rsidRPr="00EA7770">
        <w:rPr>
          <w:rFonts w:ascii="Times New Roman" w:hAnsi="Times New Roman"/>
          <w:i/>
          <w:sz w:val="24"/>
          <w:szCs w:val="24"/>
          <w:lang w:val="fr-FR"/>
        </w:rPr>
        <w:t xml:space="preserve"> </w:t>
      </w:r>
      <w:r w:rsidRPr="00EA7770">
        <w:rPr>
          <w:rFonts w:ascii="Times New Roman" w:hAnsi="Times New Roman"/>
          <w:sz w:val="24"/>
          <w:szCs w:val="24"/>
          <w:lang w:val="fr-FR"/>
        </w:rPr>
        <w:t>Paris: PUF, 2010, Coleção “Que Sais Je?”.</w:t>
      </w:r>
    </w:p>
    <w:p w14:paraId="24496B64" w14:textId="7C16D637" w:rsidR="009E3506" w:rsidRPr="00EA7770" w:rsidRDefault="009E3506"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 xml:space="preserve">CARRILLO SALCEDO ,Juan Antonio. </w:t>
      </w:r>
      <w:r w:rsidRPr="00EA7770">
        <w:rPr>
          <w:rFonts w:ascii="Times New Roman" w:hAnsi="Times New Roman"/>
          <w:i/>
          <w:sz w:val="24"/>
          <w:szCs w:val="24"/>
        </w:rPr>
        <w:t xml:space="preserve">Derechos Humanos y Derecho Internacional </w:t>
      </w:r>
      <w:r w:rsidRPr="00EA7770">
        <w:rPr>
          <w:rFonts w:ascii="Times New Roman" w:hAnsi="Times New Roman"/>
          <w:sz w:val="24"/>
          <w:szCs w:val="24"/>
        </w:rPr>
        <w:t>Isegoría / 22 (2000) p</w:t>
      </w:r>
      <w:r w:rsidR="0066647E" w:rsidRPr="00EA7770">
        <w:rPr>
          <w:rFonts w:ascii="Times New Roman" w:hAnsi="Times New Roman"/>
          <w:sz w:val="24"/>
          <w:szCs w:val="24"/>
        </w:rPr>
        <w:t>p</w:t>
      </w:r>
      <w:r w:rsidRPr="00EA7770">
        <w:rPr>
          <w:rFonts w:ascii="Times New Roman" w:hAnsi="Times New Roman"/>
          <w:sz w:val="24"/>
          <w:szCs w:val="24"/>
        </w:rPr>
        <w:t>. 69-81</w:t>
      </w:r>
      <w:r w:rsidR="0066647E" w:rsidRPr="00EA7770">
        <w:rPr>
          <w:rFonts w:ascii="Times New Roman" w:hAnsi="Times New Roman"/>
          <w:sz w:val="24"/>
          <w:szCs w:val="24"/>
        </w:rPr>
        <w:t>.</w:t>
      </w:r>
    </w:p>
    <w:p w14:paraId="6A5C7787" w14:textId="3B69206A" w:rsidR="005C030A" w:rsidRPr="00EA7770" w:rsidRDefault="009E3506" w:rsidP="009D7E8B">
      <w:pPr>
        <w:spacing w:line="360" w:lineRule="auto"/>
        <w:contextualSpacing/>
        <w:rPr>
          <w:rFonts w:ascii="Times New Roman" w:hAnsi="Times New Roman"/>
          <w:color w:val="0D0D0D"/>
          <w:sz w:val="24"/>
          <w:szCs w:val="24"/>
          <w:lang w:val="fr-FR"/>
        </w:rPr>
      </w:pPr>
      <w:r w:rsidRPr="00EA7770">
        <w:rPr>
          <w:rFonts w:ascii="Times New Roman" w:hAnsi="Times New Roman"/>
          <w:i/>
          <w:sz w:val="24"/>
          <w:szCs w:val="24"/>
        </w:rPr>
        <w:t xml:space="preserve">________________________________ </w:t>
      </w:r>
      <w:r w:rsidR="005C030A" w:rsidRPr="00EA7770">
        <w:rPr>
          <w:rFonts w:ascii="Times New Roman" w:hAnsi="Times New Roman"/>
          <w:i/>
          <w:sz w:val="24"/>
          <w:szCs w:val="24"/>
        </w:rPr>
        <w:t xml:space="preserve">Soberanía de los estados y derechos humanos em derecho internacional contemporâneo. </w:t>
      </w:r>
      <w:r w:rsidR="005C030A" w:rsidRPr="00EA7770">
        <w:rPr>
          <w:rFonts w:ascii="Times New Roman" w:hAnsi="Times New Roman"/>
          <w:sz w:val="24"/>
          <w:szCs w:val="24"/>
        </w:rPr>
        <w:t>Madri: Tecnos, 2001</w:t>
      </w:r>
      <w:r w:rsidR="0066647E" w:rsidRPr="00EA7770">
        <w:rPr>
          <w:rFonts w:ascii="Times New Roman" w:hAnsi="Times New Roman"/>
          <w:sz w:val="24"/>
          <w:szCs w:val="24"/>
        </w:rPr>
        <w:t>.</w:t>
      </w:r>
    </w:p>
    <w:p w14:paraId="48504801" w14:textId="5ABC3294" w:rsidR="00C13EE1" w:rsidRPr="00EA7770" w:rsidRDefault="00C13EE1" w:rsidP="009D7E8B">
      <w:pPr>
        <w:spacing w:line="360" w:lineRule="auto"/>
        <w:contextualSpacing/>
        <w:rPr>
          <w:rFonts w:ascii="Times New Roman" w:hAnsi="Times New Roman"/>
          <w:sz w:val="24"/>
          <w:szCs w:val="24"/>
        </w:rPr>
      </w:pPr>
      <w:r w:rsidRPr="00EA7770">
        <w:rPr>
          <w:rFonts w:ascii="Times New Roman" w:hAnsi="Times New Roman"/>
          <w:sz w:val="24"/>
          <w:szCs w:val="24"/>
        </w:rPr>
        <w:lastRenderedPageBreak/>
        <w:t xml:space="preserve">CASSIN, René. </w:t>
      </w:r>
      <w:r w:rsidRPr="00EA7770">
        <w:rPr>
          <w:rFonts w:ascii="Times New Roman" w:hAnsi="Times New Roman"/>
          <w:i/>
          <w:sz w:val="24"/>
          <w:szCs w:val="24"/>
        </w:rPr>
        <w:t xml:space="preserve">La Declaration Universelle et la mise em oeuvre des droit´s de l´homme. </w:t>
      </w:r>
      <w:r w:rsidRPr="00EA7770">
        <w:rPr>
          <w:rFonts w:ascii="Times New Roman" w:hAnsi="Times New Roman"/>
          <w:sz w:val="24"/>
          <w:szCs w:val="24"/>
        </w:rPr>
        <w:t>RCADI, Tome. 79 (II), 1951</w:t>
      </w:r>
      <w:r w:rsidR="0066647E" w:rsidRPr="00EA7770">
        <w:rPr>
          <w:rFonts w:ascii="Times New Roman" w:hAnsi="Times New Roman"/>
          <w:sz w:val="24"/>
          <w:szCs w:val="24"/>
        </w:rPr>
        <w:t>,</w:t>
      </w:r>
      <w:r w:rsidRPr="00EA7770">
        <w:rPr>
          <w:rFonts w:ascii="Times New Roman" w:hAnsi="Times New Roman"/>
          <w:sz w:val="24"/>
          <w:szCs w:val="24"/>
        </w:rPr>
        <w:t xml:space="preserve"> pp. 239-367</w:t>
      </w:r>
      <w:r w:rsidR="0066647E" w:rsidRPr="00EA7770">
        <w:rPr>
          <w:rFonts w:ascii="Times New Roman" w:hAnsi="Times New Roman"/>
          <w:sz w:val="24"/>
          <w:szCs w:val="24"/>
        </w:rPr>
        <w:t>.</w:t>
      </w:r>
    </w:p>
    <w:p w14:paraId="6D1AC3CA" w14:textId="00ED508E" w:rsidR="00F76777" w:rsidRPr="00EA7770" w:rsidRDefault="00F76777"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 xml:space="preserve">COHEN ,G. Daniel. “The ‘Human Rights Revolution’ at Work – Displaced Persons in Poswtwar Europe”. In: Stefan-Ludwig Hoffmann (editor) </w:t>
      </w:r>
      <w:r w:rsidRPr="00EA7770">
        <w:rPr>
          <w:rFonts w:ascii="Times New Roman" w:hAnsi="Times New Roman"/>
          <w:i/>
          <w:sz w:val="24"/>
          <w:szCs w:val="24"/>
        </w:rPr>
        <w:t xml:space="preserve">Human Rights in the Twentieth Century. </w:t>
      </w:r>
      <w:r w:rsidRPr="00EA7770">
        <w:rPr>
          <w:rFonts w:ascii="Times New Roman" w:hAnsi="Times New Roman"/>
          <w:sz w:val="24"/>
          <w:szCs w:val="24"/>
        </w:rPr>
        <w:t>Nova York: Cambridge University Press, 2011, pp. 45-61</w:t>
      </w:r>
      <w:r w:rsidR="0066647E" w:rsidRPr="00EA7770">
        <w:rPr>
          <w:rFonts w:ascii="Times New Roman" w:hAnsi="Times New Roman"/>
          <w:sz w:val="24"/>
          <w:szCs w:val="24"/>
        </w:rPr>
        <w:t>.</w:t>
      </w:r>
    </w:p>
    <w:p w14:paraId="0D358DB7" w14:textId="49FA28B2" w:rsidR="00204620" w:rsidRPr="00EA7770" w:rsidRDefault="00204620" w:rsidP="009D7E8B">
      <w:pPr>
        <w:pStyle w:val="TextodoEspaoReservado1"/>
        <w:spacing w:line="360" w:lineRule="auto"/>
        <w:rPr>
          <w:rStyle w:val="apple-style-span"/>
          <w:rFonts w:ascii="Times New Roman" w:hAnsi="Times New Roman"/>
          <w:color w:val="000000"/>
          <w:sz w:val="24"/>
          <w:szCs w:val="24"/>
        </w:rPr>
      </w:pPr>
      <w:r w:rsidRPr="00EA7770">
        <w:rPr>
          <w:rStyle w:val="apple-style-span"/>
          <w:rFonts w:ascii="Times New Roman" w:hAnsi="Times New Roman"/>
          <w:color w:val="000000"/>
          <w:sz w:val="24"/>
          <w:szCs w:val="24"/>
        </w:rPr>
        <w:t xml:space="preserve">COMPARATO, Fabio Konder. </w:t>
      </w:r>
      <w:r w:rsidRPr="00EA7770">
        <w:rPr>
          <w:rStyle w:val="apple-style-span"/>
          <w:rFonts w:ascii="Times New Roman" w:hAnsi="Times New Roman"/>
          <w:i/>
          <w:color w:val="000000"/>
          <w:sz w:val="24"/>
          <w:szCs w:val="24"/>
        </w:rPr>
        <w:t>A Afirmação Histórica dos Direitos Humanos,</w:t>
      </w:r>
      <w:r w:rsidRPr="00EA7770">
        <w:rPr>
          <w:rStyle w:val="apple-style-span"/>
          <w:rFonts w:ascii="Times New Roman" w:hAnsi="Times New Roman"/>
          <w:color w:val="000000"/>
          <w:sz w:val="24"/>
          <w:szCs w:val="24"/>
        </w:rPr>
        <w:t xml:space="preserve"> terceira edição revista e ampliada.</w:t>
      </w:r>
      <w:r w:rsidRPr="00EA7770">
        <w:rPr>
          <w:rStyle w:val="apple-style-span"/>
          <w:rFonts w:ascii="Times New Roman" w:hAnsi="Times New Roman"/>
          <w:i/>
          <w:color w:val="000000"/>
          <w:sz w:val="24"/>
          <w:szCs w:val="24"/>
        </w:rPr>
        <w:t xml:space="preserve"> </w:t>
      </w:r>
      <w:r w:rsidRPr="00EA7770">
        <w:rPr>
          <w:rStyle w:val="apple-style-span"/>
          <w:rFonts w:ascii="Times New Roman" w:hAnsi="Times New Roman"/>
          <w:color w:val="000000"/>
          <w:sz w:val="24"/>
          <w:szCs w:val="24"/>
        </w:rPr>
        <w:t>São Paulo: Editora Saraiva, 2003.</w:t>
      </w:r>
    </w:p>
    <w:p w14:paraId="1CF81F70" w14:textId="35471119" w:rsidR="00D11E5C" w:rsidRPr="00EA7770" w:rsidRDefault="00D11E5C" w:rsidP="009D7E8B">
      <w:pPr>
        <w:pStyle w:val="TextodoEspaoReservado1"/>
        <w:spacing w:line="360" w:lineRule="auto"/>
        <w:rPr>
          <w:rStyle w:val="apple-style-span"/>
          <w:rFonts w:ascii="Times New Roman" w:hAnsi="Times New Roman"/>
          <w:color w:val="000000"/>
          <w:sz w:val="24"/>
          <w:szCs w:val="24"/>
        </w:rPr>
      </w:pPr>
      <w:r w:rsidRPr="00EA7770">
        <w:rPr>
          <w:rFonts w:ascii="Times New Roman" w:hAnsi="Times New Roman"/>
          <w:sz w:val="24"/>
          <w:szCs w:val="24"/>
        </w:rPr>
        <w:t xml:space="preserve">COVER, Robert M. </w:t>
      </w:r>
      <w:r w:rsidRPr="00EA7770">
        <w:rPr>
          <w:rFonts w:ascii="Times New Roman" w:hAnsi="Times New Roman"/>
          <w:i/>
          <w:sz w:val="24"/>
          <w:szCs w:val="24"/>
        </w:rPr>
        <w:t>Nomos</w:t>
      </w:r>
      <w:r w:rsidRPr="00EA7770">
        <w:rPr>
          <w:rFonts w:ascii="Times New Roman" w:hAnsi="Times New Roman"/>
          <w:b/>
          <w:i/>
          <w:sz w:val="24"/>
          <w:szCs w:val="24"/>
        </w:rPr>
        <w:t xml:space="preserve"> </w:t>
      </w:r>
      <w:r w:rsidRPr="00EA7770">
        <w:rPr>
          <w:rFonts w:ascii="Times New Roman" w:hAnsi="Times New Roman"/>
          <w:i/>
          <w:sz w:val="24"/>
          <w:szCs w:val="24"/>
        </w:rPr>
        <w:t>e Narração</w:t>
      </w:r>
      <w:r w:rsidRPr="00EA7770">
        <w:rPr>
          <w:rFonts w:ascii="Times New Roman" w:hAnsi="Times New Roman"/>
          <w:sz w:val="24"/>
          <w:szCs w:val="24"/>
        </w:rPr>
        <w:t>. ANAMORPHOSIS Revista Internacional de Direito e Literatura</w:t>
      </w:r>
      <w:r w:rsidRPr="00EA7770">
        <w:rPr>
          <w:rFonts w:ascii="Times New Roman" w:hAnsi="Times New Roman"/>
          <w:i/>
          <w:sz w:val="24"/>
          <w:szCs w:val="24"/>
        </w:rPr>
        <w:t>,</w:t>
      </w:r>
      <w:r w:rsidRPr="00EA7770">
        <w:rPr>
          <w:rFonts w:ascii="Times New Roman" w:hAnsi="Times New Roman"/>
          <w:sz w:val="24"/>
          <w:szCs w:val="24"/>
        </w:rPr>
        <w:t xml:space="preserve"> vol. 2 , nº 2, jul-dez 2016 [1983], tradução de Luis Rosenfield, </w:t>
      </w:r>
      <w:r w:rsidR="0066647E" w:rsidRPr="00EA7770">
        <w:rPr>
          <w:rFonts w:ascii="Times New Roman" w:hAnsi="Times New Roman"/>
          <w:sz w:val="24"/>
          <w:szCs w:val="24"/>
        </w:rPr>
        <w:t>p</w:t>
      </w:r>
      <w:r w:rsidRPr="00EA7770">
        <w:rPr>
          <w:rFonts w:ascii="Times New Roman" w:hAnsi="Times New Roman"/>
          <w:sz w:val="24"/>
          <w:szCs w:val="24"/>
        </w:rPr>
        <w:t>p. 187-268</w:t>
      </w:r>
      <w:r w:rsidR="0066647E" w:rsidRPr="00EA7770">
        <w:rPr>
          <w:rFonts w:ascii="Times New Roman" w:hAnsi="Times New Roman"/>
          <w:sz w:val="24"/>
          <w:szCs w:val="24"/>
        </w:rPr>
        <w:t>.</w:t>
      </w:r>
    </w:p>
    <w:p w14:paraId="5A8A61DF" w14:textId="5DD16A8C" w:rsidR="00204620" w:rsidRPr="00EA7770" w:rsidRDefault="00204620" w:rsidP="009D7E8B">
      <w:pPr>
        <w:pStyle w:val="TextodoEspaoReservado1"/>
        <w:spacing w:line="360" w:lineRule="auto"/>
        <w:rPr>
          <w:rStyle w:val="apple-style-span"/>
          <w:rFonts w:ascii="Times New Roman" w:hAnsi="Times New Roman"/>
          <w:color w:val="000000"/>
          <w:sz w:val="24"/>
          <w:szCs w:val="24"/>
        </w:rPr>
      </w:pPr>
      <w:r w:rsidRPr="00EA7770">
        <w:rPr>
          <w:rStyle w:val="apple-style-span"/>
          <w:rFonts w:ascii="Times New Roman" w:hAnsi="Times New Roman"/>
          <w:color w:val="000000"/>
          <w:sz w:val="24"/>
          <w:szCs w:val="24"/>
        </w:rPr>
        <w:t xml:space="preserve">DELMAS-MARTY, Mireille. </w:t>
      </w:r>
      <w:r w:rsidRPr="00EA7770">
        <w:rPr>
          <w:rStyle w:val="apple-style-span"/>
          <w:rFonts w:ascii="Times New Roman" w:hAnsi="Times New Roman"/>
          <w:i/>
          <w:color w:val="000000"/>
          <w:sz w:val="24"/>
          <w:szCs w:val="24"/>
        </w:rPr>
        <w:t xml:space="preserve">L’Adieux aux Barbares. </w:t>
      </w:r>
      <w:r w:rsidRPr="00EA7770">
        <w:rPr>
          <w:rStyle w:val="apple-style-span"/>
          <w:rFonts w:ascii="Times New Roman" w:hAnsi="Times New Roman"/>
          <w:color w:val="000000"/>
          <w:sz w:val="24"/>
          <w:szCs w:val="24"/>
        </w:rPr>
        <w:t>Quebec: Presses de l’Université Laval, 2007.</w:t>
      </w:r>
    </w:p>
    <w:p w14:paraId="45F15E6A" w14:textId="5076484A" w:rsidR="00C147DF" w:rsidRPr="00EA7770" w:rsidRDefault="00C147DF" w:rsidP="009D7E8B">
      <w:pPr>
        <w:pStyle w:val="TextodoEspaoReservado1"/>
        <w:spacing w:line="360" w:lineRule="auto"/>
        <w:rPr>
          <w:rStyle w:val="apple-style-span"/>
          <w:rFonts w:ascii="Times New Roman" w:hAnsi="Times New Roman"/>
          <w:color w:val="000000"/>
          <w:sz w:val="24"/>
          <w:szCs w:val="24"/>
        </w:rPr>
      </w:pPr>
      <w:r w:rsidRPr="00EA7770">
        <w:rPr>
          <w:rFonts w:ascii="Times New Roman" w:hAnsi="Times New Roman"/>
          <w:sz w:val="24"/>
          <w:szCs w:val="24"/>
        </w:rPr>
        <w:t xml:space="preserve">DIENA, G. </w:t>
      </w:r>
      <w:r w:rsidRPr="00EA7770">
        <w:rPr>
          <w:rFonts w:ascii="Times New Roman" w:hAnsi="Times New Roman"/>
          <w:i/>
          <w:sz w:val="24"/>
          <w:szCs w:val="24"/>
        </w:rPr>
        <w:t xml:space="preserve">Les Mandats Internationaux. </w:t>
      </w:r>
      <w:r w:rsidR="0066647E" w:rsidRPr="00EA7770">
        <w:rPr>
          <w:rFonts w:ascii="Times New Roman" w:hAnsi="Times New Roman"/>
          <w:sz w:val="24"/>
          <w:szCs w:val="24"/>
        </w:rPr>
        <w:t>RCADI ,1924, p. 215-</w:t>
      </w:r>
      <w:r w:rsidRPr="00EA7770">
        <w:rPr>
          <w:rFonts w:ascii="Times New Roman" w:hAnsi="Times New Roman"/>
          <w:sz w:val="24"/>
          <w:szCs w:val="24"/>
        </w:rPr>
        <w:t>25</w:t>
      </w:r>
      <w:r w:rsidR="0066647E" w:rsidRPr="00EA7770">
        <w:rPr>
          <w:rFonts w:ascii="Times New Roman" w:hAnsi="Times New Roman"/>
          <w:sz w:val="24"/>
          <w:szCs w:val="24"/>
        </w:rPr>
        <w:t>.</w:t>
      </w:r>
    </w:p>
    <w:p w14:paraId="5B933F7B" w14:textId="51EF3077" w:rsidR="006B7157" w:rsidRPr="00EA7770" w:rsidRDefault="006B7157" w:rsidP="009D7E8B">
      <w:pPr>
        <w:pStyle w:val="TextodoEspaoReservado1"/>
        <w:spacing w:line="360" w:lineRule="auto"/>
        <w:rPr>
          <w:rStyle w:val="apple-style-span"/>
          <w:color w:val="000000"/>
          <w:sz w:val="24"/>
          <w:szCs w:val="24"/>
        </w:rPr>
      </w:pPr>
      <w:r w:rsidRPr="00EA7770">
        <w:rPr>
          <w:rFonts w:ascii="Times New Roman" w:hAnsi="Times New Roman"/>
          <w:sz w:val="24"/>
          <w:szCs w:val="24"/>
        </w:rPr>
        <w:t xml:space="preserve">DOYLE, Michel W. </w:t>
      </w:r>
      <w:r w:rsidRPr="00EA7770">
        <w:rPr>
          <w:rFonts w:ascii="Times New Roman" w:hAnsi="Times New Roman"/>
          <w:i/>
          <w:sz w:val="24"/>
          <w:szCs w:val="24"/>
        </w:rPr>
        <w:t xml:space="preserve">Empires </w:t>
      </w:r>
      <w:r w:rsidRPr="00EA7770">
        <w:rPr>
          <w:rFonts w:ascii="Times New Roman" w:hAnsi="Times New Roman"/>
          <w:sz w:val="24"/>
          <w:szCs w:val="24"/>
        </w:rPr>
        <w:t>Ithaca: Cornel University Press, 1986</w:t>
      </w:r>
      <w:r w:rsidR="0066647E" w:rsidRPr="00EA7770">
        <w:rPr>
          <w:rFonts w:ascii="Times New Roman" w:hAnsi="Times New Roman"/>
          <w:sz w:val="24"/>
          <w:szCs w:val="24"/>
        </w:rPr>
        <w:t>.</w:t>
      </w:r>
    </w:p>
    <w:p w14:paraId="09D9914A" w14:textId="0FF88AA2" w:rsidR="00204620" w:rsidRPr="00EA7770" w:rsidRDefault="00204620"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lang w:val="fr-FR"/>
        </w:rPr>
        <w:t xml:space="preserve">DUMONT, Louis. </w:t>
      </w:r>
      <w:r w:rsidRPr="00EA7770">
        <w:rPr>
          <w:rFonts w:ascii="Times New Roman" w:hAnsi="Times New Roman"/>
          <w:i/>
          <w:sz w:val="24"/>
          <w:szCs w:val="24"/>
          <w:lang w:val="fr-FR"/>
        </w:rPr>
        <w:t>Essais sur l’Individualisme. Une Perspective Anthropologique sur l’Ideologie Moderne</w:t>
      </w:r>
      <w:r w:rsidRPr="00EA7770">
        <w:rPr>
          <w:rFonts w:ascii="Times New Roman" w:hAnsi="Times New Roman"/>
          <w:sz w:val="24"/>
          <w:szCs w:val="24"/>
          <w:lang w:val="fr-FR"/>
        </w:rPr>
        <w:t>. Paris: Gallimard Folio Essais, nº 230, 1991.</w:t>
      </w:r>
    </w:p>
    <w:p w14:paraId="4CEB3308" w14:textId="64C0284E" w:rsidR="00D2186E" w:rsidRPr="00EA7770" w:rsidRDefault="009D7E8B" w:rsidP="009D7E8B">
      <w:pPr>
        <w:spacing w:line="360" w:lineRule="auto"/>
        <w:contextualSpacing/>
        <w:rPr>
          <w:rFonts w:ascii="Times New Roman" w:hAnsi="Times New Roman"/>
          <w:sz w:val="24"/>
          <w:szCs w:val="24"/>
        </w:rPr>
      </w:pPr>
      <w:r>
        <w:rPr>
          <w:rFonts w:ascii="Times New Roman" w:hAnsi="Times New Roman"/>
          <w:sz w:val="24"/>
          <w:szCs w:val="24"/>
        </w:rPr>
        <w:t>DUNANT</w:t>
      </w:r>
      <w:r w:rsidR="00D2186E" w:rsidRPr="00EA7770">
        <w:rPr>
          <w:rFonts w:ascii="Times New Roman" w:hAnsi="Times New Roman"/>
          <w:sz w:val="24"/>
          <w:szCs w:val="24"/>
        </w:rPr>
        <w:t>,</w:t>
      </w:r>
      <w:r>
        <w:rPr>
          <w:rFonts w:ascii="Times New Roman" w:hAnsi="Times New Roman"/>
          <w:sz w:val="24"/>
          <w:szCs w:val="24"/>
        </w:rPr>
        <w:t xml:space="preserve"> </w:t>
      </w:r>
      <w:r w:rsidR="00D2186E" w:rsidRPr="00EA7770">
        <w:rPr>
          <w:rFonts w:ascii="Times New Roman" w:hAnsi="Times New Roman"/>
          <w:sz w:val="24"/>
          <w:szCs w:val="24"/>
        </w:rPr>
        <w:t xml:space="preserve">Henry. </w:t>
      </w:r>
      <w:r w:rsidR="00D2186E" w:rsidRPr="00EA7770">
        <w:rPr>
          <w:rFonts w:ascii="Times New Roman" w:hAnsi="Times New Roman"/>
          <w:i/>
          <w:sz w:val="24"/>
          <w:szCs w:val="24"/>
        </w:rPr>
        <w:t xml:space="preserve">Recuerdos de Solferino. </w:t>
      </w:r>
      <w:r w:rsidR="00D2186E" w:rsidRPr="00EA7770">
        <w:rPr>
          <w:rFonts w:ascii="Times New Roman" w:hAnsi="Times New Roman"/>
          <w:sz w:val="24"/>
          <w:szCs w:val="24"/>
        </w:rPr>
        <w:t>Genebra: Comitê Internacional da Cruz Vermelha, 1982 [1858]</w:t>
      </w:r>
      <w:r w:rsidR="0066647E" w:rsidRPr="00EA7770">
        <w:rPr>
          <w:rFonts w:ascii="Times New Roman" w:hAnsi="Times New Roman"/>
          <w:sz w:val="24"/>
          <w:szCs w:val="24"/>
        </w:rPr>
        <w:t>.</w:t>
      </w:r>
    </w:p>
    <w:p w14:paraId="5EA7E0DC" w14:textId="3FB37878" w:rsidR="004830BB" w:rsidRPr="00EA7770" w:rsidRDefault="004830BB"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 xml:space="preserve">DURAND ,André. “The Role of Gustave Moynier in the Founding of the Institute of International Law (1873)”. </w:t>
      </w:r>
      <w:r w:rsidRPr="00EA7770">
        <w:rPr>
          <w:rFonts w:ascii="Times New Roman" w:hAnsi="Times New Roman"/>
          <w:i/>
          <w:sz w:val="24"/>
          <w:szCs w:val="24"/>
        </w:rPr>
        <w:t>Interantional Review of the Red Cross</w:t>
      </w:r>
      <w:r w:rsidRPr="00EA7770">
        <w:rPr>
          <w:rFonts w:ascii="Times New Roman" w:hAnsi="Times New Roman"/>
          <w:sz w:val="24"/>
          <w:szCs w:val="24"/>
        </w:rPr>
        <w:t>, vol. 34, 1994, pp. 543-63</w:t>
      </w:r>
      <w:r w:rsidR="0066647E" w:rsidRPr="00EA7770">
        <w:rPr>
          <w:rFonts w:ascii="Times New Roman" w:hAnsi="Times New Roman"/>
          <w:sz w:val="24"/>
          <w:szCs w:val="24"/>
        </w:rPr>
        <w:t>.</w:t>
      </w:r>
    </w:p>
    <w:p w14:paraId="64550D91" w14:textId="30BEB259" w:rsidR="0053398B" w:rsidRPr="00EA7770" w:rsidRDefault="0053398B"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 xml:space="preserve">DURKHEIM, Émile. </w:t>
      </w:r>
      <w:r w:rsidRPr="00EA7770">
        <w:rPr>
          <w:rFonts w:ascii="Times New Roman" w:hAnsi="Times New Roman"/>
          <w:i/>
          <w:sz w:val="24"/>
          <w:szCs w:val="24"/>
        </w:rPr>
        <w:t xml:space="preserve">O individualismo e os intelectuais </w:t>
      </w:r>
      <w:r w:rsidRPr="00EA7770">
        <w:rPr>
          <w:rFonts w:ascii="Times New Roman" w:hAnsi="Times New Roman"/>
          <w:sz w:val="24"/>
          <w:szCs w:val="24"/>
        </w:rPr>
        <w:t>(Edição bilíngue e crítica) Organização e Edição Márcia Consolim, Márcio de Oliveira e Raquel Weiss São Paulo: EDUSP, 2016.</w:t>
      </w:r>
    </w:p>
    <w:p w14:paraId="1CFFF47A" w14:textId="6B259462" w:rsidR="00772B62" w:rsidRPr="00EA7770" w:rsidRDefault="001E79B6" w:rsidP="009D7E8B">
      <w:pPr>
        <w:spacing w:after="0" w:line="360" w:lineRule="auto"/>
        <w:contextualSpacing/>
        <w:jc w:val="both"/>
        <w:rPr>
          <w:rFonts w:ascii="Times New Roman" w:hAnsi="Times New Roman"/>
          <w:sz w:val="24"/>
          <w:szCs w:val="24"/>
          <w:lang w:val="en-US"/>
        </w:rPr>
      </w:pPr>
      <w:r w:rsidRPr="00EA7770">
        <w:rPr>
          <w:rFonts w:ascii="Times New Roman" w:hAnsi="Times New Roman"/>
          <w:sz w:val="24"/>
          <w:szCs w:val="24"/>
          <w:lang w:val="en-US"/>
        </w:rPr>
        <w:t>FILLOUX</w:t>
      </w:r>
      <w:r w:rsidR="00772B62" w:rsidRPr="00EA7770">
        <w:rPr>
          <w:rFonts w:ascii="Times New Roman" w:hAnsi="Times New Roman"/>
          <w:sz w:val="24"/>
          <w:szCs w:val="24"/>
          <w:lang w:val="en-US"/>
        </w:rPr>
        <w:t xml:space="preserve">, Jean-Claude. </w:t>
      </w:r>
      <w:r w:rsidR="00772B62" w:rsidRPr="00EA7770">
        <w:rPr>
          <w:rFonts w:ascii="Times New Roman" w:hAnsi="Times New Roman"/>
          <w:i/>
          <w:sz w:val="24"/>
          <w:szCs w:val="24"/>
          <w:lang w:val="en-US"/>
        </w:rPr>
        <w:t>Personne et sacré chez Durkheim</w:t>
      </w:r>
      <w:r w:rsidRPr="00EA7770">
        <w:rPr>
          <w:rFonts w:ascii="Times New Roman" w:hAnsi="Times New Roman"/>
          <w:i/>
          <w:sz w:val="24"/>
          <w:szCs w:val="24"/>
          <w:lang w:val="en-US"/>
        </w:rPr>
        <w:t>.</w:t>
      </w:r>
      <w:r w:rsidR="00772B62" w:rsidRPr="00EA7770">
        <w:rPr>
          <w:rFonts w:ascii="Times New Roman" w:hAnsi="Times New Roman"/>
          <w:i/>
          <w:sz w:val="24"/>
          <w:szCs w:val="24"/>
          <w:lang w:val="en-US"/>
        </w:rPr>
        <w:t xml:space="preserve"> </w:t>
      </w:r>
      <w:r w:rsidR="00772B62" w:rsidRPr="00EA7770">
        <w:rPr>
          <w:rFonts w:ascii="Times New Roman" w:hAnsi="Times New Roman"/>
          <w:sz w:val="24"/>
          <w:szCs w:val="24"/>
          <w:lang w:val="en-US"/>
        </w:rPr>
        <w:t>Archives de sciences sociales des religions 35 année, n. 69, Relire Durkheim (</w:t>
      </w:r>
      <w:r w:rsidR="0066647E" w:rsidRPr="00EA7770">
        <w:rPr>
          <w:rFonts w:ascii="Times New Roman" w:hAnsi="Times New Roman"/>
          <w:sz w:val="24"/>
          <w:szCs w:val="24"/>
          <w:lang w:val="en-US"/>
        </w:rPr>
        <w:t>j</w:t>
      </w:r>
      <w:r w:rsidR="00772B62" w:rsidRPr="00EA7770">
        <w:rPr>
          <w:rFonts w:ascii="Times New Roman" w:hAnsi="Times New Roman"/>
          <w:sz w:val="24"/>
          <w:szCs w:val="24"/>
          <w:lang w:val="en-US"/>
        </w:rPr>
        <w:t>an-</w:t>
      </w:r>
      <w:r w:rsidR="0066647E" w:rsidRPr="00EA7770">
        <w:rPr>
          <w:rFonts w:ascii="Times New Roman" w:hAnsi="Times New Roman"/>
          <w:sz w:val="24"/>
          <w:szCs w:val="24"/>
          <w:lang w:val="en-US"/>
        </w:rPr>
        <w:t>m</w:t>
      </w:r>
      <w:r w:rsidR="00772B62" w:rsidRPr="00EA7770">
        <w:rPr>
          <w:rFonts w:ascii="Times New Roman" w:hAnsi="Times New Roman"/>
          <w:sz w:val="24"/>
          <w:szCs w:val="24"/>
          <w:lang w:val="en-US"/>
        </w:rPr>
        <w:t>ar, 1990) p</w:t>
      </w:r>
      <w:r w:rsidRPr="00EA7770">
        <w:rPr>
          <w:rFonts w:ascii="Times New Roman" w:hAnsi="Times New Roman"/>
          <w:sz w:val="24"/>
          <w:szCs w:val="24"/>
          <w:lang w:val="en-US"/>
        </w:rPr>
        <w:t>.</w:t>
      </w:r>
      <w:r w:rsidR="00772B62" w:rsidRPr="00EA7770">
        <w:rPr>
          <w:rFonts w:ascii="Times New Roman" w:hAnsi="Times New Roman"/>
          <w:sz w:val="24"/>
          <w:szCs w:val="24"/>
          <w:lang w:val="en-US"/>
        </w:rPr>
        <w:t xml:space="preserve"> 41-53</w:t>
      </w:r>
      <w:r w:rsidRPr="00EA7770">
        <w:rPr>
          <w:rFonts w:ascii="Times New Roman" w:hAnsi="Times New Roman"/>
          <w:sz w:val="24"/>
          <w:szCs w:val="24"/>
          <w:lang w:val="en-US"/>
        </w:rPr>
        <w:t>.</w:t>
      </w:r>
    </w:p>
    <w:p w14:paraId="230171CD" w14:textId="437C5289" w:rsidR="00D2186E" w:rsidRPr="00EA7770" w:rsidRDefault="00D2186E" w:rsidP="009D7E8B">
      <w:pPr>
        <w:spacing w:after="0" w:line="360" w:lineRule="auto"/>
        <w:contextualSpacing/>
        <w:jc w:val="both"/>
        <w:rPr>
          <w:rFonts w:ascii="Times New Roman" w:hAnsi="Times New Roman"/>
          <w:sz w:val="24"/>
          <w:szCs w:val="24"/>
          <w:lang w:val="en-US"/>
        </w:rPr>
      </w:pPr>
      <w:r w:rsidRPr="00EA7770">
        <w:rPr>
          <w:rFonts w:ascii="Times New Roman" w:hAnsi="Times New Roman"/>
          <w:sz w:val="24"/>
          <w:szCs w:val="24"/>
        </w:rPr>
        <w:t xml:space="preserve">FLECK, Dieter. </w:t>
      </w:r>
      <w:r w:rsidRPr="00EA7770">
        <w:rPr>
          <w:rFonts w:ascii="Times New Roman" w:hAnsi="Times New Roman"/>
          <w:i/>
          <w:sz w:val="24"/>
          <w:szCs w:val="24"/>
        </w:rPr>
        <w:t xml:space="preserve">The Handbook of International Humanitarian Law. </w:t>
      </w:r>
      <w:r w:rsidRPr="00EA7770">
        <w:rPr>
          <w:rFonts w:ascii="Times New Roman" w:hAnsi="Times New Roman"/>
          <w:sz w:val="24"/>
          <w:szCs w:val="24"/>
        </w:rPr>
        <w:t>Oxford: Oxford University Press, 2008</w:t>
      </w:r>
      <w:r w:rsidR="001E79B6" w:rsidRPr="00EA7770">
        <w:rPr>
          <w:rFonts w:ascii="Times New Roman" w:hAnsi="Times New Roman"/>
          <w:sz w:val="24"/>
          <w:szCs w:val="24"/>
        </w:rPr>
        <w:t>.</w:t>
      </w:r>
    </w:p>
    <w:p w14:paraId="0E267E50" w14:textId="5969E97C" w:rsidR="00772B62" w:rsidRPr="00EA7770" w:rsidRDefault="00772B62"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FORST ,Rainer. </w:t>
      </w:r>
      <w:r w:rsidRPr="00EA7770">
        <w:rPr>
          <w:rFonts w:ascii="Times New Roman" w:hAnsi="Times New Roman"/>
          <w:i/>
          <w:sz w:val="24"/>
          <w:szCs w:val="24"/>
        </w:rPr>
        <w:t xml:space="preserve">Os Contextos da Justiça </w:t>
      </w:r>
      <w:r w:rsidRPr="00EA7770">
        <w:rPr>
          <w:rFonts w:ascii="Times New Roman" w:hAnsi="Times New Roman"/>
          <w:sz w:val="24"/>
          <w:szCs w:val="24"/>
        </w:rPr>
        <w:t>Filosofia política para além do liberalismo e comunitarismo</w:t>
      </w:r>
      <w:r w:rsidRPr="00EA7770">
        <w:rPr>
          <w:rFonts w:ascii="Times New Roman" w:hAnsi="Times New Roman"/>
          <w:i/>
          <w:sz w:val="24"/>
          <w:szCs w:val="24"/>
        </w:rPr>
        <w:t xml:space="preserve">, </w:t>
      </w:r>
      <w:r w:rsidRPr="00EA7770">
        <w:rPr>
          <w:rFonts w:ascii="Times New Roman" w:hAnsi="Times New Roman"/>
          <w:sz w:val="24"/>
          <w:szCs w:val="24"/>
        </w:rPr>
        <w:t>tradução Denilson Luis Werle. São</w:t>
      </w:r>
      <w:r w:rsidR="001E79B6" w:rsidRPr="00EA7770">
        <w:rPr>
          <w:rFonts w:ascii="Times New Roman" w:hAnsi="Times New Roman"/>
          <w:sz w:val="24"/>
          <w:szCs w:val="24"/>
        </w:rPr>
        <w:t xml:space="preserve"> Paulo: Editora Boitempo, 2010 [1994].</w:t>
      </w:r>
    </w:p>
    <w:p w14:paraId="5AF59EB4" w14:textId="284BA912"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GARCÍA, Angeles Mateos. </w:t>
      </w:r>
      <w:r w:rsidRPr="00EA7770">
        <w:rPr>
          <w:rFonts w:ascii="Times New Roman" w:hAnsi="Times New Roman"/>
          <w:i/>
          <w:sz w:val="24"/>
          <w:szCs w:val="24"/>
        </w:rPr>
        <w:t xml:space="preserve">A Teoria dos Valores de Miguel Reale </w:t>
      </w:r>
      <w:r w:rsidRPr="00EA7770">
        <w:rPr>
          <w:rFonts w:ascii="Times New Roman" w:hAnsi="Times New Roman"/>
          <w:sz w:val="24"/>
          <w:szCs w:val="24"/>
        </w:rPr>
        <w:t>(Fundamento de seu tridimensionalismo jurídico). Tradução Talia Bugel. São Paulo: Editora Saraiva, 1999.</w:t>
      </w:r>
    </w:p>
    <w:p w14:paraId="1BD63590" w14:textId="77777777"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lastRenderedPageBreak/>
        <w:t xml:space="preserve">GARCIA, Eugênio Vargas </w:t>
      </w:r>
      <w:r w:rsidRPr="00EA7770">
        <w:rPr>
          <w:rFonts w:ascii="Times New Roman" w:hAnsi="Times New Roman"/>
          <w:i/>
          <w:sz w:val="24"/>
          <w:szCs w:val="24"/>
        </w:rPr>
        <w:t xml:space="preserve">O Brasil e a Liga das Nações (1919-1926) </w:t>
      </w:r>
      <w:r w:rsidRPr="00EA7770">
        <w:rPr>
          <w:rFonts w:ascii="Times New Roman" w:hAnsi="Times New Roman"/>
          <w:sz w:val="24"/>
          <w:szCs w:val="24"/>
        </w:rPr>
        <w:t>2ª ed. Porto Alegre: Editora da UFRGS, 2005.</w:t>
      </w:r>
    </w:p>
    <w:p w14:paraId="17D2C68F" w14:textId="19604A64" w:rsidR="00204620" w:rsidRPr="00EA7770" w:rsidRDefault="00204620" w:rsidP="009D7E8B">
      <w:pPr>
        <w:spacing w:after="0" w:line="360" w:lineRule="auto"/>
        <w:contextualSpacing/>
        <w:jc w:val="both"/>
        <w:rPr>
          <w:rFonts w:ascii="Times New Roman" w:hAnsi="Times New Roman"/>
          <w:sz w:val="24"/>
          <w:szCs w:val="24"/>
          <w:lang w:val="en-US"/>
        </w:rPr>
      </w:pPr>
      <w:r w:rsidRPr="00EA7770">
        <w:rPr>
          <w:rFonts w:ascii="Times New Roman" w:hAnsi="Times New Roman"/>
          <w:sz w:val="24"/>
          <w:szCs w:val="24"/>
          <w:lang w:val="en-US"/>
        </w:rPr>
        <w:t xml:space="preserve">GOLDONI, Marco e McCOKINDALE, Chritopher. “Law and Pratical Reason”, vol. 4 </w:t>
      </w:r>
      <w:r w:rsidRPr="00EA7770">
        <w:rPr>
          <w:rFonts w:ascii="Times New Roman" w:hAnsi="Times New Roman"/>
          <w:i/>
          <w:sz w:val="24"/>
          <w:szCs w:val="24"/>
          <w:lang w:val="en-US"/>
        </w:rPr>
        <w:t xml:space="preserve">Hannah Arendt and the Law. </w:t>
      </w:r>
      <w:r w:rsidRPr="00EA7770">
        <w:rPr>
          <w:rFonts w:ascii="Times New Roman" w:hAnsi="Times New Roman"/>
          <w:sz w:val="24"/>
          <w:szCs w:val="24"/>
          <w:lang w:val="en-US"/>
        </w:rPr>
        <w:t>Oxford: Hart Publishing, 2012.</w:t>
      </w:r>
    </w:p>
    <w:p w14:paraId="1E12ABBB" w14:textId="5BA4E270" w:rsidR="009E3506" w:rsidRPr="00EA7770" w:rsidRDefault="009E3506" w:rsidP="009D7E8B">
      <w:pPr>
        <w:spacing w:after="0" w:line="360" w:lineRule="auto"/>
        <w:contextualSpacing/>
        <w:jc w:val="both"/>
        <w:rPr>
          <w:rFonts w:ascii="Times New Roman" w:hAnsi="Times New Roman"/>
          <w:sz w:val="24"/>
          <w:szCs w:val="24"/>
          <w:lang w:val="en-US"/>
        </w:rPr>
      </w:pPr>
      <w:r w:rsidRPr="00EA7770">
        <w:rPr>
          <w:rFonts w:ascii="Times New Roman" w:hAnsi="Times New Roman"/>
          <w:sz w:val="24"/>
          <w:szCs w:val="24"/>
        </w:rPr>
        <w:t xml:space="preserve">GROS ESPIELL Hector </w:t>
      </w:r>
      <w:r w:rsidRPr="00EA7770">
        <w:rPr>
          <w:rFonts w:ascii="Times New Roman" w:hAnsi="Times New Roman"/>
          <w:i/>
          <w:sz w:val="24"/>
          <w:szCs w:val="24"/>
        </w:rPr>
        <w:t>Derechos Humanos, Derecho Internacional Humanitário e Derecho Internacional de los Refugiados</w:t>
      </w:r>
      <w:r w:rsidRPr="00EA7770">
        <w:rPr>
          <w:rFonts w:ascii="Times New Roman" w:hAnsi="Times New Roman"/>
          <w:sz w:val="24"/>
          <w:szCs w:val="24"/>
        </w:rPr>
        <w:t xml:space="preserve"> em Études et essais sur le droit international humanitaire et sur le</w:t>
      </w:r>
      <w:r w:rsidR="00F816DE" w:rsidRPr="00EA7770">
        <w:rPr>
          <w:rFonts w:ascii="Times New Roman" w:hAnsi="Times New Roman"/>
          <w:sz w:val="24"/>
          <w:szCs w:val="24"/>
        </w:rPr>
        <w:t>s principes de Croix Rouge em l’</w:t>
      </w:r>
      <w:r w:rsidRPr="00EA7770">
        <w:rPr>
          <w:rFonts w:ascii="Times New Roman" w:hAnsi="Times New Roman"/>
          <w:sz w:val="24"/>
          <w:szCs w:val="24"/>
        </w:rPr>
        <w:t xml:space="preserve">honneur de Jean Pictet (ed.Christophe Swinarski) Genève, La </w:t>
      </w:r>
      <w:r w:rsidR="00F816DE" w:rsidRPr="00EA7770">
        <w:rPr>
          <w:rFonts w:ascii="Times New Roman" w:hAnsi="Times New Roman"/>
          <w:sz w:val="24"/>
          <w:szCs w:val="24"/>
        </w:rPr>
        <w:t>Haye CICR Nijhoff, 1984 p. 706-</w:t>
      </w:r>
      <w:r w:rsidRPr="00EA7770">
        <w:rPr>
          <w:rFonts w:ascii="Times New Roman" w:hAnsi="Times New Roman"/>
          <w:sz w:val="24"/>
          <w:szCs w:val="24"/>
        </w:rPr>
        <w:t>11</w:t>
      </w:r>
      <w:r w:rsidR="00F816DE" w:rsidRPr="00EA7770">
        <w:rPr>
          <w:rFonts w:ascii="Times New Roman" w:hAnsi="Times New Roman"/>
          <w:sz w:val="24"/>
          <w:szCs w:val="24"/>
        </w:rPr>
        <w:t>.</w:t>
      </w:r>
    </w:p>
    <w:p w14:paraId="7522591B" w14:textId="4AF8FCFF" w:rsidR="00772B62" w:rsidRPr="00EA7770" w:rsidRDefault="009D7E8B" w:rsidP="009D7E8B">
      <w:pPr>
        <w:spacing w:after="0" w:line="360" w:lineRule="auto"/>
        <w:contextualSpacing/>
        <w:jc w:val="both"/>
        <w:rPr>
          <w:rFonts w:ascii="Times New Roman" w:hAnsi="Times New Roman"/>
          <w:sz w:val="24"/>
          <w:szCs w:val="24"/>
        </w:rPr>
      </w:pPr>
      <w:r>
        <w:rPr>
          <w:rFonts w:ascii="Times New Roman" w:hAnsi="Times New Roman"/>
          <w:sz w:val="24"/>
          <w:szCs w:val="24"/>
        </w:rPr>
        <w:t>HABERMAS</w:t>
      </w:r>
      <w:r w:rsidR="00772B62" w:rsidRPr="00EA7770">
        <w:rPr>
          <w:rFonts w:ascii="Times New Roman" w:hAnsi="Times New Roman"/>
          <w:sz w:val="24"/>
          <w:szCs w:val="24"/>
        </w:rPr>
        <w:t>,</w:t>
      </w:r>
      <w:r>
        <w:rPr>
          <w:rFonts w:ascii="Times New Roman" w:hAnsi="Times New Roman"/>
          <w:sz w:val="24"/>
          <w:szCs w:val="24"/>
        </w:rPr>
        <w:t xml:space="preserve"> </w:t>
      </w:r>
      <w:r w:rsidR="00772B62" w:rsidRPr="00EA7770">
        <w:rPr>
          <w:rFonts w:ascii="Times New Roman" w:hAnsi="Times New Roman"/>
          <w:sz w:val="24"/>
          <w:szCs w:val="24"/>
        </w:rPr>
        <w:t xml:space="preserve">Jurgen. </w:t>
      </w:r>
      <w:r w:rsidR="00772B62" w:rsidRPr="00EA7770">
        <w:rPr>
          <w:rFonts w:ascii="Times New Roman" w:hAnsi="Times New Roman"/>
          <w:i/>
          <w:sz w:val="24"/>
          <w:szCs w:val="24"/>
        </w:rPr>
        <w:t xml:space="preserve">La Paix Perpétuelle </w:t>
      </w:r>
      <w:r w:rsidR="00772B62" w:rsidRPr="00EA7770">
        <w:rPr>
          <w:rFonts w:ascii="Times New Roman" w:hAnsi="Times New Roman"/>
          <w:sz w:val="24"/>
          <w:szCs w:val="24"/>
        </w:rPr>
        <w:t>Le bicentenaire d’une idée kantienne, tradução Rainer Rochlitz. Paris: Les Éditions du Cerf, 1996</w:t>
      </w:r>
      <w:r w:rsidR="00F816DE" w:rsidRPr="00EA7770">
        <w:rPr>
          <w:rFonts w:ascii="Times New Roman" w:hAnsi="Times New Roman"/>
          <w:sz w:val="24"/>
          <w:szCs w:val="24"/>
        </w:rPr>
        <w:t>.</w:t>
      </w:r>
    </w:p>
    <w:p w14:paraId="2EFDD551" w14:textId="5F8FCB96" w:rsidR="005C030A" w:rsidRPr="00EA7770" w:rsidRDefault="005C030A" w:rsidP="009D7E8B">
      <w:pPr>
        <w:spacing w:after="0" w:line="360" w:lineRule="auto"/>
        <w:contextualSpacing/>
        <w:jc w:val="both"/>
        <w:rPr>
          <w:rFonts w:ascii="Times New Roman" w:hAnsi="Times New Roman"/>
          <w:sz w:val="24"/>
          <w:szCs w:val="24"/>
          <w:lang w:val="en-US"/>
        </w:rPr>
      </w:pPr>
      <w:r w:rsidRPr="00EA7770">
        <w:rPr>
          <w:rFonts w:ascii="Times New Roman" w:hAnsi="Times New Roman"/>
          <w:sz w:val="24"/>
          <w:szCs w:val="24"/>
        </w:rPr>
        <w:t xml:space="preserve">__________________ </w:t>
      </w:r>
      <w:r w:rsidRPr="00EA7770">
        <w:rPr>
          <w:rFonts w:ascii="Times New Roman" w:hAnsi="Times New Roman"/>
          <w:i/>
          <w:sz w:val="24"/>
          <w:szCs w:val="24"/>
        </w:rPr>
        <w:t xml:space="preserve">O Conceito de dignidade humana e a utopia realista dos direitos humanos </w:t>
      </w:r>
      <w:r w:rsidRPr="00EA7770">
        <w:rPr>
          <w:rFonts w:ascii="Times New Roman" w:hAnsi="Times New Roman"/>
          <w:sz w:val="24"/>
          <w:szCs w:val="24"/>
        </w:rPr>
        <w:t xml:space="preserve">em </w:t>
      </w:r>
      <w:r w:rsidRPr="00EA7770">
        <w:rPr>
          <w:rFonts w:ascii="Times New Roman" w:hAnsi="Times New Roman"/>
          <w:i/>
          <w:sz w:val="24"/>
          <w:szCs w:val="24"/>
        </w:rPr>
        <w:t xml:space="preserve">Sobre a Constituição da Europa: </w:t>
      </w:r>
      <w:r w:rsidRPr="00EA7770">
        <w:rPr>
          <w:rFonts w:ascii="Times New Roman" w:hAnsi="Times New Roman"/>
          <w:sz w:val="24"/>
          <w:szCs w:val="24"/>
        </w:rPr>
        <w:t xml:space="preserve">Um ensaio </w:t>
      </w:r>
      <w:r w:rsidR="009D7E8B">
        <w:rPr>
          <w:rFonts w:ascii="Times New Roman" w:hAnsi="Times New Roman"/>
          <w:sz w:val="24"/>
          <w:szCs w:val="24"/>
        </w:rPr>
        <w:t>São Paulo: Editora Unesp, 2012 [2011], tradução de Denilson Luis Werle</w:t>
      </w:r>
      <w:r w:rsidRPr="00EA7770">
        <w:rPr>
          <w:rFonts w:ascii="Times New Roman" w:hAnsi="Times New Roman"/>
          <w:sz w:val="24"/>
          <w:szCs w:val="24"/>
        </w:rPr>
        <w:t>, Luiz Repa e Rúri</w:t>
      </w:r>
      <w:r w:rsidR="00F816DE" w:rsidRPr="00EA7770">
        <w:rPr>
          <w:rFonts w:ascii="Times New Roman" w:hAnsi="Times New Roman"/>
          <w:sz w:val="24"/>
          <w:szCs w:val="24"/>
        </w:rPr>
        <w:t xml:space="preserve">on Melo pp. </w:t>
      </w:r>
      <w:r w:rsidRPr="00EA7770">
        <w:rPr>
          <w:rFonts w:ascii="Times New Roman" w:hAnsi="Times New Roman"/>
          <w:sz w:val="24"/>
          <w:szCs w:val="24"/>
        </w:rPr>
        <w:t>7-37</w:t>
      </w:r>
      <w:r w:rsidR="00F816DE" w:rsidRPr="00EA7770">
        <w:rPr>
          <w:rFonts w:ascii="Times New Roman" w:hAnsi="Times New Roman"/>
          <w:sz w:val="24"/>
          <w:szCs w:val="24"/>
        </w:rPr>
        <w:t>.</w:t>
      </w:r>
    </w:p>
    <w:p w14:paraId="0C1817D2" w14:textId="7F409CDC" w:rsidR="00204620" w:rsidRPr="00EA7770" w:rsidRDefault="00204620"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lang w:val="en-US"/>
        </w:rPr>
        <w:t xml:space="preserve">HADDAD, Emma. </w:t>
      </w:r>
      <w:r w:rsidRPr="00EA7770">
        <w:rPr>
          <w:rFonts w:ascii="Times New Roman" w:hAnsi="Times New Roman"/>
          <w:i/>
          <w:sz w:val="24"/>
          <w:szCs w:val="24"/>
          <w:lang w:val="en-US"/>
        </w:rPr>
        <w:t>The Refugee in International Society – Between Sovereigns</w:t>
      </w:r>
      <w:r w:rsidRPr="00EA7770">
        <w:rPr>
          <w:rFonts w:ascii="Times New Roman" w:hAnsi="Times New Roman"/>
          <w:sz w:val="24"/>
          <w:szCs w:val="24"/>
          <w:lang w:val="en-US"/>
        </w:rPr>
        <w:t>. Cambridge: Cambridge University Press/ Cambridge Studies in International Relations nº 106, 2008.</w:t>
      </w:r>
    </w:p>
    <w:p w14:paraId="6CCEA745" w14:textId="6D39F8EC" w:rsidR="004830BB" w:rsidRPr="00EA7770" w:rsidRDefault="00F76777" w:rsidP="009D7E8B">
      <w:pPr>
        <w:spacing w:line="360" w:lineRule="auto"/>
        <w:contextualSpacing/>
        <w:rPr>
          <w:rFonts w:ascii="Times New Roman" w:hAnsi="Times New Roman"/>
          <w:sz w:val="24"/>
          <w:szCs w:val="24"/>
          <w:lang w:val="en-US" w:eastAsia="pt-BR"/>
        </w:rPr>
      </w:pPr>
      <w:r w:rsidRPr="00EA7770">
        <w:rPr>
          <w:rFonts w:ascii="Times New Roman" w:hAnsi="Times New Roman"/>
          <w:sz w:val="24"/>
          <w:szCs w:val="24"/>
        </w:rPr>
        <w:t>HATHAWAY ,</w:t>
      </w:r>
      <w:r w:rsidR="004830BB" w:rsidRPr="00EA7770">
        <w:rPr>
          <w:rFonts w:ascii="Times New Roman" w:hAnsi="Times New Roman"/>
          <w:sz w:val="24"/>
          <w:szCs w:val="24"/>
        </w:rPr>
        <w:t>James C. “The Evolution of Refugee Status in International Law</w:t>
      </w:r>
      <w:r w:rsidR="004830BB" w:rsidRPr="00EA7770">
        <w:rPr>
          <w:rFonts w:ascii="Times New Roman" w:hAnsi="Times New Roman"/>
          <w:i/>
          <w:sz w:val="24"/>
          <w:szCs w:val="24"/>
        </w:rPr>
        <w:t>:</w:t>
      </w:r>
      <w:r w:rsidR="004830BB" w:rsidRPr="00EA7770">
        <w:rPr>
          <w:rFonts w:ascii="Times New Roman" w:hAnsi="Times New Roman"/>
          <w:sz w:val="24"/>
          <w:szCs w:val="24"/>
        </w:rPr>
        <w:t xml:space="preserve"> 1920- 1950”. </w:t>
      </w:r>
      <w:r w:rsidR="004830BB" w:rsidRPr="00EA7770">
        <w:rPr>
          <w:rFonts w:ascii="Times New Roman" w:hAnsi="Times New Roman"/>
          <w:i/>
          <w:sz w:val="24"/>
          <w:szCs w:val="24"/>
        </w:rPr>
        <w:t>The International and Comparative Law Quaterly</w:t>
      </w:r>
      <w:r w:rsidR="004830BB" w:rsidRPr="00EA7770">
        <w:rPr>
          <w:rFonts w:ascii="Times New Roman" w:hAnsi="Times New Roman"/>
          <w:sz w:val="24"/>
          <w:szCs w:val="24"/>
        </w:rPr>
        <w:t>, vol. 33, nº 2 (abril 1984), pp. 348-80.</w:t>
      </w:r>
    </w:p>
    <w:p w14:paraId="7A3D7635" w14:textId="21A29D03" w:rsidR="00204620" w:rsidRPr="00EA7770" w:rsidRDefault="00204620" w:rsidP="009D7E8B">
      <w:pPr>
        <w:spacing w:after="0" w:line="360" w:lineRule="auto"/>
        <w:contextualSpacing/>
        <w:jc w:val="both"/>
        <w:rPr>
          <w:rFonts w:ascii="Times New Roman" w:hAnsi="Times New Roman"/>
          <w:sz w:val="24"/>
          <w:szCs w:val="24"/>
        </w:rPr>
      </w:pPr>
      <w:r w:rsidRPr="00EA7770">
        <w:rPr>
          <w:rFonts w:ascii="Times New Roman" w:hAnsi="Times New Roman"/>
          <w:sz w:val="24"/>
          <w:szCs w:val="24"/>
        </w:rPr>
        <w:t>HIGGINS, Michael D.</w:t>
      </w:r>
      <w:r w:rsidRPr="00EA7770">
        <w:rPr>
          <w:rFonts w:ascii="Times New Roman" w:hAnsi="Times New Roman"/>
          <w:i/>
          <w:sz w:val="24"/>
          <w:szCs w:val="24"/>
        </w:rPr>
        <w:t xml:space="preserve"> </w:t>
      </w:r>
      <w:r w:rsidRPr="00EA7770">
        <w:rPr>
          <w:rFonts w:ascii="Times New Roman" w:hAnsi="Times New Roman"/>
          <w:sz w:val="24"/>
          <w:szCs w:val="24"/>
          <w:lang w:val="en-US"/>
        </w:rPr>
        <w:t>“</w:t>
      </w:r>
      <w:r w:rsidRPr="00EA7770">
        <w:rPr>
          <w:rFonts w:ascii="Times New Roman" w:hAnsi="Times New Roman"/>
          <w:sz w:val="24"/>
          <w:szCs w:val="24"/>
        </w:rPr>
        <w:t>Roger Casement e a Amazônia</w:t>
      </w:r>
      <w:r w:rsidRPr="00EA7770">
        <w:rPr>
          <w:rFonts w:ascii="Times New Roman" w:hAnsi="Times New Roman"/>
          <w:sz w:val="24"/>
          <w:szCs w:val="24"/>
          <w:lang w:val="en-US"/>
        </w:rPr>
        <w:t>”</w:t>
      </w:r>
      <w:r w:rsidRPr="00EA7770">
        <w:rPr>
          <w:rFonts w:ascii="Times New Roman" w:hAnsi="Times New Roman"/>
          <w:sz w:val="24"/>
          <w:szCs w:val="24"/>
        </w:rPr>
        <w:t>,</w:t>
      </w:r>
      <w:r w:rsidRPr="00EA7770">
        <w:rPr>
          <w:rFonts w:ascii="Times New Roman" w:hAnsi="Times New Roman"/>
          <w:i/>
          <w:sz w:val="24"/>
          <w:szCs w:val="24"/>
        </w:rPr>
        <w:t xml:space="preserve"> </w:t>
      </w:r>
      <w:r w:rsidRPr="00EA7770">
        <w:rPr>
          <w:rFonts w:ascii="Times New Roman" w:hAnsi="Times New Roman"/>
          <w:sz w:val="24"/>
          <w:szCs w:val="24"/>
        </w:rPr>
        <w:t xml:space="preserve">prefácio de Angus Mitchell (editor); Laura P. Z. Izarra e Mariana Bolfarine (orgs.). </w:t>
      </w:r>
      <w:r w:rsidRPr="00EA7770">
        <w:rPr>
          <w:rFonts w:ascii="Times New Roman" w:hAnsi="Times New Roman"/>
          <w:i/>
          <w:sz w:val="24"/>
          <w:szCs w:val="24"/>
        </w:rPr>
        <w:t xml:space="preserve">Diário da Amazônia de Roger Casement. </w:t>
      </w:r>
      <w:r w:rsidRPr="00EA7770">
        <w:rPr>
          <w:rFonts w:ascii="Times New Roman" w:hAnsi="Times New Roman"/>
          <w:sz w:val="24"/>
          <w:szCs w:val="24"/>
        </w:rPr>
        <w:t>Tradução de Mariana Bolfarine (coord.) e Mail Marqus de Azevedo e Maria Rita Drumond Viana. São Paulo: Editora da Universidade de São Paulo, 2016.</w:t>
      </w:r>
    </w:p>
    <w:p w14:paraId="766E50FB" w14:textId="5CE161E4" w:rsidR="00C30895" w:rsidRPr="00EA7770" w:rsidRDefault="00C30895" w:rsidP="009D7E8B">
      <w:pPr>
        <w:spacing w:after="0" w:line="360" w:lineRule="auto"/>
        <w:contextualSpacing/>
        <w:jc w:val="both"/>
        <w:rPr>
          <w:rFonts w:ascii="Times New Roman" w:hAnsi="Times New Roman"/>
          <w:sz w:val="24"/>
          <w:szCs w:val="24"/>
          <w:lang w:val="en-US"/>
        </w:rPr>
      </w:pPr>
      <w:r w:rsidRPr="00EA7770">
        <w:rPr>
          <w:rFonts w:ascii="Times New Roman" w:hAnsi="Times New Roman"/>
          <w:sz w:val="24"/>
          <w:szCs w:val="24"/>
        </w:rPr>
        <w:t xml:space="preserve">HOBSBAWN, Eric J. </w:t>
      </w:r>
      <w:r w:rsidRPr="00EA7770">
        <w:rPr>
          <w:rFonts w:ascii="Times New Roman" w:hAnsi="Times New Roman"/>
          <w:i/>
          <w:sz w:val="24"/>
          <w:szCs w:val="24"/>
        </w:rPr>
        <w:t>A Era dos Impérios: 1875-1914</w:t>
      </w:r>
      <w:r w:rsidRPr="00EA7770">
        <w:rPr>
          <w:rFonts w:ascii="Times New Roman" w:hAnsi="Times New Roman"/>
          <w:sz w:val="24"/>
          <w:szCs w:val="24"/>
        </w:rPr>
        <w:t>. São Paulo: Editora Paz e Terra, 20</w:t>
      </w:r>
      <w:r w:rsidR="00F816DE" w:rsidRPr="00EA7770">
        <w:rPr>
          <w:rFonts w:ascii="Times New Roman" w:hAnsi="Times New Roman"/>
          <w:sz w:val="24"/>
          <w:szCs w:val="24"/>
        </w:rPr>
        <w:t>16 [1988].</w:t>
      </w:r>
    </w:p>
    <w:p w14:paraId="22ECC771" w14:textId="4D755AFE" w:rsidR="00204620" w:rsidRPr="00EA7770" w:rsidRDefault="00204620"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lang w:val="en-US"/>
        </w:rPr>
        <w:t>HOFFMANN, Stefan-Ludwig. “Human Rights and History”</w:t>
      </w:r>
      <w:r w:rsidRPr="00EA7770">
        <w:rPr>
          <w:rFonts w:ascii="Times New Roman" w:hAnsi="Times New Roman"/>
          <w:i/>
          <w:sz w:val="24"/>
          <w:szCs w:val="24"/>
          <w:lang w:val="en-US"/>
        </w:rPr>
        <w:t xml:space="preserve">. </w:t>
      </w:r>
      <w:r w:rsidRPr="00EA7770">
        <w:rPr>
          <w:rFonts w:ascii="Times New Roman" w:hAnsi="Times New Roman"/>
          <w:sz w:val="24"/>
          <w:szCs w:val="24"/>
          <w:lang w:val="en-US"/>
        </w:rPr>
        <w:t>Past and Present Society</w:t>
      </w:r>
      <w:r w:rsidRPr="00EA7770">
        <w:rPr>
          <w:rFonts w:ascii="Times New Roman" w:hAnsi="Times New Roman"/>
          <w:i/>
          <w:sz w:val="24"/>
          <w:szCs w:val="24"/>
          <w:lang w:val="en-US"/>
        </w:rPr>
        <w:t xml:space="preserve"> </w:t>
      </w:r>
      <w:r w:rsidRPr="00EA7770">
        <w:rPr>
          <w:rFonts w:ascii="Times New Roman" w:hAnsi="Times New Roman"/>
          <w:sz w:val="24"/>
          <w:szCs w:val="24"/>
          <w:lang w:val="en-US"/>
        </w:rPr>
        <w:t>(Oxford-2016)</w:t>
      </w:r>
      <w:r w:rsidR="00F816DE" w:rsidRPr="00EA7770">
        <w:rPr>
          <w:rFonts w:ascii="Times New Roman" w:hAnsi="Times New Roman"/>
          <w:sz w:val="24"/>
          <w:szCs w:val="24"/>
          <w:lang w:val="en-US"/>
        </w:rPr>
        <w:t>,</w:t>
      </w:r>
      <w:r w:rsidRPr="00EA7770">
        <w:rPr>
          <w:rFonts w:ascii="Times New Roman" w:hAnsi="Times New Roman"/>
          <w:sz w:val="24"/>
          <w:szCs w:val="24"/>
          <w:lang w:val="en-US"/>
        </w:rPr>
        <w:t xml:space="preserve"> pp. 279-310.</w:t>
      </w:r>
    </w:p>
    <w:p w14:paraId="70ABFB03" w14:textId="77777777" w:rsidR="00204620" w:rsidRPr="00EA7770" w:rsidRDefault="00204620" w:rsidP="009D7E8B">
      <w:pPr>
        <w:autoSpaceDE w:val="0"/>
        <w:autoSpaceDN w:val="0"/>
        <w:adjustRightInd w:val="0"/>
        <w:spacing w:line="360" w:lineRule="auto"/>
        <w:contextualSpacing/>
        <w:rPr>
          <w:rStyle w:val="txtarial8ptblack1"/>
          <w:rFonts w:ascii="Times New Roman" w:hAnsi="Times New Roman"/>
          <w:bCs/>
          <w:sz w:val="24"/>
          <w:szCs w:val="24"/>
          <w:lang w:val="en-US"/>
        </w:rPr>
      </w:pPr>
      <w:r w:rsidRPr="00EA7770">
        <w:rPr>
          <w:rStyle w:val="txtarial8ptblack1"/>
          <w:rFonts w:ascii="Times New Roman" w:hAnsi="Times New Roman"/>
          <w:bCs/>
          <w:sz w:val="24"/>
          <w:szCs w:val="24"/>
          <w:lang w:val="en-US"/>
        </w:rPr>
        <w:t xml:space="preserve">HOFFMANN, Stefan-Ludwig (editor). </w:t>
      </w:r>
      <w:r w:rsidRPr="00EA7770">
        <w:rPr>
          <w:rStyle w:val="txtarial8ptblack1"/>
          <w:rFonts w:ascii="Times New Roman" w:hAnsi="Times New Roman"/>
          <w:bCs/>
          <w:i/>
          <w:sz w:val="24"/>
          <w:szCs w:val="24"/>
          <w:lang w:val="en-US"/>
        </w:rPr>
        <w:t xml:space="preserve">Human Rights in the Twentieth Century. </w:t>
      </w:r>
      <w:r w:rsidRPr="00EA7770">
        <w:rPr>
          <w:rStyle w:val="txtarial8ptblack1"/>
          <w:rFonts w:ascii="Times New Roman" w:hAnsi="Times New Roman"/>
          <w:bCs/>
          <w:sz w:val="24"/>
          <w:szCs w:val="24"/>
          <w:lang w:val="en-US"/>
        </w:rPr>
        <w:t>Cambridge: Cambridge University Press, 2011.</w:t>
      </w:r>
    </w:p>
    <w:p w14:paraId="10C98E70" w14:textId="0EA41D5B"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HONNETH, Axel. </w:t>
      </w:r>
      <w:r w:rsidRPr="00EA7770">
        <w:rPr>
          <w:rFonts w:ascii="Times New Roman" w:hAnsi="Times New Roman"/>
          <w:i/>
          <w:sz w:val="24"/>
          <w:szCs w:val="24"/>
        </w:rPr>
        <w:t>Luta por Reconhecimento – A Gramática Moral dos Conflitos Sociais</w:t>
      </w:r>
      <w:r w:rsidRPr="00EA7770">
        <w:rPr>
          <w:rFonts w:ascii="Times New Roman" w:hAnsi="Times New Roman"/>
          <w:sz w:val="24"/>
          <w:szCs w:val="24"/>
        </w:rPr>
        <w:t>. São Paulo: Editora 34, 2003.</w:t>
      </w:r>
    </w:p>
    <w:p w14:paraId="4906F005" w14:textId="6324C73A" w:rsidR="00AA324E" w:rsidRPr="00EA7770" w:rsidRDefault="00AA324E" w:rsidP="009D7E8B">
      <w:pPr>
        <w:spacing w:line="360" w:lineRule="auto"/>
        <w:contextualSpacing/>
        <w:rPr>
          <w:rFonts w:ascii="Times New Roman" w:hAnsi="Times New Roman"/>
          <w:sz w:val="24"/>
          <w:szCs w:val="24"/>
        </w:rPr>
      </w:pPr>
      <w:r w:rsidRPr="00EA7770">
        <w:rPr>
          <w:rFonts w:ascii="Times New Roman" w:hAnsi="Times New Roman"/>
          <w:sz w:val="24"/>
          <w:szCs w:val="24"/>
        </w:rPr>
        <w:t>_______________</w:t>
      </w:r>
      <w:r w:rsidRPr="00A931C3">
        <w:rPr>
          <w:rFonts w:ascii="Times New Roman" w:hAnsi="Times New Roman"/>
          <w:sz w:val="24"/>
          <w:lang w:val="en-US"/>
        </w:rPr>
        <w:t xml:space="preserve">. </w:t>
      </w:r>
      <w:r w:rsidRPr="00EA7770">
        <w:rPr>
          <w:rFonts w:ascii="Times New Roman" w:hAnsi="Times New Roman"/>
          <w:i/>
          <w:sz w:val="24"/>
          <w:szCs w:val="24"/>
          <w:lang w:val="en-US"/>
        </w:rPr>
        <w:t xml:space="preserve">Integrity and Disrespect: Principles of a Conception of Morality based on the Theory of Recognition </w:t>
      </w:r>
      <w:r w:rsidRPr="00EA7770">
        <w:rPr>
          <w:rFonts w:ascii="Times New Roman" w:hAnsi="Times New Roman"/>
          <w:sz w:val="24"/>
          <w:szCs w:val="24"/>
          <w:lang w:val="en-US"/>
        </w:rPr>
        <w:t>Political Theory, vol. 20, nº 2, (maio, 1992) pp. 187-201.</w:t>
      </w:r>
    </w:p>
    <w:p w14:paraId="6B46CD1C" w14:textId="35168A08" w:rsidR="00204620" w:rsidRPr="00EA7770" w:rsidRDefault="00204620"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lang w:val="en-US"/>
        </w:rPr>
        <w:lastRenderedPageBreak/>
        <w:t xml:space="preserve">HUMPHREY, John. </w:t>
      </w:r>
      <w:r w:rsidRPr="00EA7770">
        <w:rPr>
          <w:rFonts w:ascii="Times New Roman" w:hAnsi="Times New Roman"/>
          <w:i/>
          <w:sz w:val="24"/>
          <w:szCs w:val="24"/>
          <w:lang w:val="en-US"/>
        </w:rPr>
        <w:t>No Distant Milleniunn – The International Law of Human Rights</w:t>
      </w:r>
      <w:r w:rsidRPr="00EA7770">
        <w:rPr>
          <w:rFonts w:ascii="Times New Roman" w:hAnsi="Times New Roman"/>
          <w:sz w:val="24"/>
          <w:szCs w:val="24"/>
          <w:lang w:val="en-US"/>
        </w:rPr>
        <w:t>. Paris: UNESCO, 1989.</w:t>
      </w:r>
    </w:p>
    <w:p w14:paraId="3CBA35F0" w14:textId="26ED2A2E" w:rsidR="00AA324E" w:rsidRPr="00EA7770" w:rsidRDefault="00AA324E"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rPr>
        <w:t xml:space="preserve">HUNT, Lynn </w:t>
      </w:r>
      <w:r w:rsidRPr="00EA7770">
        <w:rPr>
          <w:rFonts w:ascii="Times New Roman" w:hAnsi="Times New Roman"/>
          <w:i/>
          <w:sz w:val="24"/>
          <w:szCs w:val="24"/>
        </w:rPr>
        <w:t xml:space="preserve">A invenção dos Direitos Humanos: </w:t>
      </w:r>
      <w:r w:rsidRPr="00EA7770">
        <w:rPr>
          <w:rFonts w:ascii="Times New Roman" w:hAnsi="Times New Roman"/>
          <w:sz w:val="24"/>
          <w:szCs w:val="24"/>
        </w:rPr>
        <w:t>Uma História. Tradução de Rosaura Eichenberg. Sã</w:t>
      </w:r>
      <w:r w:rsidR="00F816DE" w:rsidRPr="00EA7770">
        <w:rPr>
          <w:rFonts w:ascii="Times New Roman" w:hAnsi="Times New Roman"/>
          <w:sz w:val="24"/>
          <w:szCs w:val="24"/>
        </w:rPr>
        <w:t>o Paulo: Companhia das Letras, [2007]</w:t>
      </w:r>
      <w:r w:rsidRPr="00EA7770">
        <w:rPr>
          <w:rFonts w:ascii="Times New Roman" w:hAnsi="Times New Roman"/>
          <w:sz w:val="24"/>
          <w:szCs w:val="24"/>
        </w:rPr>
        <w:t xml:space="preserve"> 2009.</w:t>
      </w:r>
    </w:p>
    <w:p w14:paraId="7096B4F7" w14:textId="7321BF6E" w:rsidR="00204620" w:rsidRPr="00EA7770" w:rsidRDefault="00204620" w:rsidP="009D7E8B">
      <w:pPr>
        <w:autoSpaceDE w:val="0"/>
        <w:autoSpaceDN w:val="0"/>
        <w:adjustRightInd w:val="0"/>
        <w:spacing w:line="360" w:lineRule="auto"/>
        <w:contextualSpacing/>
        <w:rPr>
          <w:rStyle w:val="txtarial8ptblack1"/>
          <w:rFonts w:ascii="Times New Roman" w:hAnsi="Times New Roman"/>
          <w:bCs/>
          <w:sz w:val="24"/>
          <w:szCs w:val="24"/>
        </w:rPr>
      </w:pPr>
      <w:r w:rsidRPr="00EA7770">
        <w:rPr>
          <w:rStyle w:val="txtarial8ptblack1"/>
          <w:rFonts w:ascii="Times New Roman" w:hAnsi="Times New Roman"/>
          <w:bCs/>
          <w:sz w:val="24"/>
          <w:szCs w:val="24"/>
        </w:rPr>
        <w:t xml:space="preserve">ISRAEL, Gerard. </w:t>
      </w:r>
      <w:r w:rsidRPr="00EA7770">
        <w:rPr>
          <w:rStyle w:val="txtarial8ptblack1"/>
          <w:rFonts w:ascii="Times New Roman" w:hAnsi="Times New Roman"/>
          <w:bCs/>
          <w:i/>
          <w:sz w:val="24"/>
          <w:szCs w:val="24"/>
        </w:rPr>
        <w:t xml:space="preserve">René Cassin e os Direitos Humanos. </w:t>
      </w:r>
      <w:r w:rsidRPr="00EA7770">
        <w:rPr>
          <w:rStyle w:val="txtarial8ptblack1"/>
          <w:rFonts w:ascii="Times New Roman" w:hAnsi="Times New Roman"/>
          <w:bCs/>
          <w:sz w:val="24"/>
          <w:szCs w:val="24"/>
        </w:rPr>
        <w:t>São Paulo: EDUSP, 2010.</w:t>
      </w:r>
    </w:p>
    <w:p w14:paraId="70B9E681" w14:textId="122AD85D" w:rsidR="00C147DF" w:rsidRPr="00EA7770" w:rsidRDefault="00C147DF" w:rsidP="009D7E8B">
      <w:pPr>
        <w:autoSpaceDE w:val="0"/>
        <w:autoSpaceDN w:val="0"/>
        <w:adjustRightInd w:val="0"/>
        <w:spacing w:line="360" w:lineRule="auto"/>
        <w:contextualSpacing/>
        <w:rPr>
          <w:rStyle w:val="txtarial8ptblack1"/>
          <w:rFonts w:ascii="Times New Roman" w:hAnsi="Times New Roman"/>
          <w:bCs/>
          <w:sz w:val="24"/>
          <w:szCs w:val="24"/>
        </w:rPr>
      </w:pPr>
      <w:r w:rsidRPr="00EA7770">
        <w:rPr>
          <w:rFonts w:ascii="Times New Roman" w:hAnsi="Times New Roman"/>
          <w:sz w:val="24"/>
          <w:szCs w:val="24"/>
        </w:rPr>
        <w:t>IZARRA, Laura P.Z.. “Roger Casement e a Amazônia”</w:t>
      </w:r>
      <w:r w:rsidRPr="00EA7770">
        <w:rPr>
          <w:rFonts w:ascii="Times New Roman" w:hAnsi="Times New Roman"/>
          <w:i/>
          <w:sz w:val="24"/>
          <w:szCs w:val="24"/>
        </w:rPr>
        <w:t xml:space="preserve">, </w:t>
      </w:r>
      <w:r w:rsidRPr="00EA7770">
        <w:rPr>
          <w:rFonts w:ascii="Times New Roman" w:hAnsi="Times New Roman"/>
          <w:sz w:val="24"/>
          <w:szCs w:val="24"/>
        </w:rPr>
        <w:t xml:space="preserve">prefácio de Angus Mitchell. </w:t>
      </w:r>
      <w:r w:rsidRPr="00EA7770">
        <w:rPr>
          <w:rFonts w:ascii="Times New Roman" w:hAnsi="Times New Roman"/>
          <w:i/>
          <w:sz w:val="24"/>
          <w:szCs w:val="24"/>
        </w:rPr>
        <w:t xml:space="preserve">Roger Casement no Brasil: A Borracha, a Amazônia e o Mundo do Atlântico 1884-1916. </w:t>
      </w:r>
      <w:r w:rsidRPr="00EA7770">
        <w:rPr>
          <w:rFonts w:ascii="Times New Roman" w:hAnsi="Times New Roman"/>
          <w:sz w:val="24"/>
          <w:szCs w:val="24"/>
        </w:rPr>
        <w:t>Tradução de Mariana Bolfarine, organização de Laura L.P. Izarra. São Paulo: W.B. Yeats Chair of Irish Studies; Humanitas, 2011</w:t>
      </w:r>
      <w:r w:rsidR="00F816DE" w:rsidRPr="00EA7770">
        <w:rPr>
          <w:rFonts w:ascii="Times New Roman" w:hAnsi="Times New Roman"/>
          <w:sz w:val="24"/>
          <w:szCs w:val="24"/>
        </w:rPr>
        <w:t>.</w:t>
      </w:r>
    </w:p>
    <w:p w14:paraId="755A5A27" w14:textId="6BE7D3F6" w:rsidR="00CD5839" w:rsidRPr="00EA7770" w:rsidRDefault="00CD5839" w:rsidP="009D7E8B">
      <w:pPr>
        <w:autoSpaceDE w:val="0"/>
        <w:autoSpaceDN w:val="0"/>
        <w:adjustRightInd w:val="0"/>
        <w:spacing w:line="360" w:lineRule="auto"/>
        <w:contextualSpacing/>
        <w:rPr>
          <w:rStyle w:val="txtarial8ptblack1"/>
          <w:rFonts w:ascii="Times New Roman" w:hAnsi="Times New Roman"/>
          <w:bCs/>
          <w:sz w:val="24"/>
          <w:szCs w:val="24"/>
        </w:rPr>
      </w:pPr>
      <w:r w:rsidRPr="00EA7770">
        <w:rPr>
          <w:rFonts w:ascii="Times New Roman" w:hAnsi="Times New Roman"/>
          <w:sz w:val="24"/>
          <w:szCs w:val="24"/>
        </w:rPr>
        <w:t xml:space="preserve">JAMES, William </w:t>
      </w:r>
      <w:r w:rsidRPr="00EA7770">
        <w:rPr>
          <w:rFonts w:ascii="TimesNewRomanPSMT" w:hAnsi="TimesNewRomanPSMT" w:cs="TimesNewRomanPSMT"/>
          <w:i/>
          <w:sz w:val="24"/>
          <w:szCs w:val="24"/>
        </w:rPr>
        <w:t>Pragmatism: a new name for some old ways of thinking</w:t>
      </w:r>
      <w:r w:rsidRPr="00EA7770">
        <w:rPr>
          <w:rFonts w:ascii="TimesNewRomanPSMT" w:hAnsi="TimesNewRomanPSMT" w:cs="TimesNewRomanPSMT"/>
          <w:sz w:val="24"/>
          <w:szCs w:val="24"/>
        </w:rPr>
        <w:t xml:space="preserve"> (1907).</w:t>
      </w:r>
    </w:p>
    <w:p w14:paraId="60A96E73" w14:textId="0B8AA2BC" w:rsidR="00204620" w:rsidRPr="00EA7770" w:rsidRDefault="00204620"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hAnsi="Times New Roman"/>
          <w:bCs/>
          <w:sz w:val="24"/>
          <w:szCs w:val="24"/>
        </w:rPr>
        <w:t xml:space="preserve">JENSEN, Steven L.B. </w:t>
      </w:r>
      <w:r w:rsidRPr="00EA7770">
        <w:rPr>
          <w:rFonts w:ascii="Times New Roman" w:hAnsi="Times New Roman"/>
          <w:bCs/>
          <w:i/>
          <w:sz w:val="24"/>
          <w:szCs w:val="24"/>
        </w:rPr>
        <w:t>The Making of International Human Rights – The 1960’s, Decolonization, and the Reconstruction of Global Values</w:t>
      </w:r>
      <w:r w:rsidRPr="00EA7770">
        <w:rPr>
          <w:rFonts w:ascii="Times New Roman" w:hAnsi="Times New Roman"/>
          <w:bCs/>
          <w:sz w:val="24"/>
          <w:szCs w:val="24"/>
        </w:rPr>
        <w:t>. Cambridge: Cambri</w:t>
      </w:r>
      <w:r w:rsidR="00C30895" w:rsidRPr="00EA7770">
        <w:rPr>
          <w:rFonts w:ascii="Times New Roman" w:hAnsi="Times New Roman"/>
          <w:bCs/>
          <w:sz w:val="24"/>
          <w:szCs w:val="24"/>
        </w:rPr>
        <w:t>d</w:t>
      </w:r>
      <w:r w:rsidRPr="00EA7770">
        <w:rPr>
          <w:rFonts w:ascii="Times New Roman" w:hAnsi="Times New Roman"/>
          <w:bCs/>
          <w:sz w:val="24"/>
          <w:szCs w:val="24"/>
        </w:rPr>
        <w:t>ge University Press, 2016.</w:t>
      </w:r>
    </w:p>
    <w:p w14:paraId="5EFF2265" w14:textId="2A8DDC15" w:rsidR="00204620" w:rsidRPr="00EA7770" w:rsidRDefault="00204620"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hAnsi="Times New Roman"/>
          <w:bCs/>
          <w:sz w:val="24"/>
          <w:szCs w:val="24"/>
        </w:rPr>
        <w:t xml:space="preserve">JOAS, Hans. </w:t>
      </w:r>
      <w:r w:rsidRPr="00EA7770">
        <w:rPr>
          <w:rFonts w:ascii="Times New Roman" w:hAnsi="Times New Roman"/>
          <w:bCs/>
          <w:i/>
          <w:sz w:val="24"/>
          <w:szCs w:val="24"/>
        </w:rPr>
        <w:t>A Sacralidade da Pessoa – Nova Genealogia dos Direitos Humanos.</w:t>
      </w:r>
      <w:r w:rsidRPr="00EA7770">
        <w:rPr>
          <w:rFonts w:ascii="Times New Roman" w:hAnsi="Times New Roman"/>
          <w:bCs/>
          <w:sz w:val="24"/>
          <w:szCs w:val="24"/>
        </w:rPr>
        <w:t xml:space="preserve"> São Paulo: Editora da UNESP, [2011] 2012.</w:t>
      </w:r>
    </w:p>
    <w:p w14:paraId="1F40CEB3" w14:textId="5DB71306" w:rsidR="00AA324E" w:rsidRPr="00EA7770" w:rsidRDefault="00AA324E" w:rsidP="009D7E8B">
      <w:pPr>
        <w:autoSpaceDE w:val="0"/>
        <w:autoSpaceDN w:val="0"/>
        <w:adjustRightInd w:val="0"/>
        <w:spacing w:line="360" w:lineRule="auto"/>
        <w:contextualSpacing/>
        <w:rPr>
          <w:rFonts w:ascii="Times New Roman" w:hAnsi="Times New Roman"/>
          <w:sz w:val="24"/>
          <w:szCs w:val="24"/>
        </w:rPr>
      </w:pPr>
      <w:r w:rsidRPr="00EA7770">
        <w:rPr>
          <w:rFonts w:ascii="Times New Roman" w:hAnsi="Times New Roman"/>
          <w:sz w:val="24"/>
          <w:szCs w:val="24"/>
        </w:rPr>
        <w:t xml:space="preserve">KALSHOVEN, Frits e ZEGVELD, Liesbeth. </w:t>
      </w:r>
      <w:r w:rsidRPr="00EA7770">
        <w:rPr>
          <w:rFonts w:ascii="Times New Roman" w:hAnsi="Times New Roman"/>
          <w:i/>
          <w:sz w:val="24"/>
          <w:szCs w:val="24"/>
        </w:rPr>
        <w:t xml:space="preserve">Restricciones en la conducción de la Guerra </w:t>
      </w:r>
      <w:r w:rsidRPr="00EA7770">
        <w:rPr>
          <w:rFonts w:ascii="Times New Roman" w:hAnsi="Times New Roman"/>
          <w:sz w:val="24"/>
          <w:szCs w:val="24"/>
        </w:rPr>
        <w:t>Introducción al Derecho Internacional Humanitario. Tradução de Margarita Polo, Buenos Aires: Centro de apoyo em Comunicaci</w:t>
      </w:r>
      <w:r w:rsidR="00F816DE" w:rsidRPr="00EA7770">
        <w:rPr>
          <w:rFonts w:ascii="Times New Roman" w:hAnsi="Times New Roman"/>
          <w:sz w:val="24"/>
          <w:szCs w:val="24"/>
        </w:rPr>
        <w:t>ón para América Latina (CICR): [2001]</w:t>
      </w:r>
      <w:r w:rsidRPr="00EA7770">
        <w:rPr>
          <w:rFonts w:ascii="Times New Roman" w:hAnsi="Times New Roman"/>
          <w:sz w:val="24"/>
          <w:szCs w:val="24"/>
        </w:rPr>
        <w:t xml:space="preserve"> 2005</w:t>
      </w:r>
      <w:r w:rsidR="00F816DE" w:rsidRPr="00EA7770">
        <w:rPr>
          <w:rFonts w:ascii="Times New Roman" w:hAnsi="Times New Roman"/>
          <w:sz w:val="24"/>
          <w:szCs w:val="24"/>
        </w:rPr>
        <w:t>.</w:t>
      </w:r>
    </w:p>
    <w:p w14:paraId="463238AE" w14:textId="4B9810D6" w:rsidR="00C13EE1" w:rsidRPr="00EA7770" w:rsidRDefault="00F816DE" w:rsidP="009D7E8B">
      <w:pPr>
        <w:autoSpaceDE w:val="0"/>
        <w:autoSpaceDN w:val="0"/>
        <w:adjustRightInd w:val="0"/>
        <w:spacing w:line="360" w:lineRule="auto"/>
        <w:contextualSpacing/>
        <w:rPr>
          <w:rFonts w:ascii="Times New Roman" w:hAnsi="Times New Roman"/>
          <w:sz w:val="24"/>
          <w:szCs w:val="24"/>
        </w:rPr>
      </w:pPr>
      <w:r w:rsidRPr="00EA7770">
        <w:rPr>
          <w:rFonts w:ascii="Times New Roman" w:hAnsi="Times New Roman"/>
          <w:sz w:val="24"/>
          <w:szCs w:val="24"/>
        </w:rPr>
        <w:t>KANT</w:t>
      </w:r>
      <w:r w:rsidR="00C13EE1" w:rsidRPr="00EA7770">
        <w:rPr>
          <w:rFonts w:ascii="Times New Roman" w:hAnsi="Times New Roman"/>
          <w:sz w:val="24"/>
          <w:szCs w:val="24"/>
        </w:rPr>
        <w:t>,</w:t>
      </w:r>
      <w:r w:rsidRPr="00EA7770">
        <w:rPr>
          <w:rFonts w:ascii="Times New Roman" w:hAnsi="Times New Roman"/>
          <w:sz w:val="24"/>
          <w:szCs w:val="24"/>
        </w:rPr>
        <w:t xml:space="preserve"> </w:t>
      </w:r>
      <w:r w:rsidR="00C13EE1" w:rsidRPr="00EA7770">
        <w:rPr>
          <w:rFonts w:ascii="Times New Roman" w:hAnsi="Times New Roman"/>
          <w:sz w:val="24"/>
          <w:szCs w:val="24"/>
        </w:rPr>
        <w:t xml:space="preserve">Immanuel. </w:t>
      </w:r>
      <w:r w:rsidR="00C13EE1" w:rsidRPr="00EA7770">
        <w:rPr>
          <w:rFonts w:ascii="Times New Roman" w:hAnsi="Times New Roman"/>
          <w:i/>
          <w:sz w:val="24"/>
          <w:szCs w:val="24"/>
        </w:rPr>
        <w:t xml:space="preserve">A Paz Perpétua e outros opúsculos, </w:t>
      </w:r>
      <w:r w:rsidR="00C13EE1" w:rsidRPr="00EA7770">
        <w:rPr>
          <w:rFonts w:ascii="Times New Roman" w:hAnsi="Times New Roman"/>
          <w:sz w:val="24"/>
          <w:szCs w:val="24"/>
        </w:rPr>
        <w:t xml:space="preserve">tradução de Artur Morão. Lisboa: Edições 70, </w:t>
      </w:r>
      <w:r w:rsidRPr="00EA7770">
        <w:rPr>
          <w:rFonts w:ascii="Times New Roman" w:hAnsi="Times New Roman"/>
          <w:sz w:val="24"/>
          <w:szCs w:val="24"/>
        </w:rPr>
        <w:t xml:space="preserve">[1795-1796] </w:t>
      </w:r>
      <w:r w:rsidR="00C13EE1" w:rsidRPr="00EA7770">
        <w:rPr>
          <w:rFonts w:ascii="Times New Roman" w:hAnsi="Times New Roman"/>
          <w:sz w:val="24"/>
          <w:szCs w:val="24"/>
        </w:rPr>
        <w:t>1995.</w:t>
      </w:r>
    </w:p>
    <w:p w14:paraId="431A9B40" w14:textId="79BF06F6" w:rsidR="00B226E2" w:rsidRPr="00EA7770" w:rsidRDefault="009D7E8B" w:rsidP="009D7E8B">
      <w:pPr>
        <w:autoSpaceDE w:val="0"/>
        <w:autoSpaceDN w:val="0"/>
        <w:adjustRightInd w:val="0"/>
        <w:spacing w:line="360" w:lineRule="auto"/>
        <w:contextualSpacing/>
        <w:rPr>
          <w:rFonts w:ascii="Times New Roman" w:hAnsi="Times New Roman"/>
          <w:bCs/>
          <w:sz w:val="24"/>
          <w:szCs w:val="24"/>
        </w:rPr>
      </w:pPr>
      <w:r>
        <w:rPr>
          <w:rFonts w:ascii="Times New Roman" w:hAnsi="Times New Roman"/>
          <w:sz w:val="24"/>
          <w:szCs w:val="24"/>
        </w:rPr>
        <w:t>KELSEN</w:t>
      </w:r>
      <w:r w:rsidR="00B226E2" w:rsidRPr="00EA7770">
        <w:rPr>
          <w:rFonts w:ascii="Times New Roman" w:hAnsi="Times New Roman"/>
          <w:sz w:val="24"/>
          <w:szCs w:val="24"/>
        </w:rPr>
        <w:t>,</w:t>
      </w:r>
      <w:r>
        <w:rPr>
          <w:rFonts w:ascii="Times New Roman" w:hAnsi="Times New Roman"/>
          <w:sz w:val="24"/>
          <w:szCs w:val="24"/>
        </w:rPr>
        <w:t xml:space="preserve"> </w:t>
      </w:r>
      <w:r w:rsidR="00B226E2" w:rsidRPr="00EA7770">
        <w:rPr>
          <w:rFonts w:ascii="Times New Roman" w:hAnsi="Times New Roman"/>
          <w:sz w:val="24"/>
          <w:szCs w:val="24"/>
        </w:rPr>
        <w:t xml:space="preserve">Hans. </w:t>
      </w:r>
      <w:r w:rsidR="00B226E2" w:rsidRPr="00EA7770">
        <w:rPr>
          <w:rFonts w:ascii="Times New Roman" w:hAnsi="Times New Roman"/>
          <w:i/>
          <w:sz w:val="24"/>
          <w:szCs w:val="24"/>
        </w:rPr>
        <w:t xml:space="preserve">Principles of International Law </w:t>
      </w:r>
      <w:r w:rsidR="00B226E2" w:rsidRPr="00EA7770">
        <w:rPr>
          <w:rFonts w:ascii="Times New Roman" w:hAnsi="Times New Roman"/>
          <w:sz w:val="24"/>
          <w:szCs w:val="24"/>
        </w:rPr>
        <w:t>New York: Rinehart&amp;Company, 1952</w:t>
      </w:r>
    </w:p>
    <w:p w14:paraId="7CD756C0" w14:textId="77777777" w:rsidR="00204620" w:rsidRPr="00EA7770" w:rsidRDefault="00204620"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lang w:val="en-US"/>
        </w:rPr>
        <w:t xml:space="preserve">KOSKENNIEMI, Martti. </w:t>
      </w:r>
      <w:r w:rsidRPr="00EA7770">
        <w:rPr>
          <w:rFonts w:ascii="Times New Roman" w:hAnsi="Times New Roman"/>
          <w:i/>
          <w:sz w:val="24"/>
          <w:szCs w:val="24"/>
          <w:lang w:val="en-US"/>
        </w:rPr>
        <w:t xml:space="preserve">The Gentle Civilizer of Nations – The Rise and fall of International Law 1870-1960. </w:t>
      </w:r>
      <w:r w:rsidRPr="00EA7770">
        <w:rPr>
          <w:rFonts w:ascii="Times New Roman" w:hAnsi="Times New Roman"/>
          <w:sz w:val="24"/>
          <w:szCs w:val="24"/>
          <w:lang w:val="en-US"/>
        </w:rPr>
        <w:t>Cambridge: Cambridge University Press, 2001.</w:t>
      </w:r>
    </w:p>
    <w:p w14:paraId="58152367" w14:textId="08901DDF"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LAFER, Celso. </w:t>
      </w:r>
      <w:r w:rsidRPr="00EA7770">
        <w:rPr>
          <w:rFonts w:ascii="Times New Roman" w:hAnsi="Times New Roman"/>
          <w:i/>
          <w:sz w:val="24"/>
          <w:szCs w:val="24"/>
        </w:rPr>
        <w:t>A Reconstrução dos Direitos Humanos – Um Diálogo com o Pensamento de Hannah Arendt</w:t>
      </w:r>
      <w:r w:rsidRPr="00EA7770">
        <w:rPr>
          <w:rFonts w:ascii="Times New Roman" w:hAnsi="Times New Roman"/>
          <w:sz w:val="24"/>
          <w:szCs w:val="24"/>
        </w:rPr>
        <w:t>. São Paulo: Companhia das Letras, 1988.</w:t>
      </w:r>
    </w:p>
    <w:p w14:paraId="1BD696EE" w14:textId="23CABD3B" w:rsidR="00AA324E" w:rsidRPr="00EA7770" w:rsidRDefault="00AA324E" w:rsidP="009D7E8B">
      <w:pPr>
        <w:spacing w:line="360" w:lineRule="auto"/>
        <w:contextualSpacing/>
        <w:rPr>
          <w:rFonts w:ascii="Times New Roman" w:hAnsi="Times New Roman"/>
          <w:sz w:val="24"/>
          <w:szCs w:val="24"/>
        </w:rPr>
      </w:pPr>
      <w:r w:rsidRPr="00EA7770">
        <w:rPr>
          <w:rFonts w:ascii="Times New Roman" w:hAnsi="Times New Roman"/>
          <w:sz w:val="24"/>
          <w:szCs w:val="24"/>
        </w:rPr>
        <w:t>_____________</w:t>
      </w:r>
      <w:r w:rsidRPr="00EA7770">
        <w:rPr>
          <w:rFonts w:ascii="Times New Roman" w:hAnsi="Times New Roman"/>
          <w:i/>
          <w:sz w:val="24"/>
          <w:szCs w:val="24"/>
        </w:rPr>
        <w:t xml:space="preserve"> A Declaração Universal dos Direitos Humanos de 1948: seu alcance e significado para a teoria dos direitos humanos </w:t>
      </w:r>
      <w:r w:rsidRPr="00EA7770">
        <w:rPr>
          <w:rFonts w:ascii="Times New Roman" w:hAnsi="Times New Roman"/>
          <w:sz w:val="24"/>
          <w:szCs w:val="24"/>
        </w:rPr>
        <w:t>In: Direitos Humanos Um percurso no Direito no Século XXI. São Paulo: Editora Atlas, 2015, p. 03-53</w:t>
      </w:r>
      <w:r w:rsidR="00F816DE" w:rsidRPr="00EA7770">
        <w:rPr>
          <w:rFonts w:ascii="Times New Roman" w:hAnsi="Times New Roman"/>
          <w:sz w:val="24"/>
          <w:szCs w:val="24"/>
        </w:rPr>
        <w:t>;</w:t>
      </w:r>
      <w:r w:rsidRPr="00A931C3">
        <w:rPr>
          <w:rFonts w:ascii="Times New Roman" w:hAnsi="Times New Roman"/>
          <w:sz w:val="24"/>
        </w:rPr>
        <w:t xml:space="preserve"> p. 9.</w:t>
      </w:r>
    </w:p>
    <w:p w14:paraId="3DFBFCD0" w14:textId="77777777"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____________ </w:t>
      </w:r>
      <w:r w:rsidRPr="00EA7770">
        <w:rPr>
          <w:rFonts w:ascii="Times New Roman" w:hAnsi="Times New Roman"/>
          <w:i/>
          <w:sz w:val="24"/>
          <w:szCs w:val="24"/>
        </w:rPr>
        <w:t xml:space="preserve">A Internacionalização dos Direitos Humanos – Constituição, Racismo e Relações Internacionais. </w:t>
      </w:r>
      <w:r w:rsidRPr="00EA7770">
        <w:rPr>
          <w:rFonts w:ascii="Times New Roman" w:hAnsi="Times New Roman"/>
          <w:sz w:val="24"/>
          <w:szCs w:val="24"/>
        </w:rPr>
        <w:t>Barueri: Editora Manole, 2005.</w:t>
      </w:r>
    </w:p>
    <w:p w14:paraId="071E7B9A" w14:textId="72B79BC8"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 </w:t>
      </w:r>
      <w:r w:rsidRPr="00EA7770">
        <w:rPr>
          <w:rFonts w:ascii="Times New Roman" w:hAnsi="Times New Roman"/>
          <w:i/>
          <w:sz w:val="24"/>
          <w:szCs w:val="24"/>
        </w:rPr>
        <w:t xml:space="preserve">A Internacionalização dos Direitos Humanos – O Desafio do Direito a </w:t>
      </w:r>
      <w:r w:rsidR="00C30895" w:rsidRPr="00EA7770">
        <w:rPr>
          <w:rFonts w:ascii="Times New Roman" w:hAnsi="Times New Roman"/>
          <w:i/>
          <w:sz w:val="24"/>
          <w:szCs w:val="24"/>
        </w:rPr>
        <w:t>t</w:t>
      </w:r>
      <w:r w:rsidRPr="00EA7770">
        <w:rPr>
          <w:rFonts w:ascii="Times New Roman" w:hAnsi="Times New Roman"/>
          <w:i/>
          <w:sz w:val="24"/>
          <w:szCs w:val="24"/>
        </w:rPr>
        <w:t>er Direitos</w:t>
      </w:r>
      <w:r w:rsidRPr="00EA7770">
        <w:rPr>
          <w:rFonts w:ascii="Times New Roman" w:hAnsi="Times New Roman"/>
          <w:sz w:val="24"/>
          <w:szCs w:val="24"/>
        </w:rPr>
        <w:t>. Revista do Tribunal Regional Federal</w:t>
      </w:r>
      <w:r w:rsidRPr="00EA7770">
        <w:rPr>
          <w:rFonts w:ascii="Times New Roman" w:hAnsi="Times New Roman"/>
          <w:i/>
          <w:sz w:val="24"/>
          <w:szCs w:val="24"/>
        </w:rPr>
        <w:t xml:space="preserve"> </w:t>
      </w:r>
      <w:r w:rsidRPr="00EA7770">
        <w:rPr>
          <w:rFonts w:ascii="Times New Roman" w:hAnsi="Times New Roman"/>
          <w:sz w:val="24"/>
          <w:szCs w:val="24"/>
        </w:rPr>
        <w:t xml:space="preserve">(3ª Região), vol. 75 jan/fev, 2006, pp. 37-54. </w:t>
      </w:r>
    </w:p>
    <w:p w14:paraId="377873B9" w14:textId="7C558962"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lastRenderedPageBreak/>
        <w:t>___________</w:t>
      </w:r>
      <w:r w:rsidRPr="00EA7770">
        <w:rPr>
          <w:rFonts w:ascii="Times New Roman" w:hAnsi="Times New Roman"/>
          <w:i/>
          <w:sz w:val="24"/>
          <w:szCs w:val="24"/>
        </w:rPr>
        <w:t xml:space="preserve"> Experiência, Ação e Narrativa: Reflexões sobre um Curso de Hannah Arendt</w:t>
      </w:r>
      <w:r w:rsidRPr="00EA7770">
        <w:rPr>
          <w:rFonts w:ascii="Times New Roman" w:hAnsi="Times New Roman"/>
          <w:i/>
          <w:sz w:val="24"/>
          <w:szCs w:val="24"/>
          <w:lang w:val="en-US"/>
        </w:rPr>
        <w:t>”.</w:t>
      </w:r>
      <w:r w:rsidRPr="00EA7770">
        <w:rPr>
          <w:rFonts w:ascii="Times New Roman" w:hAnsi="Times New Roman"/>
          <w:i/>
          <w:sz w:val="24"/>
          <w:szCs w:val="24"/>
        </w:rPr>
        <w:t xml:space="preserve"> Revista Estudos Avançados</w:t>
      </w:r>
      <w:r w:rsidRPr="00EA7770">
        <w:rPr>
          <w:rFonts w:ascii="Times New Roman" w:hAnsi="Times New Roman"/>
          <w:sz w:val="24"/>
          <w:szCs w:val="24"/>
        </w:rPr>
        <w:t xml:space="preserve"> 21 (60), 2007, pp. 289-304.</w:t>
      </w:r>
    </w:p>
    <w:p w14:paraId="6605709E" w14:textId="7639CD5E" w:rsidR="00CD5839" w:rsidRPr="00EA7770" w:rsidRDefault="00CD5839"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 </w:t>
      </w:r>
      <w:r w:rsidR="005C030A" w:rsidRPr="00EA7770">
        <w:rPr>
          <w:rFonts w:ascii="Times New Roman" w:hAnsi="Times New Roman"/>
          <w:sz w:val="24"/>
          <w:szCs w:val="24"/>
        </w:rPr>
        <w:t>“</w:t>
      </w:r>
      <w:r w:rsidRPr="00EA7770">
        <w:rPr>
          <w:rFonts w:ascii="Times New Roman" w:hAnsi="Times New Roman"/>
          <w:sz w:val="24"/>
          <w:szCs w:val="24"/>
        </w:rPr>
        <w:t>O Processo do Capitão Dreyfus: de Rui Barbosa: o Texto, seus contextos e desdobramentos</w:t>
      </w:r>
      <w:r w:rsidR="005C030A" w:rsidRPr="00EA7770">
        <w:rPr>
          <w:rFonts w:ascii="Times New Roman" w:hAnsi="Times New Roman"/>
          <w:sz w:val="24"/>
          <w:szCs w:val="24"/>
        </w:rPr>
        <w:t>”</w:t>
      </w:r>
      <w:r w:rsidRPr="00EA7770">
        <w:rPr>
          <w:rFonts w:ascii="Times New Roman" w:hAnsi="Times New Roman"/>
          <w:i/>
          <w:sz w:val="24"/>
          <w:szCs w:val="24"/>
        </w:rPr>
        <w:t xml:space="preserve">. </w:t>
      </w:r>
      <w:r w:rsidRPr="00EA7770">
        <w:rPr>
          <w:rFonts w:ascii="Times New Roman" w:hAnsi="Times New Roman"/>
          <w:sz w:val="24"/>
          <w:szCs w:val="24"/>
        </w:rPr>
        <w:t xml:space="preserve">In: </w:t>
      </w:r>
      <w:r w:rsidRPr="00EA7770">
        <w:rPr>
          <w:rFonts w:ascii="Times New Roman" w:hAnsi="Times New Roman"/>
          <w:i/>
          <w:sz w:val="24"/>
          <w:szCs w:val="24"/>
        </w:rPr>
        <w:t xml:space="preserve">Direitos Humanos: Um percurso no Direito no Século XXI </w:t>
      </w:r>
      <w:r w:rsidRPr="00EA7770">
        <w:rPr>
          <w:rFonts w:ascii="Times New Roman" w:hAnsi="Times New Roman"/>
          <w:sz w:val="24"/>
          <w:szCs w:val="24"/>
        </w:rPr>
        <w:t>São Paulo: Atlas, 2015 p. 157-77.</w:t>
      </w:r>
    </w:p>
    <w:p w14:paraId="2288913A" w14:textId="33CA51F5" w:rsidR="00B226E2" w:rsidRPr="00EA7770" w:rsidRDefault="00B226E2"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____________ Parecer. O caso Ellwanger: Antissemitismo como crime da prática do racismo”. In: </w:t>
      </w:r>
      <w:r w:rsidRPr="00EA7770">
        <w:rPr>
          <w:rFonts w:ascii="Times New Roman" w:hAnsi="Times New Roman"/>
          <w:i/>
          <w:sz w:val="24"/>
          <w:szCs w:val="24"/>
        </w:rPr>
        <w:t xml:space="preserve">A internacionalização dos Direitos Humanos: Constituição, Racismo e Relações Internacionais. </w:t>
      </w:r>
      <w:r w:rsidRPr="00EA7770">
        <w:rPr>
          <w:rFonts w:ascii="Times New Roman" w:hAnsi="Times New Roman"/>
          <w:sz w:val="24"/>
          <w:szCs w:val="24"/>
        </w:rPr>
        <w:t>São Paulo: Editora Manole, 2005, p</w:t>
      </w:r>
      <w:r w:rsidR="00F816DE" w:rsidRPr="00EA7770">
        <w:rPr>
          <w:rFonts w:ascii="Times New Roman" w:hAnsi="Times New Roman"/>
          <w:sz w:val="24"/>
          <w:szCs w:val="24"/>
        </w:rPr>
        <w:t>p. 33-120.</w:t>
      </w:r>
    </w:p>
    <w:p w14:paraId="21B3E00C" w14:textId="0267C76C" w:rsidR="00772B62" w:rsidRPr="00EA7770" w:rsidRDefault="00772B62"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___________ </w:t>
      </w:r>
      <w:r w:rsidRPr="00A931C3">
        <w:rPr>
          <w:rFonts w:ascii="Times New Roman" w:hAnsi="Times New Roman"/>
          <w:sz w:val="24"/>
        </w:rPr>
        <w:t>“</w:t>
      </w:r>
      <w:r w:rsidRPr="00EA7770">
        <w:rPr>
          <w:rFonts w:ascii="Times New Roman" w:hAnsi="Times New Roman"/>
          <w:sz w:val="24"/>
          <w:szCs w:val="24"/>
        </w:rPr>
        <w:t>Reflexões sobre o historicismo axiológico em Miguel Reale e os direitos humanos no plano internacional”.</w:t>
      </w:r>
      <w:r w:rsidRPr="00EA7770">
        <w:rPr>
          <w:rFonts w:ascii="Times New Roman" w:hAnsi="Times New Roman"/>
          <w:i/>
          <w:sz w:val="24"/>
          <w:szCs w:val="24"/>
        </w:rPr>
        <w:t xml:space="preserve"> </w:t>
      </w:r>
      <w:r w:rsidRPr="00EA7770">
        <w:rPr>
          <w:rFonts w:ascii="Times New Roman" w:hAnsi="Times New Roman"/>
          <w:sz w:val="24"/>
          <w:szCs w:val="24"/>
        </w:rPr>
        <w:t xml:space="preserve">In: </w:t>
      </w:r>
      <w:r w:rsidRPr="00EA7770">
        <w:rPr>
          <w:rFonts w:ascii="Times New Roman" w:hAnsi="Times New Roman"/>
          <w:i/>
          <w:sz w:val="24"/>
          <w:szCs w:val="24"/>
        </w:rPr>
        <w:t xml:space="preserve">O Pensamento de Miguel Reale – Actas do IV Colóquio Tobias Barreto. </w:t>
      </w:r>
      <w:r w:rsidRPr="00EA7770">
        <w:rPr>
          <w:rFonts w:ascii="Times New Roman" w:hAnsi="Times New Roman"/>
          <w:sz w:val="24"/>
          <w:szCs w:val="24"/>
        </w:rPr>
        <w:t>Instituto de Filosofia Luso-Brasileira: Viana do Castelo, 1998, pp.</w:t>
      </w:r>
      <w:r w:rsidR="00F816DE" w:rsidRPr="00EA7770">
        <w:rPr>
          <w:rFonts w:ascii="Times New Roman" w:hAnsi="Times New Roman"/>
          <w:sz w:val="24"/>
          <w:szCs w:val="24"/>
        </w:rPr>
        <w:t xml:space="preserve"> </w:t>
      </w:r>
      <w:r w:rsidRPr="00EA7770">
        <w:rPr>
          <w:rFonts w:ascii="Times New Roman" w:hAnsi="Times New Roman"/>
          <w:sz w:val="24"/>
          <w:szCs w:val="24"/>
        </w:rPr>
        <w:t>167-74.</w:t>
      </w:r>
    </w:p>
    <w:p w14:paraId="69CEA408" w14:textId="4C0D31F9" w:rsidR="00C147DF" w:rsidRPr="00EA7770" w:rsidRDefault="00C147DF"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LALANDE, André. </w:t>
      </w:r>
      <w:r w:rsidRPr="00EA7770">
        <w:rPr>
          <w:rFonts w:ascii="Times New Roman" w:hAnsi="Times New Roman"/>
          <w:i/>
          <w:sz w:val="24"/>
          <w:szCs w:val="24"/>
        </w:rPr>
        <w:t xml:space="preserve">Vocabulário Técnico e Crítico da Filosofia. </w:t>
      </w:r>
      <w:r w:rsidRPr="00EA7770">
        <w:rPr>
          <w:rFonts w:ascii="Times New Roman" w:hAnsi="Times New Roman"/>
          <w:sz w:val="24"/>
          <w:szCs w:val="24"/>
        </w:rPr>
        <w:t>Tradução de Fátima Sá Correia, Maria Emília V. Aguiar, José Eduardo Torres, Maria Gorete de Souza. São Paulo: Martins Fontes, 2006</w:t>
      </w:r>
      <w:r w:rsidR="00F816DE" w:rsidRPr="00EA7770">
        <w:rPr>
          <w:rFonts w:ascii="Times New Roman" w:hAnsi="Times New Roman"/>
          <w:sz w:val="24"/>
          <w:szCs w:val="24"/>
        </w:rPr>
        <w:t xml:space="preserve"> [1926]</w:t>
      </w:r>
      <w:r w:rsidRPr="00EA7770">
        <w:rPr>
          <w:rFonts w:ascii="Times New Roman" w:hAnsi="Times New Roman"/>
          <w:sz w:val="24"/>
          <w:szCs w:val="24"/>
        </w:rPr>
        <w:t>.</w:t>
      </w:r>
    </w:p>
    <w:p w14:paraId="5B0EF86E" w14:textId="3E11E09F" w:rsidR="0053398B" w:rsidRPr="00EA7770" w:rsidRDefault="0053398B" w:rsidP="009D7E8B">
      <w:pPr>
        <w:spacing w:line="360" w:lineRule="auto"/>
        <w:contextualSpacing/>
        <w:rPr>
          <w:rFonts w:ascii="Times New Roman" w:hAnsi="Times New Roman"/>
          <w:sz w:val="24"/>
          <w:szCs w:val="24"/>
        </w:rPr>
      </w:pPr>
      <w:r w:rsidRPr="00EA7770">
        <w:rPr>
          <w:rFonts w:ascii="Times New Roman" w:hAnsi="Times New Roman"/>
          <w:sz w:val="24"/>
          <w:szCs w:val="24"/>
          <w:lang w:val="en-US"/>
        </w:rPr>
        <w:t xml:space="preserve">LAUREN, Paul Gordon. </w:t>
      </w:r>
      <w:r w:rsidRPr="00EA7770">
        <w:rPr>
          <w:rFonts w:ascii="Times New Roman" w:hAnsi="Times New Roman"/>
          <w:i/>
          <w:sz w:val="24"/>
          <w:szCs w:val="24"/>
          <w:lang w:val="en-US"/>
        </w:rPr>
        <w:t xml:space="preserve">The Evolution of International Human Rights: Visions Seen. </w:t>
      </w:r>
      <w:r w:rsidRPr="00EA7770">
        <w:rPr>
          <w:rFonts w:ascii="Times New Roman" w:hAnsi="Times New Roman"/>
          <w:sz w:val="24"/>
          <w:szCs w:val="24"/>
          <w:lang w:val="en-US"/>
        </w:rPr>
        <w:t>Filadélfia: University of Pennsylvania Press, 2011</w:t>
      </w:r>
      <w:r w:rsidR="00F816DE" w:rsidRPr="00EA7770">
        <w:rPr>
          <w:rFonts w:ascii="Times New Roman" w:hAnsi="Times New Roman"/>
          <w:sz w:val="24"/>
          <w:szCs w:val="24"/>
          <w:lang w:val="en-US"/>
        </w:rPr>
        <w:t>.</w:t>
      </w:r>
    </w:p>
    <w:p w14:paraId="6ABB9CA8" w14:textId="217C6049" w:rsidR="0053398B" w:rsidRPr="00EA7770" w:rsidRDefault="008D6FA6" w:rsidP="00A931C3">
      <w:pPr>
        <w:pStyle w:val="Style1"/>
        <w:spacing w:line="360" w:lineRule="auto"/>
        <w:ind w:left="0"/>
        <w:contextualSpacing/>
      </w:pPr>
      <w:r w:rsidRPr="00EA7770">
        <w:t xml:space="preserve">LAUTERPACHT, Hersch. </w:t>
      </w:r>
      <w:r w:rsidRPr="00EA7770">
        <w:rPr>
          <w:i/>
        </w:rPr>
        <w:t xml:space="preserve">The Subjects of Law of Nations </w:t>
      </w:r>
      <w:r w:rsidRPr="00EA7770">
        <w:t>Law Quarterly Review</w:t>
      </w:r>
      <w:r w:rsidRPr="00EA7770">
        <w:rPr>
          <w:i/>
        </w:rPr>
        <w:t xml:space="preserve"> </w:t>
      </w:r>
      <w:r w:rsidRPr="00EA7770">
        <w:t>64.253 (1948), p. 97-119.</w:t>
      </w:r>
    </w:p>
    <w:p w14:paraId="62855237" w14:textId="240243FE" w:rsidR="0053398B" w:rsidRPr="00EA7770" w:rsidRDefault="006B7157" w:rsidP="00A931C3">
      <w:pPr>
        <w:pStyle w:val="Style1"/>
        <w:spacing w:line="360" w:lineRule="auto"/>
        <w:ind w:left="0"/>
        <w:contextualSpacing/>
      </w:pPr>
      <w:r w:rsidRPr="00EA7770">
        <w:t xml:space="preserve">LÉVY, Bernard-Henry. </w:t>
      </w:r>
      <w:r w:rsidR="0053398B" w:rsidRPr="00EA7770">
        <w:rPr>
          <w:i/>
        </w:rPr>
        <w:t xml:space="preserve">Aventuras da Liberdade </w:t>
      </w:r>
      <w:r w:rsidR="0053398B" w:rsidRPr="00EA7770">
        <w:t>uma história subjetiva dos intelectuais. Tradução de Paulo Neves. São Paulo: Companhia das Letras [1991] 1992</w:t>
      </w:r>
    </w:p>
    <w:p w14:paraId="22FC6390" w14:textId="4524D4DC"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LOPES, José Reinaldo de Lima. </w:t>
      </w:r>
      <w:r w:rsidRPr="00EA7770">
        <w:rPr>
          <w:rFonts w:ascii="Times New Roman" w:hAnsi="Times New Roman"/>
          <w:i/>
          <w:sz w:val="24"/>
          <w:szCs w:val="24"/>
        </w:rPr>
        <w:t>As Palavras e a Lei – Direito, Ordem e Justiça na História do Pensamento Jurídico Moderno</w:t>
      </w:r>
      <w:r w:rsidRPr="00EA7770">
        <w:rPr>
          <w:rFonts w:ascii="Times New Roman" w:hAnsi="Times New Roman"/>
          <w:sz w:val="24"/>
          <w:szCs w:val="24"/>
        </w:rPr>
        <w:t>. São Paulo: Editora 34/Edesp, 2004, (coleção Direito GV).</w:t>
      </w:r>
    </w:p>
    <w:p w14:paraId="3106D636" w14:textId="03C6C0FB" w:rsidR="00C13EE1" w:rsidRPr="00EA7770" w:rsidRDefault="00F816DE" w:rsidP="009D7E8B">
      <w:pPr>
        <w:spacing w:line="360" w:lineRule="auto"/>
        <w:contextualSpacing/>
        <w:rPr>
          <w:rFonts w:ascii="Times New Roman" w:hAnsi="Times New Roman"/>
          <w:sz w:val="24"/>
          <w:szCs w:val="24"/>
        </w:rPr>
      </w:pPr>
      <w:r w:rsidRPr="00EA7770">
        <w:rPr>
          <w:rFonts w:ascii="Times New Roman" w:hAnsi="Times New Roman"/>
          <w:sz w:val="24"/>
          <w:szCs w:val="24"/>
        </w:rPr>
        <w:t>MANDELSTAN</w:t>
      </w:r>
      <w:r w:rsidR="00C13EE1" w:rsidRPr="00EA7770">
        <w:rPr>
          <w:rFonts w:ascii="Times New Roman" w:hAnsi="Times New Roman"/>
          <w:sz w:val="24"/>
          <w:szCs w:val="24"/>
        </w:rPr>
        <w:t>,</w:t>
      </w:r>
      <w:r w:rsidRPr="00EA7770">
        <w:rPr>
          <w:rFonts w:ascii="Times New Roman" w:hAnsi="Times New Roman"/>
          <w:sz w:val="24"/>
          <w:szCs w:val="24"/>
        </w:rPr>
        <w:t xml:space="preserve"> André N</w:t>
      </w:r>
      <w:r w:rsidR="00C13EE1" w:rsidRPr="00EA7770">
        <w:rPr>
          <w:rFonts w:ascii="Times New Roman" w:hAnsi="Times New Roman"/>
          <w:sz w:val="24"/>
          <w:szCs w:val="24"/>
        </w:rPr>
        <w:t xml:space="preserve">. </w:t>
      </w:r>
      <w:r w:rsidR="00C13EE1" w:rsidRPr="00EA7770">
        <w:rPr>
          <w:rFonts w:ascii="Times New Roman" w:hAnsi="Times New Roman"/>
          <w:i/>
          <w:sz w:val="24"/>
          <w:szCs w:val="24"/>
        </w:rPr>
        <w:t xml:space="preserve">La Protection Internationale des Droits de L´Homme. </w:t>
      </w:r>
      <w:r w:rsidR="00C13EE1" w:rsidRPr="00EA7770">
        <w:rPr>
          <w:rFonts w:ascii="Times New Roman" w:hAnsi="Times New Roman"/>
          <w:sz w:val="24"/>
          <w:szCs w:val="24"/>
        </w:rPr>
        <w:t>RCADI, vol. IV, tome 38 (1931) pp. 129-229.</w:t>
      </w:r>
    </w:p>
    <w:p w14:paraId="38770EC0" w14:textId="7AE6086A" w:rsidR="00A20E3F" w:rsidRPr="00EA7770" w:rsidRDefault="00A20E3F"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MAZOWER, Mark. “The End of Civilization and the Rise of Human Rights – The Mid-Twentieth-Century Disjuncture”. In: Stefan-Ludwig Hoffmann (editor) </w:t>
      </w:r>
      <w:r w:rsidRPr="00EA7770">
        <w:rPr>
          <w:rFonts w:ascii="Times New Roman" w:hAnsi="Times New Roman"/>
          <w:i/>
          <w:sz w:val="24"/>
          <w:szCs w:val="24"/>
        </w:rPr>
        <w:t xml:space="preserve">Human Rights in the Twentieth Century. </w:t>
      </w:r>
      <w:r w:rsidRPr="00EA7770">
        <w:rPr>
          <w:rFonts w:ascii="Times New Roman" w:hAnsi="Times New Roman"/>
          <w:sz w:val="24"/>
          <w:szCs w:val="24"/>
        </w:rPr>
        <w:t>Nova York: Cambridge Un</w:t>
      </w:r>
      <w:r w:rsidR="00F816DE" w:rsidRPr="00EA7770">
        <w:rPr>
          <w:rFonts w:ascii="Times New Roman" w:hAnsi="Times New Roman"/>
          <w:sz w:val="24"/>
          <w:szCs w:val="24"/>
        </w:rPr>
        <w:t>iversity Press, 2011. pp. 29-44.</w:t>
      </w:r>
    </w:p>
    <w:p w14:paraId="71862C18" w14:textId="65DDC34A" w:rsidR="008E3218" w:rsidRPr="00EA7770" w:rsidRDefault="008E3218"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MEIIJKNECHT, Anna. </w:t>
      </w:r>
      <w:r w:rsidRPr="00EA7770">
        <w:rPr>
          <w:rFonts w:ascii="Times New Roman" w:hAnsi="Times New Roman"/>
          <w:i/>
          <w:sz w:val="24"/>
          <w:szCs w:val="24"/>
        </w:rPr>
        <w:t xml:space="preserve">Minority Protection System between World Mar I and World War II </w:t>
      </w:r>
      <w:r w:rsidRPr="00EA7770">
        <w:rPr>
          <w:rFonts w:ascii="Times New Roman" w:hAnsi="Times New Roman"/>
          <w:sz w:val="24"/>
          <w:szCs w:val="24"/>
        </w:rPr>
        <w:t>MPEPIL (2005)</w:t>
      </w:r>
      <w:r w:rsidR="00F816DE" w:rsidRPr="00EA7770">
        <w:rPr>
          <w:rFonts w:ascii="Times New Roman" w:hAnsi="Times New Roman"/>
          <w:sz w:val="24"/>
          <w:szCs w:val="24"/>
        </w:rPr>
        <w:t>.</w:t>
      </w:r>
    </w:p>
    <w:p w14:paraId="47845F9B" w14:textId="3B0274FD" w:rsidR="00204620" w:rsidRPr="00EA7770" w:rsidRDefault="00204620" w:rsidP="009D7E8B">
      <w:pPr>
        <w:spacing w:line="360" w:lineRule="auto"/>
        <w:contextualSpacing/>
        <w:rPr>
          <w:rStyle w:val="apple-style-span"/>
          <w:rFonts w:ascii="Times New Roman" w:hAnsi="Times New Roman"/>
          <w:sz w:val="24"/>
          <w:szCs w:val="24"/>
        </w:rPr>
      </w:pPr>
      <w:r w:rsidRPr="00EA7770">
        <w:rPr>
          <w:rFonts w:ascii="Times New Roman" w:hAnsi="Times New Roman"/>
          <w:sz w:val="24"/>
          <w:szCs w:val="24"/>
        </w:rPr>
        <w:t>MITCHELL, Angu</w:t>
      </w:r>
      <w:r w:rsidR="00C619DE">
        <w:rPr>
          <w:rFonts w:ascii="Times New Roman" w:hAnsi="Times New Roman"/>
          <w:sz w:val="24"/>
          <w:szCs w:val="24"/>
        </w:rPr>
        <w:t xml:space="preserve">s (editor); IZARRA, Laura P.Z. </w:t>
      </w:r>
      <w:r w:rsidRPr="00EA7770">
        <w:rPr>
          <w:rFonts w:ascii="Times New Roman" w:hAnsi="Times New Roman"/>
          <w:sz w:val="24"/>
          <w:szCs w:val="24"/>
        </w:rPr>
        <w:t xml:space="preserve">e BOLFARINE , Mariana (orgs.). </w:t>
      </w:r>
      <w:r w:rsidRPr="00EA7770">
        <w:rPr>
          <w:rFonts w:ascii="Times New Roman" w:hAnsi="Times New Roman"/>
          <w:i/>
          <w:sz w:val="24"/>
          <w:szCs w:val="24"/>
        </w:rPr>
        <w:t xml:space="preserve">Diário da Amazônia de Roger Casement. </w:t>
      </w:r>
      <w:r w:rsidRPr="00EA7770">
        <w:rPr>
          <w:rFonts w:ascii="Times New Roman" w:hAnsi="Times New Roman"/>
          <w:sz w:val="24"/>
          <w:szCs w:val="24"/>
        </w:rPr>
        <w:t>Tradução de M</w:t>
      </w:r>
      <w:r w:rsidR="00C13EE1" w:rsidRPr="00EA7770">
        <w:rPr>
          <w:rFonts w:ascii="Times New Roman" w:hAnsi="Times New Roman"/>
          <w:sz w:val="24"/>
          <w:szCs w:val="24"/>
        </w:rPr>
        <w:t xml:space="preserve">ariana Bolfarine (coord.), </w:t>
      </w:r>
      <w:r w:rsidR="00C13EE1" w:rsidRPr="00EA7770">
        <w:rPr>
          <w:rFonts w:ascii="Times New Roman" w:hAnsi="Times New Roman"/>
          <w:sz w:val="24"/>
          <w:szCs w:val="24"/>
        </w:rPr>
        <w:lastRenderedPageBreak/>
        <w:t xml:space="preserve">Mario </w:t>
      </w:r>
      <w:r w:rsidRPr="00EA7770">
        <w:rPr>
          <w:rFonts w:ascii="Times New Roman" w:hAnsi="Times New Roman"/>
          <w:sz w:val="24"/>
          <w:szCs w:val="24"/>
        </w:rPr>
        <w:t>Marqu</w:t>
      </w:r>
      <w:r w:rsidR="00C13EE1" w:rsidRPr="00EA7770">
        <w:rPr>
          <w:rFonts w:ascii="Times New Roman" w:hAnsi="Times New Roman"/>
          <w:sz w:val="24"/>
          <w:szCs w:val="24"/>
        </w:rPr>
        <w:t>e</w:t>
      </w:r>
      <w:r w:rsidRPr="00EA7770">
        <w:rPr>
          <w:rFonts w:ascii="Times New Roman" w:hAnsi="Times New Roman"/>
          <w:sz w:val="24"/>
          <w:szCs w:val="24"/>
        </w:rPr>
        <w:t>s de Azevedo e Maria Rita Drumond Viana. São Paulo: Editora da Universidade de São Paulo, 2016.</w:t>
      </w:r>
    </w:p>
    <w:p w14:paraId="3C54A469" w14:textId="483B0152" w:rsidR="00204620" w:rsidRPr="00EA7770" w:rsidRDefault="00204620"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hAnsi="Times New Roman"/>
          <w:bCs/>
          <w:sz w:val="24"/>
          <w:szCs w:val="24"/>
        </w:rPr>
        <w:t xml:space="preserve">___________ (ed.) </w:t>
      </w:r>
      <w:r w:rsidRPr="00EA7770">
        <w:rPr>
          <w:rFonts w:ascii="Times New Roman" w:hAnsi="Times New Roman"/>
          <w:bCs/>
          <w:i/>
          <w:sz w:val="24"/>
          <w:szCs w:val="24"/>
        </w:rPr>
        <w:t>Roger Casement no Brasil– A Borracha, a Amazônia e o Mundo Atlântico,</w:t>
      </w:r>
      <w:r w:rsidRPr="00EA7770">
        <w:rPr>
          <w:rFonts w:ascii="Times New Roman" w:hAnsi="Times New Roman"/>
          <w:bCs/>
          <w:sz w:val="24"/>
          <w:szCs w:val="24"/>
        </w:rPr>
        <w:t xml:space="preserve"> 1884-1916. Tradução de </w:t>
      </w:r>
      <w:r w:rsidRPr="00EA7770">
        <w:rPr>
          <w:rFonts w:ascii="Times New Roman" w:hAnsi="Times New Roman"/>
          <w:sz w:val="24"/>
          <w:szCs w:val="24"/>
        </w:rPr>
        <w:t>Mariana Bolfarine; Laura P.</w:t>
      </w:r>
      <w:r w:rsidR="00F816DE" w:rsidRPr="00EA7770">
        <w:rPr>
          <w:rFonts w:ascii="Times New Roman" w:hAnsi="Times New Roman"/>
          <w:sz w:val="24"/>
          <w:szCs w:val="24"/>
        </w:rPr>
        <w:t xml:space="preserve"> </w:t>
      </w:r>
      <w:r w:rsidRPr="00EA7770">
        <w:rPr>
          <w:rFonts w:ascii="Times New Roman" w:hAnsi="Times New Roman"/>
          <w:sz w:val="24"/>
          <w:szCs w:val="24"/>
        </w:rPr>
        <w:t>Z. Izarra</w:t>
      </w:r>
      <w:r w:rsidRPr="00EA7770">
        <w:rPr>
          <w:rFonts w:ascii="Times New Roman" w:hAnsi="Times New Roman"/>
          <w:bCs/>
          <w:i/>
          <w:sz w:val="24"/>
          <w:szCs w:val="24"/>
        </w:rPr>
        <w:t xml:space="preserve"> </w:t>
      </w:r>
      <w:r w:rsidRPr="00EA7770">
        <w:rPr>
          <w:rFonts w:ascii="Times New Roman" w:hAnsi="Times New Roman"/>
          <w:bCs/>
          <w:sz w:val="24"/>
          <w:szCs w:val="24"/>
        </w:rPr>
        <w:t>(org). São Paulo: W.B. Yeats Chair of Irish Studies; Humanitas, 2011.</w:t>
      </w:r>
    </w:p>
    <w:p w14:paraId="6EBDC534" w14:textId="6F72938E" w:rsidR="005C030A" w:rsidRPr="00EA7770" w:rsidRDefault="00A24AED" w:rsidP="009D7E8B">
      <w:pPr>
        <w:autoSpaceDE w:val="0"/>
        <w:autoSpaceDN w:val="0"/>
        <w:adjustRightInd w:val="0"/>
        <w:spacing w:line="360" w:lineRule="auto"/>
        <w:contextualSpacing/>
        <w:rPr>
          <w:rFonts w:ascii="Times New Roman" w:hAnsi="Times New Roman"/>
          <w:sz w:val="24"/>
          <w:szCs w:val="24"/>
        </w:rPr>
      </w:pPr>
      <w:r>
        <w:rPr>
          <w:rFonts w:ascii="Times New Roman" w:hAnsi="Times New Roman"/>
          <w:sz w:val="24"/>
          <w:szCs w:val="24"/>
        </w:rPr>
        <w:t>MOYN</w:t>
      </w:r>
      <w:r w:rsidR="005C030A" w:rsidRPr="00EA7770">
        <w:rPr>
          <w:rFonts w:ascii="Times New Roman" w:hAnsi="Times New Roman"/>
          <w:sz w:val="24"/>
          <w:szCs w:val="24"/>
        </w:rPr>
        <w:t>,</w:t>
      </w:r>
      <w:r>
        <w:rPr>
          <w:rFonts w:ascii="Times New Roman" w:hAnsi="Times New Roman"/>
          <w:sz w:val="24"/>
          <w:szCs w:val="24"/>
        </w:rPr>
        <w:t xml:space="preserve"> </w:t>
      </w:r>
      <w:r w:rsidR="005C030A" w:rsidRPr="00EA7770">
        <w:rPr>
          <w:rFonts w:ascii="Times New Roman" w:hAnsi="Times New Roman"/>
          <w:sz w:val="24"/>
          <w:szCs w:val="24"/>
        </w:rPr>
        <w:t xml:space="preserve">Samuel. “Personalism, Community, and the Origins of Human Rights”. In: Stefan-Ludwig Hoffmann (editor) </w:t>
      </w:r>
      <w:r w:rsidR="005C030A" w:rsidRPr="00EA7770">
        <w:rPr>
          <w:rFonts w:ascii="Times New Roman" w:hAnsi="Times New Roman"/>
          <w:i/>
          <w:sz w:val="24"/>
          <w:szCs w:val="24"/>
        </w:rPr>
        <w:t xml:space="preserve">Human Rights in the Twentieth Century. </w:t>
      </w:r>
      <w:r w:rsidR="005C030A" w:rsidRPr="00EA7770">
        <w:rPr>
          <w:rFonts w:ascii="Times New Roman" w:hAnsi="Times New Roman"/>
          <w:sz w:val="24"/>
          <w:szCs w:val="24"/>
        </w:rPr>
        <w:t>Nova York: Cambridge University Press, 2011, pp. 85-106.</w:t>
      </w:r>
    </w:p>
    <w:p w14:paraId="35C23D49" w14:textId="0F3AEC06" w:rsidR="005C030A" w:rsidRPr="00EA7770" w:rsidRDefault="00A24AED" w:rsidP="009D7E8B">
      <w:pPr>
        <w:autoSpaceDE w:val="0"/>
        <w:autoSpaceDN w:val="0"/>
        <w:adjustRightInd w:val="0"/>
        <w:spacing w:line="360" w:lineRule="auto"/>
        <w:contextualSpacing/>
        <w:rPr>
          <w:rFonts w:ascii="Times New Roman" w:eastAsiaTheme="minorHAnsi" w:hAnsi="Times New Roman"/>
          <w:color w:val="000000"/>
          <w:sz w:val="24"/>
          <w:szCs w:val="24"/>
        </w:rPr>
      </w:pPr>
      <w:r>
        <w:rPr>
          <w:rFonts w:ascii="Times New Roman" w:hAnsi="Times New Roman"/>
          <w:sz w:val="24"/>
          <w:szCs w:val="24"/>
        </w:rPr>
        <w:t>MORSINK</w:t>
      </w:r>
      <w:r w:rsidR="005C030A" w:rsidRPr="00EA7770">
        <w:rPr>
          <w:rFonts w:ascii="Times New Roman" w:hAnsi="Times New Roman"/>
          <w:sz w:val="24"/>
          <w:szCs w:val="24"/>
        </w:rPr>
        <w:t>,</w:t>
      </w:r>
      <w:r>
        <w:rPr>
          <w:rFonts w:ascii="Times New Roman" w:hAnsi="Times New Roman"/>
          <w:sz w:val="24"/>
          <w:szCs w:val="24"/>
        </w:rPr>
        <w:t xml:space="preserve"> </w:t>
      </w:r>
      <w:r w:rsidR="005C030A" w:rsidRPr="00EA7770">
        <w:rPr>
          <w:rFonts w:ascii="Times New Roman" w:hAnsi="Times New Roman"/>
          <w:sz w:val="24"/>
          <w:szCs w:val="24"/>
        </w:rPr>
        <w:t xml:space="preserve">Johannes. </w:t>
      </w:r>
      <w:r w:rsidR="005C030A" w:rsidRPr="00EA7770">
        <w:rPr>
          <w:rFonts w:ascii="Times New Roman" w:hAnsi="Times New Roman"/>
          <w:i/>
          <w:sz w:val="24"/>
          <w:szCs w:val="24"/>
        </w:rPr>
        <w:t xml:space="preserve">The Universal Declaration of Human Rights: Origins, Drafting and Intent. </w:t>
      </w:r>
      <w:r w:rsidR="005C030A" w:rsidRPr="00EA7770">
        <w:rPr>
          <w:rFonts w:ascii="Times New Roman" w:hAnsi="Times New Roman"/>
          <w:sz w:val="24"/>
          <w:szCs w:val="24"/>
        </w:rPr>
        <w:t>Philadelphia: Pennsylvania Studies in Human Rights, 1999.</w:t>
      </w:r>
    </w:p>
    <w:p w14:paraId="02AF0324" w14:textId="364D760C" w:rsidR="005C030A" w:rsidRPr="00EA7770" w:rsidRDefault="005C030A" w:rsidP="009D7E8B">
      <w:pPr>
        <w:autoSpaceDE w:val="0"/>
        <w:autoSpaceDN w:val="0"/>
        <w:adjustRightInd w:val="0"/>
        <w:spacing w:line="360" w:lineRule="auto"/>
        <w:contextualSpacing/>
        <w:rPr>
          <w:rFonts w:ascii="Times New Roman" w:eastAsiaTheme="minorHAnsi" w:hAnsi="Times New Roman"/>
          <w:color w:val="000000"/>
          <w:sz w:val="24"/>
          <w:szCs w:val="24"/>
        </w:rPr>
      </w:pPr>
      <w:r w:rsidRPr="00EA7770">
        <w:rPr>
          <w:rFonts w:ascii="Times New Roman" w:hAnsi="Times New Roman"/>
          <w:sz w:val="24"/>
          <w:szCs w:val="24"/>
        </w:rPr>
        <w:t xml:space="preserve">MOUNIER, Emmaneul </w:t>
      </w:r>
      <w:r w:rsidRPr="00EA7770">
        <w:rPr>
          <w:rFonts w:ascii="Times New Roman" w:hAnsi="Times New Roman"/>
          <w:i/>
          <w:sz w:val="24"/>
          <w:szCs w:val="24"/>
        </w:rPr>
        <w:t xml:space="preserve">Le Personnalisme. </w:t>
      </w:r>
      <w:r w:rsidRPr="00EA7770">
        <w:rPr>
          <w:rFonts w:ascii="Times New Roman" w:hAnsi="Times New Roman"/>
          <w:sz w:val="24"/>
          <w:szCs w:val="24"/>
        </w:rPr>
        <w:t>Paris: PUF, 1949, coleção “Que sais Je?”</w:t>
      </w:r>
    </w:p>
    <w:p w14:paraId="355FE3BB" w14:textId="0799E699" w:rsidR="00772B62" w:rsidRPr="00EA7770" w:rsidRDefault="00772B62"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eastAsiaTheme="minorHAnsi" w:hAnsi="Times New Roman"/>
          <w:color w:val="000000"/>
          <w:sz w:val="24"/>
          <w:szCs w:val="24"/>
        </w:rPr>
        <w:t xml:space="preserve">OHLIN, Jens David. “Is the Concept of the Person Necessary for Human Rights?”  (2005). </w:t>
      </w:r>
      <w:r w:rsidRPr="00EA7770">
        <w:rPr>
          <w:rFonts w:ascii="Times New Roman" w:eastAsiaTheme="minorHAnsi" w:hAnsi="Times New Roman"/>
          <w:i/>
          <w:iCs/>
          <w:color w:val="000000"/>
          <w:sz w:val="24"/>
          <w:szCs w:val="24"/>
        </w:rPr>
        <w:t>Cornell Law Faculty Publications</w:t>
      </w:r>
      <w:r w:rsidRPr="00EA7770">
        <w:rPr>
          <w:rFonts w:ascii="Times New Roman" w:eastAsiaTheme="minorHAnsi" w:hAnsi="Times New Roman"/>
          <w:iCs/>
          <w:color w:val="000000"/>
          <w:sz w:val="24"/>
          <w:szCs w:val="24"/>
        </w:rPr>
        <w:t>, p</w:t>
      </w:r>
      <w:r w:rsidRPr="00EA7770">
        <w:rPr>
          <w:rFonts w:ascii="Times New Roman" w:eastAsiaTheme="minorHAnsi" w:hAnsi="Times New Roman"/>
          <w:color w:val="000000"/>
          <w:sz w:val="24"/>
          <w:szCs w:val="24"/>
        </w:rPr>
        <w:t xml:space="preserve">aper 434. </w:t>
      </w:r>
    </w:p>
    <w:p w14:paraId="37FD1807" w14:textId="3882BDC1" w:rsidR="00A20E3F" w:rsidRPr="00EA7770" w:rsidRDefault="00A20E3F" w:rsidP="009D7E8B">
      <w:pPr>
        <w:autoSpaceDE w:val="0"/>
        <w:autoSpaceDN w:val="0"/>
        <w:adjustRightInd w:val="0"/>
        <w:spacing w:line="360" w:lineRule="auto"/>
        <w:contextualSpacing/>
        <w:rPr>
          <w:rFonts w:ascii="Times New Roman" w:hAnsi="Times New Roman"/>
          <w:sz w:val="24"/>
          <w:szCs w:val="24"/>
        </w:rPr>
      </w:pPr>
      <w:r w:rsidRPr="00EA7770">
        <w:rPr>
          <w:rFonts w:ascii="Times New Roman" w:hAnsi="Times New Roman"/>
          <w:sz w:val="24"/>
          <w:szCs w:val="24"/>
        </w:rPr>
        <w:t xml:space="preserve">OSTERHAMMEL ,Jurgen. </w:t>
      </w:r>
      <w:r w:rsidRPr="00EA7770">
        <w:rPr>
          <w:rFonts w:ascii="Times New Roman" w:hAnsi="Times New Roman"/>
          <w:i/>
          <w:sz w:val="24"/>
          <w:szCs w:val="24"/>
        </w:rPr>
        <w:t xml:space="preserve">The tranformation of the world </w:t>
      </w:r>
      <w:r w:rsidRPr="00EA7770">
        <w:rPr>
          <w:rFonts w:ascii="Times New Roman" w:hAnsi="Times New Roman"/>
          <w:sz w:val="24"/>
          <w:szCs w:val="24"/>
        </w:rPr>
        <w:t>A Global history of the nineteenth century tradução de Patrick Camiller Princeton: Princet</w:t>
      </w:r>
      <w:r w:rsidR="00F816DE" w:rsidRPr="00EA7770">
        <w:rPr>
          <w:rFonts w:ascii="Times New Roman" w:hAnsi="Times New Roman"/>
          <w:sz w:val="24"/>
          <w:szCs w:val="24"/>
        </w:rPr>
        <w:t>on University Press, 2014 [2009]</w:t>
      </w:r>
      <w:r w:rsidRPr="00EA7770">
        <w:rPr>
          <w:rFonts w:ascii="Times New Roman" w:hAnsi="Times New Roman"/>
          <w:sz w:val="24"/>
          <w:szCs w:val="24"/>
        </w:rPr>
        <w:t>.</w:t>
      </w:r>
    </w:p>
    <w:p w14:paraId="02EF9B7F" w14:textId="68C4BC2F" w:rsidR="00AD7D01" w:rsidRPr="00EA7770" w:rsidRDefault="00AD7D01"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hAnsi="Times New Roman"/>
          <w:sz w:val="24"/>
          <w:szCs w:val="24"/>
        </w:rPr>
        <w:t>_____________________ e</w:t>
      </w:r>
      <w:r w:rsidRPr="00A931C3">
        <w:rPr>
          <w:rFonts w:ascii="Times New Roman" w:hAnsi="Times New Roman"/>
          <w:sz w:val="24"/>
        </w:rPr>
        <w:t xml:space="preserve"> </w:t>
      </w:r>
      <w:r w:rsidR="00A24AED">
        <w:rPr>
          <w:rFonts w:ascii="Times New Roman" w:hAnsi="Times New Roman"/>
          <w:sz w:val="24"/>
          <w:szCs w:val="24"/>
        </w:rPr>
        <w:t>JANSEN</w:t>
      </w:r>
      <w:r w:rsidRPr="00EA7770">
        <w:rPr>
          <w:rFonts w:ascii="Times New Roman" w:hAnsi="Times New Roman"/>
          <w:sz w:val="24"/>
          <w:szCs w:val="24"/>
        </w:rPr>
        <w:t>,</w:t>
      </w:r>
      <w:r w:rsidR="00A24AED">
        <w:rPr>
          <w:rFonts w:ascii="Times New Roman" w:hAnsi="Times New Roman"/>
          <w:sz w:val="24"/>
          <w:szCs w:val="24"/>
        </w:rPr>
        <w:t xml:space="preserve"> </w:t>
      </w:r>
      <w:r w:rsidRPr="00EA7770">
        <w:rPr>
          <w:rFonts w:ascii="Times New Roman" w:hAnsi="Times New Roman"/>
          <w:sz w:val="24"/>
          <w:szCs w:val="24"/>
        </w:rPr>
        <w:t xml:space="preserve">Jan C. </w:t>
      </w:r>
      <w:r w:rsidRPr="00EA7770">
        <w:rPr>
          <w:rFonts w:ascii="Times New Roman" w:hAnsi="Times New Roman"/>
          <w:i/>
          <w:sz w:val="24"/>
          <w:szCs w:val="24"/>
        </w:rPr>
        <w:t xml:space="preserve">Decolonization – A Short History, </w:t>
      </w:r>
      <w:r w:rsidRPr="00EA7770">
        <w:rPr>
          <w:rFonts w:ascii="Times New Roman" w:hAnsi="Times New Roman"/>
          <w:sz w:val="24"/>
          <w:szCs w:val="24"/>
        </w:rPr>
        <w:t>tradução de Jeremiah Riemer. Princeton: Princeton University Press, 2017 [2013]</w:t>
      </w:r>
    </w:p>
    <w:p w14:paraId="34BA7287" w14:textId="06C966AF" w:rsidR="008E3218" w:rsidRPr="00EA7770" w:rsidRDefault="008E3218" w:rsidP="009D7E8B">
      <w:pPr>
        <w:autoSpaceDE w:val="0"/>
        <w:autoSpaceDN w:val="0"/>
        <w:adjustRightInd w:val="0"/>
        <w:spacing w:line="360" w:lineRule="auto"/>
        <w:contextualSpacing/>
        <w:rPr>
          <w:rFonts w:ascii="Times New Roman" w:hAnsi="Times New Roman"/>
          <w:sz w:val="24"/>
          <w:szCs w:val="24"/>
        </w:rPr>
      </w:pPr>
      <w:r w:rsidRPr="00EA7770">
        <w:rPr>
          <w:rFonts w:ascii="Times New Roman" w:hAnsi="Times New Roman"/>
          <w:sz w:val="24"/>
          <w:szCs w:val="24"/>
        </w:rPr>
        <w:t xml:space="preserve">PEDERSEN, Susan. </w:t>
      </w:r>
      <w:r w:rsidRPr="00EA7770">
        <w:rPr>
          <w:rFonts w:ascii="Times New Roman" w:hAnsi="Times New Roman"/>
          <w:i/>
          <w:sz w:val="24"/>
          <w:szCs w:val="24"/>
        </w:rPr>
        <w:t xml:space="preserve">The Guardians: The League of Nations and the Crises of Empire </w:t>
      </w:r>
      <w:r w:rsidRPr="00EA7770">
        <w:rPr>
          <w:rFonts w:ascii="Times New Roman" w:hAnsi="Times New Roman"/>
          <w:sz w:val="24"/>
          <w:szCs w:val="24"/>
        </w:rPr>
        <w:t>Oxford: Oxford University Press</w:t>
      </w:r>
      <w:r w:rsidR="00F816DE" w:rsidRPr="00EA7770">
        <w:rPr>
          <w:rFonts w:ascii="Times New Roman" w:hAnsi="Times New Roman"/>
          <w:sz w:val="24"/>
          <w:szCs w:val="24"/>
        </w:rPr>
        <w:t>,</w:t>
      </w:r>
      <w:r w:rsidRPr="00EA7770">
        <w:rPr>
          <w:rFonts w:ascii="Times New Roman" w:hAnsi="Times New Roman"/>
          <w:sz w:val="24"/>
          <w:szCs w:val="24"/>
        </w:rPr>
        <w:t xml:space="preserve"> 2015</w:t>
      </w:r>
      <w:r w:rsidR="00D2186E" w:rsidRPr="00EA7770">
        <w:rPr>
          <w:rFonts w:ascii="Times New Roman" w:hAnsi="Times New Roman"/>
          <w:sz w:val="24"/>
          <w:szCs w:val="24"/>
        </w:rPr>
        <w:t>.</w:t>
      </w:r>
    </w:p>
    <w:p w14:paraId="426154DE" w14:textId="3332240C" w:rsidR="00D2186E" w:rsidRPr="00EA7770" w:rsidRDefault="00F816DE"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hAnsi="Times New Roman"/>
          <w:sz w:val="24"/>
          <w:szCs w:val="24"/>
        </w:rPr>
        <w:t>PEYTRIGNET</w:t>
      </w:r>
      <w:r w:rsidR="00D2186E" w:rsidRPr="00EA7770">
        <w:rPr>
          <w:rFonts w:ascii="Times New Roman" w:hAnsi="Times New Roman"/>
          <w:sz w:val="24"/>
          <w:szCs w:val="24"/>
        </w:rPr>
        <w:t>,</w:t>
      </w:r>
      <w:r w:rsidRPr="00EA7770">
        <w:rPr>
          <w:rFonts w:ascii="Times New Roman" w:hAnsi="Times New Roman"/>
          <w:sz w:val="24"/>
          <w:szCs w:val="24"/>
        </w:rPr>
        <w:t xml:space="preserve"> </w:t>
      </w:r>
      <w:r w:rsidR="00D2186E" w:rsidRPr="00EA7770">
        <w:rPr>
          <w:rFonts w:ascii="Times New Roman" w:hAnsi="Times New Roman"/>
          <w:sz w:val="24"/>
          <w:szCs w:val="24"/>
        </w:rPr>
        <w:t>Gérard. “Sistemas internacionais de proteção da pessoa humana: O Direi</w:t>
      </w:r>
      <w:r w:rsidR="00C619DE">
        <w:rPr>
          <w:rFonts w:ascii="Times New Roman" w:hAnsi="Times New Roman"/>
          <w:sz w:val="24"/>
          <w:szCs w:val="24"/>
        </w:rPr>
        <w:t xml:space="preserve">to Internacional Humanitário”. </w:t>
      </w:r>
      <w:r w:rsidR="00D2186E" w:rsidRPr="00EA7770">
        <w:rPr>
          <w:rFonts w:ascii="Times New Roman" w:hAnsi="Times New Roman"/>
          <w:sz w:val="24"/>
          <w:szCs w:val="24"/>
        </w:rPr>
        <w:t xml:space="preserve">In: </w:t>
      </w:r>
      <w:r w:rsidR="00D2186E" w:rsidRPr="00EA7770">
        <w:rPr>
          <w:rFonts w:ascii="Times New Roman" w:hAnsi="Times New Roman"/>
          <w:i/>
          <w:sz w:val="24"/>
          <w:szCs w:val="24"/>
        </w:rPr>
        <w:t xml:space="preserve">As Três Vertentes da Proteção Internacional dos Direitos da Pessoa Humana – Direitos Humanos, Direito Humanitário, Direito dos Refugiados. </w:t>
      </w:r>
      <w:r w:rsidR="00D2186E" w:rsidRPr="00EA7770">
        <w:rPr>
          <w:rFonts w:ascii="Times New Roman" w:hAnsi="Times New Roman"/>
          <w:sz w:val="24"/>
          <w:szCs w:val="24"/>
        </w:rPr>
        <w:t>San José: IIDH,1996 pp. 125-215.</w:t>
      </w:r>
    </w:p>
    <w:p w14:paraId="128E98E0" w14:textId="736AF53C" w:rsidR="008D6FA6" w:rsidRPr="00EA7770" w:rsidRDefault="008D6FA6" w:rsidP="009D7E8B">
      <w:pPr>
        <w:autoSpaceDE w:val="0"/>
        <w:autoSpaceDN w:val="0"/>
        <w:adjustRightInd w:val="0"/>
        <w:spacing w:line="360" w:lineRule="auto"/>
        <w:contextualSpacing/>
        <w:rPr>
          <w:rFonts w:ascii="Times New Roman" w:hAnsi="Times New Roman"/>
          <w:bCs/>
          <w:sz w:val="24"/>
          <w:szCs w:val="24"/>
        </w:rPr>
      </w:pPr>
      <w:r w:rsidRPr="00EA7770">
        <w:rPr>
          <w:rFonts w:ascii="Times New Roman" w:hAnsi="Times New Roman"/>
          <w:sz w:val="24"/>
          <w:szCs w:val="24"/>
        </w:rPr>
        <w:t xml:space="preserve">PORTMANN, Roland. </w:t>
      </w:r>
      <w:r w:rsidRPr="00EA7770">
        <w:rPr>
          <w:rFonts w:ascii="Times New Roman" w:hAnsi="Times New Roman"/>
          <w:i/>
          <w:sz w:val="24"/>
          <w:szCs w:val="24"/>
        </w:rPr>
        <w:t>Legal Personality in International Law (Cambridge Studies in International and Comparative Law)</w:t>
      </w:r>
      <w:r w:rsidRPr="00EA7770">
        <w:rPr>
          <w:rFonts w:ascii="Times New Roman" w:hAnsi="Times New Roman"/>
          <w:sz w:val="24"/>
          <w:szCs w:val="24"/>
        </w:rPr>
        <w:t>. Cambridge: Cambridge University Press, 2010</w:t>
      </w:r>
    </w:p>
    <w:p w14:paraId="0728E70A" w14:textId="15DDA3FA"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REALE, Miguel. </w:t>
      </w:r>
      <w:r w:rsidRPr="00EA7770">
        <w:rPr>
          <w:rFonts w:ascii="Times New Roman" w:hAnsi="Times New Roman"/>
          <w:i/>
          <w:sz w:val="24"/>
          <w:szCs w:val="24"/>
        </w:rPr>
        <w:t xml:space="preserve">Experiência e Cultura. </w:t>
      </w:r>
      <w:r w:rsidRPr="00EA7770">
        <w:rPr>
          <w:rFonts w:ascii="Times New Roman" w:hAnsi="Times New Roman"/>
          <w:sz w:val="24"/>
          <w:szCs w:val="24"/>
        </w:rPr>
        <w:t>3</w:t>
      </w:r>
      <w:r w:rsidR="00F816DE" w:rsidRPr="00EA7770">
        <w:rPr>
          <w:rFonts w:ascii="Times New Roman" w:hAnsi="Times New Roman"/>
          <w:sz w:val="24"/>
          <w:szCs w:val="24"/>
        </w:rPr>
        <w:t>ª</w:t>
      </w:r>
      <w:r w:rsidRPr="00EA7770">
        <w:rPr>
          <w:rFonts w:ascii="Times New Roman" w:hAnsi="Times New Roman"/>
          <w:sz w:val="24"/>
          <w:szCs w:val="24"/>
        </w:rPr>
        <w:t xml:space="preserve"> edição São Paulo: Saraiva, 1983</w:t>
      </w:r>
      <w:r w:rsidR="00C30895" w:rsidRPr="00EA7770">
        <w:rPr>
          <w:rFonts w:ascii="Times New Roman" w:hAnsi="Times New Roman"/>
          <w:sz w:val="24"/>
          <w:szCs w:val="24"/>
        </w:rPr>
        <w:t>.</w:t>
      </w:r>
    </w:p>
    <w:p w14:paraId="3EB8430C" w14:textId="72E87CDE" w:rsidR="00A20E3F" w:rsidRPr="00EA7770" w:rsidRDefault="00A20E3F"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REDMAN , Renne Colette. </w:t>
      </w:r>
      <w:r w:rsidRPr="00EA7770">
        <w:rPr>
          <w:rFonts w:ascii="Times New Roman" w:hAnsi="Times New Roman"/>
          <w:i/>
          <w:sz w:val="24"/>
          <w:szCs w:val="24"/>
        </w:rPr>
        <w:t xml:space="preserve">The League of Nations and the Right to be Free from Enslavement: </w:t>
      </w:r>
      <w:r w:rsidRPr="00EA7770">
        <w:rPr>
          <w:rFonts w:ascii="Times New Roman" w:hAnsi="Times New Roman"/>
          <w:sz w:val="24"/>
          <w:szCs w:val="24"/>
        </w:rPr>
        <w:t>The First Human Right to Be Recognized as Customary International Law</w:t>
      </w:r>
      <w:r w:rsidRPr="00EA7770">
        <w:rPr>
          <w:rFonts w:ascii="Times New Roman" w:hAnsi="Times New Roman"/>
          <w:i/>
          <w:sz w:val="24"/>
          <w:szCs w:val="24"/>
        </w:rPr>
        <w:t xml:space="preserve">. </w:t>
      </w:r>
      <w:r w:rsidRPr="00EA7770">
        <w:rPr>
          <w:rFonts w:ascii="Times New Roman" w:hAnsi="Times New Roman"/>
          <w:sz w:val="24"/>
          <w:szCs w:val="24"/>
        </w:rPr>
        <w:t>p. 759-87</w:t>
      </w:r>
      <w:r w:rsidR="00F816DE" w:rsidRPr="00EA7770">
        <w:rPr>
          <w:rFonts w:ascii="Times New Roman" w:hAnsi="Times New Roman"/>
          <w:sz w:val="24"/>
          <w:szCs w:val="24"/>
        </w:rPr>
        <w:t>.</w:t>
      </w:r>
    </w:p>
    <w:p w14:paraId="2C114D03" w14:textId="793AC5E0" w:rsidR="00AD7D01" w:rsidRPr="00EA7770" w:rsidRDefault="00F816DE" w:rsidP="009D7E8B">
      <w:pPr>
        <w:spacing w:line="360" w:lineRule="auto"/>
        <w:contextualSpacing/>
        <w:rPr>
          <w:rFonts w:ascii="Times New Roman" w:hAnsi="Times New Roman"/>
          <w:sz w:val="24"/>
          <w:szCs w:val="24"/>
        </w:rPr>
      </w:pPr>
      <w:r w:rsidRPr="00EA7770">
        <w:rPr>
          <w:rFonts w:ascii="Times New Roman" w:hAnsi="Times New Roman"/>
          <w:sz w:val="24"/>
          <w:szCs w:val="24"/>
        </w:rPr>
        <w:t>REIS</w:t>
      </w:r>
      <w:r w:rsidR="00AD7D01" w:rsidRPr="00EA7770">
        <w:rPr>
          <w:rFonts w:ascii="Times New Roman" w:hAnsi="Times New Roman"/>
          <w:sz w:val="24"/>
          <w:szCs w:val="24"/>
        </w:rPr>
        <w:t>,</w:t>
      </w:r>
      <w:r w:rsidRPr="00EA7770">
        <w:rPr>
          <w:rFonts w:ascii="Times New Roman" w:hAnsi="Times New Roman"/>
          <w:sz w:val="24"/>
          <w:szCs w:val="24"/>
        </w:rPr>
        <w:t xml:space="preserve"> Rossana Rocha e MENEZES</w:t>
      </w:r>
      <w:r w:rsidR="00AD7D01" w:rsidRPr="00EA7770">
        <w:rPr>
          <w:rFonts w:ascii="Times New Roman" w:hAnsi="Times New Roman"/>
          <w:sz w:val="24"/>
          <w:szCs w:val="24"/>
        </w:rPr>
        <w:t>,</w:t>
      </w:r>
      <w:r w:rsidRPr="00EA7770">
        <w:rPr>
          <w:rFonts w:ascii="Times New Roman" w:hAnsi="Times New Roman"/>
          <w:sz w:val="24"/>
          <w:szCs w:val="24"/>
        </w:rPr>
        <w:t xml:space="preserve"> </w:t>
      </w:r>
      <w:r w:rsidR="00AD7D01" w:rsidRPr="00EA7770">
        <w:rPr>
          <w:rFonts w:ascii="Times New Roman" w:hAnsi="Times New Roman"/>
          <w:sz w:val="24"/>
          <w:szCs w:val="24"/>
        </w:rPr>
        <w:t xml:space="preserve">Thais Silva. “Direitos Humanos e Refúgio </w:t>
      </w:r>
      <w:r w:rsidR="00AD7D01" w:rsidRPr="00EA7770">
        <w:rPr>
          <w:rFonts w:ascii="Times New Roman" w:hAnsi="Times New Roman"/>
          <w:i/>
          <w:sz w:val="24"/>
          <w:szCs w:val="24"/>
        </w:rPr>
        <w:t xml:space="preserve">– </w:t>
      </w:r>
      <w:r w:rsidR="00AD7D01" w:rsidRPr="00EA7770">
        <w:rPr>
          <w:rFonts w:ascii="Times New Roman" w:hAnsi="Times New Roman"/>
          <w:sz w:val="24"/>
          <w:szCs w:val="24"/>
        </w:rPr>
        <w:t xml:space="preserve">Uma análise sobre o momento pós-determinação do status de refugiado”. </w:t>
      </w:r>
      <w:r w:rsidR="00AD7D01" w:rsidRPr="00EA7770">
        <w:rPr>
          <w:rFonts w:ascii="Times New Roman" w:hAnsi="Times New Roman"/>
          <w:i/>
          <w:sz w:val="24"/>
          <w:szCs w:val="24"/>
        </w:rPr>
        <w:t xml:space="preserve">Revista Brasileira de Política Internacional </w:t>
      </w:r>
      <w:r w:rsidR="00AD7D01" w:rsidRPr="00EA7770">
        <w:rPr>
          <w:rFonts w:ascii="Times New Roman" w:hAnsi="Times New Roman"/>
          <w:sz w:val="24"/>
          <w:szCs w:val="24"/>
        </w:rPr>
        <w:t>vol. 56 (1), pp. 144-62; p. 162, 2013.</w:t>
      </w:r>
    </w:p>
    <w:p w14:paraId="1E4B82E4" w14:textId="5F93D7D1" w:rsidR="00C30895" w:rsidRPr="00EA7770" w:rsidRDefault="00C30895" w:rsidP="009D7E8B">
      <w:pPr>
        <w:spacing w:line="360" w:lineRule="auto"/>
        <w:contextualSpacing/>
        <w:rPr>
          <w:rFonts w:ascii="Times New Roman" w:hAnsi="Times New Roman"/>
          <w:sz w:val="24"/>
          <w:szCs w:val="24"/>
        </w:rPr>
      </w:pPr>
      <w:r w:rsidRPr="00EA7770">
        <w:rPr>
          <w:rFonts w:ascii="Times New Roman" w:hAnsi="Times New Roman"/>
          <w:sz w:val="24"/>
          <w:szCs w:val="24"/>
        </w:rPr>
        <w:lastRenderedPageBreak/>
        <w:t xml:space="preserve">RIOUX, Jean Pierre </w:t>
      </w:r>
      <w:r w:rsidRPr="00EA7770">
        <w:rPr>
          <w:rFonts w:ascii="Times New Roman" w:hAnsi="Times New Roman"/>
          <w:i/>
          <w:sz w:val="24"/>
          <w:szCs w:val="24"/>
        </w:rPr>
        <w:t xml:space="preserve">1898-1899: Les premiers pas de la Ligue </w:t>
      </w:r>
      <w:r w:rsidRPr="00EA7770">
        <w:rPr>
          <w:rFonts w:ascii="Times New Roman" w:hAnsi="Times New Roman"/>
          <w:sz w:val="24"/>
          <w:szCs w:val="24"/>
        </w:rPr>
        <w:t xml:space="preserve">Supplément nº 128. D’Hommes et Libertés </w:t>
      </w:r>
      <w:r w:rsidRPr="00EA7770">
        <w:rPr>
          <w:rFonts w:ascii="Times New Roman" w:hAnsi="Times New Roman"/>
          <w:i/>
          <w:sz w:val="24"/>
          <w:szCs w:val="24"/>
        </w:rPr>
        <w:t>Revue de la Ligue de Droit de L´Homme</w:t>
      </w:r>
      <w:r w:rsidRPr="00EA7770">
        <w:rPr>
          <w:rFonts w:ascii="Times New Roman" w:hAnsi="Times New Roman"/>
          <w:sz w:val="24"/>
          <w:szCs w:val="24"/>
        </w:rPr>
        <w:t xml:space="preserve"> (2004).</w:t>
      </w:r>
    </w:p>
    <w:p w14:paraId="45CB4CFC" w14:textId="0CAD6644" w:rsidR="0053398B" w:rsidRPr="00EA7770" w:rsidRDefault="0053398B"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RICOEUR, Paul. </w:t>
      </w:r>
      <w:r w:rsidRPr="00EA7770">
        <w:rPr>
          <w:rFonts w:ascii="Times New Roman" w:hAnsi="Times New Roman"/>
          <w:i/>
          <w:sz w:val="24"/>
          <w:szCs w:val="24"/>
        </w:rPr>
        <w:t xml:space="preserve">Parcours de la Recoinaissance: Trois études. </w:t>
      </w:r>
      <w:r w:rsidRPr="00EA7770">
        <w:rPr>
          <w:rFonts w:ascii="Times New Roman" w:hAnsi="Times New Roman"/>
          <w:sz w:val="24"/>
          <w:szCs w:val="24"/>
        </w:rPr>
        <w:t>Paris: Gallimard Folio Essais nº 459, 2007</w:t>
      </w:r>
      <w:r w:rsidR="005C030A" w:rsidRPr="00EA7770">
        <w:rPr>
          <w:rFonts w:ascii="Times New Roman" w:hAnsi="Times New Roman"/>
          <w:sz w:val="24"/>
          <w:szCs w:val="24"/>
        </w:rPr>
        <w:t>.</w:t>
      </w:r>
    </w:p>
    <w:p w14:paraId="7338F001" w14:textId="6F43D1CE" w:rsidR="005C030A" w:rsidRPr="00EA7770" w:rsidRDefault="005B476A" w:rsidP="009D7E8B">
      <w:pPr>
        <w:spacing w:line="360" w:lineRule="auto"/>
        <w:contextualSpacing/>
        <w:rPr>
          <w:rFonts w:ascii="Times New Roman" w:hAnsi="Times New Roman"/>
          <w:color w:val="0D0D0D"/>
          <w:sz w:val="24"/>
          <w:szCs w:val="24"/>
          <w:lang w:val="fr-FR"/>
        </w:rPr>
      </w:pPr>
      <w:r w:rsidRPr="00EA7770">
        <w:rPr>
          <w:rFonts w:ascii="Times New Roman" w:hAnsi="Times New Roman"/>
          <w:sz w:val="24"/>
          <w:szCs w:val="24"/>
        </w:rPr>
        <w:t>ROMULO</w:t>
      </w:r>
      <w:r w:rsidR="005C030A" w:rsidRPr="00EA7770">
        <w:rPr>
          <w:rFonts w:ascii="Times New Roman" w:hAnsi="Times New Roman"/>
          <w:sz w:val="24"/>
          <w:szCs w:val="24"/>
        </w:rPr>
        <w:t>,</w:t>
      </w:r>
      <w:r w:rsidRPr="00EA7770">
        <w:rPr>
          <w:rFonts w:ascii="Times New Roman" w:hAnsi="Times New Roman"/>
          <w:sz w:val="24"/>
          <w:szCs w:val="24"/>
        </w:rPr>
        <w:t xml:space="preserve"> </w:t>
      </w:r>
      <w:r w:rsidR="005C030A" w:rsidRPr="00EA7770">
        <w:rPr>
          <w:rFonts w:ascii="Times New Roman" w:hAnsi="Times New Roman"/>
          <w:sz w:val="24"/>
          <w:szCs w:val="24"/>
        </w:rPr>
        <w:t xml:space="preserve">Carlos. </w:t>
      </w:r>
      <w:r w:rsidR="005C030A" w:rsidRPr="00EA7770">
        <w:rPr>
          <w:rFonts w:ascii="Times New Roman" w:hAnsi="Times New Roman"/>
          <w:i/>
          <w:sz w:val="24"/>
          <w:szCs w:val="24"/>
        </w:rPr>
        <w:t xml:space="preserve">Natural Law and International Law. </w:t>
      </w:r>
      <w:r w:rsidR="005C030A" w:rsidRPr="00EA7770">
        <w:rPr>
          <w:rFonts w:ascii="Times New Roman" w:hAnsi="Times New Roman"/>
          <w:sz w:val="24"/>
          <w:szCs w:val="24"/>
        </w:rPr>
        <w:t>University of Notre Dame Natural Law Institute Proceedings, 3 (1949).</w:t>
      </w:r>
    </w:p>
    <w:p w14:paraId="32FB864C" w14:textId="6EEB72A0" w:rsidR="00204620" w:rsidRPr="00A931C3" w:rsidRDefault="00204620" w:rsidP="009D7E8B">
      <w:pPr>
        <w:spacing w:line="360" w:lineRule="auto"/>
        <w:contextualSpacing/>
        <w:rPr>
          <w:rFonts w:ascii="Times New Roman" w:hAnsi="Times New Roman"/>
          <w:color w:val="0D0D0D"/>
          <w:sz w:val="24"/>
          <w:lang w:val="fr-FR"/>
        </w:rPr>
      </w:pPr>
      <w:r w:rsidRPr="00EA7770">
        <w:rPr>
          <w:rFonts w:ascii="Times New Roman" w:hAnsi="Times New Roman"/>
          <w:sz w:val="24"/>
          <w:szCs w:val="24"/>
        </w:rPr>
        <w:t>RUFIN</w:t>
      </w:r>
      <w:r w:rsidR="005B476A" w:rsidRPr="00EA7770">
        <w:rPr>
          <w:rFonts w:ascii="Times New Roman" w:hAnsi="Times New Roman"/>
          <w:sz w:val="24"/>
          <w:szCs w:val="24"/>
        </w:rPr>
        <w:t>,</w:t>
      </w:r>
      <w:r w:rsidRPr="00EA7770">
        <w:rPr>
          <w:rFonts w:ascii="Times New Roman" w:hAnsi="Times New Roman"/>
          <w:sz w:val="24"/>
          <w:szCs w:val="24"/>
        </w:rPr>
        <w:t xml:space="preserve"> Jean-Christophe </w:t>
      </w:r>
      <w:r w:rsidRPr="00EA7770">
        <w:rPr>
          <w:rFonts w:ascii="Times New Roman" w:hAnsi="Times New Roman"/>
          <w:i/>
          <w:sz w:val="24"/>
          <w:szCs w:val="24"/>
        </w:rPr>
        <w:t xml:space="preserve">L’Aventure Humanitaire. </w:t>
      </w:r>
      <w:r w:rsidRPr="00EA7770">
        <w:rPr>
          <w:rFonts w:ascii="Times New Roman" w:hAnsi="Times New Roman"/>
          <w:sz w:val="24"/>
          <w:szCs w:val="24"/>
        </w:rPr>
        <w:t>Paris: Découvertes Gallimard (Histoire), 1994.</w:t>
      </w:r>
    </w:p>
    <w:p w14:paraId="45C63FF4" w14:textId="6F74B274" w:rsidR="00C442F0" w:rsidRPr="00C442F0" w:rsidRDefault="00C442F0" w:rsidP="009D7E8B">
      <w:pPr>
        <w:spacing w:line="360" w:lineRule="auto"/>
        <w:contextualSpacing/>
        <w:rPr>
          <w:rFonts w:ascii="Times New Roman" w:hAnsi="Times New Roman"/>
          <w:color w:val="0D0D0D"/>
          <w:sz w:val="24"/>
          <w:szCs w:val="24"/>
          <w:lang w:val="fr-FR"/>
        </w:rPr>
      </w:pPr>
      <w:r w:rsidRPr="00C442F0">
        <w:rPr>
          <w:rFonts w:ascii="Times New Roman" w:hAnsi="Times New Roman"/>
          <w:sz w:val="24"/>
          <w:szCs w:val="24"/>
        </w:rPr>
        <w:t>SACKEY</w:t>
      </w:r>
      <w:r w:rsidR="00A24AED">
        <w:rPr>
          <w:rFonts w:ascii="Times New Roman" w:hAnsi="Times New Roman"/>
          <w:sz w:val="24"/>
          <w:szCs w:val="24"/>
        </w:rPr>
        <w:t>,</w:t>
      </w:r>
      <w:r w:rsidRPr="00C442F0">
        <w:rPr>
          <w:rFonts w:ascii="Times New Roman" w:hAnsi="Times New Roman"/>
          <w:sz w:val="24"/>
          <w:szCs w:val="24"/>
        </w:rPr>
        <w:t xml:space="preserve"> </w:t>
      </w:r>
      <w:r w:rsidR="00A24AED">
        <w:rPr>
          <w:rFonts w:ascii="Times New Roman" w:hAnsi="Times New Roman"/>
          <w:sz w:val="24"/>
          <w:szCs w:val="24"/>
        </w:rPr>
        <w:t>Alex Quaison</w:t>
      </w:r>
      <w:r>
        <w:rPr>
          <w:rFonts w:ascii="Times New Roman" w:hAnsi="Times New Roman"/>
          <w:sz w:val="24"/>
          <w:szCs w:val="24"/>
        </w:rPr>
        <w:t xml:space="preserve">. </w:t>
      </w:r>
      <w:r w:rsidRPr="00C442F0">
        <w:rPr>
          <w:rFonts w:ascii="Times New Roman" w:hAnsi="Times New Roman"/>
          <w:i/>
          <w:sz w:val="24"/>
          <w:szCs w:val="24"/>
        </w:rPr>
        <w:t xml:space="preserve">Africa Unbound: </w:t>
      </w:r>
      <w:r w:rsidRPr="00C442F0">
        <w:rPr>
          <w:rFonts w:ascii="Times New Roman" w:hAnsi="Times New Roman"/>
          <w:sz w:val="24"/>
          <w:szCs w:val="24"/>
        </w:rPr>
        <w:t>Reflections of na Africa Statesman New York:Frederick A. Praeger</w:t>
      </w:r>
      <w:r>
        <w:rPr>
          <w:rFonts w:ascii="Times New Roman" w:hAnsi="Times New Roman"/>
          <w:sz w:val="24"/>
          <w:szCs w:val="24"/>
        </w:rPr>
        <w:t>, 1963</w:t>
      </w:r>
    </w:p>
    <w:p w14:paraId="765BDCE9" w14:textId="04FAC456" w:rsidR="00204620" w:rsidRPr="00EA7770" w:rsidRDefault="00204620" w:rsidP="009D7E8B">
      <w:pPr>
        <w:spacing w:line="360" w:lineRule="auto"/>
        <w:contextualSpacing/>
        <w:rPr>
          <w:rFonts w:ascii="Times New Roman" w:hAnsi="Times New Roman"/>
          <w:color w:val="0D0D0D"/>
          <w:sz w:val="24"/>
          <w:szCs w:val="24"/>
          <w:lang w:val="fr-FR"/>
        </w:rPr>
      </w:pPr>
      <w:r w:rsidRPr="00EA7770">
        <w:rPr>
          <w:rFonts w:ascii="Times New Roman" w:hAnsi="Times New Roman"/>
          <w:color w:val="0D0D0D"/>
          <w:sz w:val="24"/>
          <w:szCs w:val="24"/>
          <w:lang w:val="fr-FR"/>
        </w:rPr>
        <w:t xml:space="preserve">SAID, Edward W. </w:t>
      </w:r>
      <w:r w:rsidRPr="00EA7770">
        <w:rPr>
          <w:rFonts w:ascii="Times New Roman" w:hAnsi="Times New Roman"/>
          <w:i/>
          <w:color w:val="0D0D0D"/>
          <w:sz w:val="24"/>
          <w:szCs w:val="24"/>
          <w:lang w:val="fr-FR"/>
        </w:rPr>
        <w:t xml:space="preserve">Cultura e Imperialismo. </w:t>
      </w:r>
      <w:r w:rsidRPr="00EA7770">
        <w:rPr>
          <w:rFonts w:ascii="Times New Roman" w:hAnsi="Times New Roman"/>
          <w:color w:val="0D0D0D"/>
          <w:sz w:val="24"/>
          <w:szCs w:val="24"/>
          <w:lang w:val="fr-FR"/>
        </w:rPr>
        <w:t>Tradução Denise Bottmann. São Paulo: Companhia das Letras, [1993] 2011.</w:t>
      </w:r>
    </w:p>
    <w:p w14:paraId="71CBE78F" w14:textId="4FB5C027" w:rsidR="00C13EE1" w:rsidRPr="00EA7770" w:rsidRDefault="00C13EE1"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SANDRONI, Cícero e Laura Constância. </w:t>
      </w:r>
      <w:r w:rsidRPr="00EA7770">
        <w:rPr>
          <w:rFonts w:ascii="Times New Roman" w:hAnsi="Times New Roman"/>
          <w:i/>
          <w:sz w:val="24"/>
          <w:szCs w:val="24"/>
        </w:rPr>
        <w:t xml:space="preserve">Austrgésilo de Atahyde: O século de um liberal. </w:t>
      </w:r>
      <w:r w:rsidRPr="00EA7770">
        <w:rPr>
          <w:rFonts w:ascii="Times New Roman" w:hAnsi="Times New Roman"/>
          <w:sz w:val="24"/>
          <w:szCs w:val="24"/>
        </w:rPr>
        <w:t>Rio de Janeiro: Agir, 1988</w:t>
      </w:r>
      <w:r w:rsidR="00DB56D2" w:rsidRPr="00EA7770">
        <w:rPr>
          <w:rFonts w:ascii="Times New Roman" w:hAnsi="Times New Roman"/>
          <w:sz w:val="24"/>
          <w:szCs w:val="24"/>
        </w:rPr>
        <w:t>.</w:t>
      </w:r>
    </w:p>
    <w:p w14:paraId="0A99845E" w14:textId="5693B0C2" w:rsidR="00DB56D2" w:rsidRPr="00EA7770" w:rsidRDefault="005B476A" w:rsidP="009D7E8B">
      <w:pPr>
        <w:spacing w:line="360" w:lineRule="auto"/>
        <w:contextualSpacing/>
        <w:rPr>
          <w:rFonts w:ascii="Times New Roman" w:hAnsi="Times New Roman"/>
          <w:sz w:val="24"/>
          <w:szCs w:val="24"/>
        </w:rPr>
      </w:pPr>
      <w:r w:rsidRPr="00EA7770">
        <w:rPr>
          <w:rFonts w:ascii="Times New Roman" w:hAnsi="Times New Roman"/>
          <w:sz w:val="24"/>
          <w:szCs w:val="24"/>
        </w:rPr>
        <w:t>SIGONA</w:t>
      </w:r>
      <w:r w:rsidR="00DB56D2" w:rsidRPr="00EA7770">
        <w:rPr>
          <w:rFonts w:ascii="Times New Roman" w:hAnsi="Times New Roman"/>
          <w:sz w:val="24"/>
          <w:szCs w:val="24"/>
        </w:rPr>
        <w:t>,</w:t>
      </w:r>
      <w:r w:rsidRPr="00EA7770">
        <w:rPr>
          <w:rFonts w:ascii="Times New Roman" w:hAnsi="Times New Roman"/>
          <w:sz w:val="24"/>
          <w:szCs w:val="24"/>
        </w:rPr>
        <w:t xml:space="preserve"> </w:t>
      </w:r>
      <w:r w:rsidR="00DB56D2" w:rsidRPr="00EA7770">
        <w:rPr>
          <w:rFonts w:ascii="Times New Roman" w:hAnsi="Times New Roman"/>
          <w:sz w:val="24"/>
          <w:szCs w:val="24"/>
        </w:rPr>
        <w:t xml:space="preserve">Nando. </w:t>
      </w:r>
      <w:r w:rsidR="00DB56D2" w:rsidRPr="00EA7770">
        <w:rPr>
          <w:rFonts w:ascii="Times New Roman" w:hAnsi="Times New Roman"/>
          <w:i/>
          <w:sz w:val="24"/>
          <w:szCs w:val="24"/>
        </w:rPr>
        <w:t xml:space="preserve">The Politics of Refugee Voices – Representations, Narratives and Memories. </w:t>
      </w:r>
      <w:r w:rsidR="00DB56D2" w:rsidRPr="00EA7770">
        <w:rPr>
          <w:rFonts w:ascii="Times New Roman" w:hAnsi="Times New Roman"/>
          <w:sz w:val="24"/>
          <w:szCs w:val="24"/>
        </w:rPr>
        <w:t>pp. 369-82.</w:t>
      </w:r>
    </w:p>
    <w:p w14:paraId="1E10794B" w14:textId="1E79DD9C" w:rsidR="00F76777" w:rsidRPr="00EA7770" w:rsidRDefault="00F76777" w:rsidP="009D7E8B">
      <w:pPr>
        <w:spacing w:line="360" w:lineRule="auto"/>
        <w:contextualSpacing/>
        <w:rPr>
          <w:rFonts w:ascii="Times New Roman" w:hAnsi="Times New Roman"/>
          <w:sz w:val="24"/>
          <w:szCs w:val="24"/>
        </w:rPr>
      </w:pPr>
      <w:r w:rsidRPr="00EA7770">
        <w:rPr>
          <w:rFonts w:ascii="Times New Roman" w:hAnsi="Times New Roman"/>
          <w:sz w:val="24"/>
          <w:szCs w:val="24"/>
        </w:rPr>
        <w:t>SIMPSON</w:t>
      </w:r>
      <w:r w:rsidRPr="00EA7770">
        <w:rPr>
          <w:rFonts w:ascii="Times New Roman" w:hAnsi="Times New Roman"/>
          <w:i/>
          <w:sz w:val="24"/>
          <w:szCs w:val="24"/>
        </w:rPr>
        <w:t>,</w:t>
      </w:r>
      <w:r w:rsidR="005B476A" w:rsidRPr="00EA7770">
        <w:rPr>
          <w:rFonts w:ascii="Times New Roman" w:hAnsi="Times New Roman"/>
          <w:i/>
          <w:sz w:val="24"/>
          <w:szCs w:val="24"/>
        </w:rPr>
        <w:t xml:space="preserve"> s</w:t>
      </w:r>
      <w:r w:rsidRPr="00EA7770">
        <w:rPr>
          <w:rFonts w:ascii="Times New Roman" w:hAnsi="Times New Roman"/>
          <w:i/>
          <w:sz w:val="24"/>
          <w:szCs w:val="24"/>
        </w:rPr>
        <w:t>ir</w:t>
      </w:r>
      <w:r w:rsidRPr="00EA7770">
        <w:rPr>
          <w:rFonts w:ascii="Times New Roman" w:hAnsi="Times New Roman"/>
          <w:sz w:val="24"/>
          <w:szCs w:val="24"/>
        </w:rPr>
        <w:t xml:space="preserve"> John Hope. </w:t>
      </w:r>
      <w:r w:rsidRPr="00EA7770">
        <w:rPr>
          <w:rFonts w:ascii="Times New Roman" w:hAnsi="Times New Roman"/>
          <w:i/>
          <w:sz w:val="24"/>
          <w:szCs w:val="24"/>
        </w:rPr>
        <w:t xml:space="preserve">Refugees: Preliminary Report of a Survey. </w:t>
      </w:r>
      <w:r w:rsidRPr="00EA7770">
        <w:rPr>
          <w:rFonts w:ascii="Times New Roman" w:hAnsi="Times New Roman"/>
          <w:sz w:val="24"/>
          <w:szCs w:val="24"/>
        </w:rPr>
        <w:t>K.B.E, C.I.E Londres: Oxford University Press, 1938</w:t>
      </w:r>
      <w:r w:rsidR="005B476A" w:rsidRPr="00EA7770">
        <w:rPr>
          <w:rFonts w:ascii="Times New Roman" w:hAnsi="Times New Roman"/>
          <w:sz w:val="24"/>
          <w:szCs w:val="24"/>
        </w:rPr>
        <w:t>.</w:t>
      </w:r>
    </w:p>
    <w:p w14:paraId="7E179BAA" w14:textId="3541D4C0" w:rsidR="00C13EE1" w:rsidRPr="00EA7770" w:rsidRDefault="00C13EE1" w:rsidP="009D7E8B">
      <w:pPr>
        <w:spacing w:line="360" w:lineRule="auto"/>
        <w:contextualSpacing/>
        <w:rPr>
          <w:rFonts w:ascii="Times New Roman" w:hAnsi="Times New Roman"/>
          <w:color w:val="0D0D0D"/>
          <w:sz w:val="24"/>
          <w:szCs w:val="24"/>
          <w:lang w:val="fr-FR"/>
        </w:rPr>
      </w:pPr>
      <w:r w:rsidRPr="00EA7770">
        <w:rPr>
          <w:rFonts w:ascii="Times New Roman" w:hAnsi="Times New Roman"/>
          <w:sz w:val="24"/>
          <w:szCs w:val="24"/>
        </w:rPr>
        <w:t xml:space="preserve">SLUGA, Glenda. </w:t>
      </w:r>
      <w:r w:rsidRPr="00EA7770">
        <w:rPr>
          <w:rFonts w:ascii="Times New Roman" w:hAnsi="Times New Roman"/>
          <w:i/>
          <w:sz w:val="24"/>
          <w:szCs w:val="24"/>
        </w:rPr>
        <w:t xml:space="preserve">René Cassin: Les Droits de l´homme and the Universality of Human Rights, 1945-1966. </w:t>
      </w:r>
      <w:r w:rsidRPr="00EA7770">
        <w:rPr>
          <w:rFonts w:ascii="Times New Roman" w:hAnsi="Times New Roman"/>
          <w:sz w:val="24"/>
          <w:szCs w:val="24"/>
        </w:rPr>
        <w:t xml:space="preserve">In: Stefan-Ludwig Hoffmann (editor) </w:t>
      </w:r>
      <w:r w:rsidRPr="00EA7770">
        <w:rPr>
          <w:rFonts w:ascii="Times New Roman" w:hAnsi="Times New Roman"/>
          <w:i/>
          <w:sz w:val="24"/>
          <w:szCs w:val="24"/>
        </w:rPr>
        <w:t xml:space="preserve">Human Rights in the Twentieth Century. </w:t>
      </w:r>
      <w:r w:rsidRPr="00EA7770">
        <w:rPr>
          <w:rFonts w:ascii="Times New Roman" w:hAnsi="Times New Roman"/>
          <w:sz w:val="24"/>
          <w:szCs w:val="24"/>
        </w:rPr>
        <w:t>New York: Cambridge University Press, 2011, pp. 107-24.</w:t>
      </w:r>
    </w:p>
    <w:p w14:paraId="0F922F36" w14:textId="0D593CB8" w:rsidR="00D11E5C" w:rsidRPr="00EA7770" w:rsidRDefault="00D11E5C" w:rsidP="009D7E8B">
      <w:pPr>
        <w:spacing w:line="360" w:lineRule="auto"/>
        <w:contextualSpacing/>
        <w:rPr>
          <w:rFonts w:ascii="Times New Roman" w:hAnsi="Times New Roman"/>
          <w:sz w:val="24"/>
          <w:szCs w:val="24"/>
          <w:lang w:val="en-US"/>
        </w:rPr>
      </w:pPr>
      <w:r w:rsidRPr="00EA7770">
        <w:rPr>
          <w:rFonts w:ascii="Times New Roman" w:hAnsi="Times New Roman"/>
          <w:sz w:val="24"/>
          <w:szCs w:val="24"/>
          <w:lang w:val="en-US"/>
        </w:rPr>
        <w:t>SPEIGHT, Allen</w:t>
      </w:r>
      <w:r w:rsidR="005B476A" w:rsidRPr="00EA7770">
        <w:rPr>
          <w:rFonts w:ascii="Times New Roman" w:hAnsi="Times New Roman"/>
          <w:sz w:val="24"/>
          <w:szCs w:val="24"/>
          <w:lang w:val="en-US"/>
        </w:rPr>
        <w:t>.</w:t>
      </w:r>
      <w:r w:rsidRPr="00EA7770">
        <w:rPr>
          <w:rFonts w:ascii="Times New Roman" w:hAnsi="Times New Roman"/>
          <w:sz w:val="24"/>
          <w:szCs w:val="24"/>
          <w:lang w:val="en-US"/>
        </w:rPr>
        <w:t xml:space="preserve"> </w:t>
      </w:r>
      <w:r w:rsidRPr="00EA7770">
        <w:rPr>
          <w:rFonts w:ascii="Times New Roman" w:hAnsi="Times New Roman"/>
          <w:i/>
          <w:sz w:val="24"/>
          <w:szCs w:val="24"/>
          <w:lang w:val="en-US"/>
        </w:rPr>
        <w:t>Arendt on Narrative Theory and Practice.</w:t>
      </w:r>
      <w:r w:rsidRPr="00EA7770">
        <w:rPr>
          <w:rFonts w:ascii="Times New Roman" w:hAnsi="Times New Roman"/>
          <w:sz w:val="24"/>
          <w:szCs w:val="24"/>
          <w:lang w:val="en-US"/>
        </w:rPr>
        <w:t xml:space="preserve"> College Literature 38 (1), 2011, pp. 115-30.</w:t>
      </w:r>
    </w:p>
    <w:p w14:paraId="41393B69" w14:textId="337B2221" w:rsidR="006B7157" w:rsidRPr="00EA7770" w:rsidRDefault="006B7157" w:rsidP="009D7E8B">
      <w:pPr>
        <w:spacing w:line="360" w:lineRule="auto"/>
        <w:contextualSpacing/>
        <w:rPr>
          <w:rFonts w:ascii="Times New Roman" w:hAnsi="Times New Roman"/>
          <w:color w:val="0D0D0D"/>
          <w:sz w:val="24"/>
          <w:szCs w:val="24"/>
          <w:lang w:val="fr-FR"/>
        </w:rPr>
      </w:pPr>
      <w:r w:rsidRPr="00EA7770">
        <w:rPr>
          <w:rFonts w:ascii="Times New Roman" w:hAnsi="Times New Roman"/>
          <w:sz w:val="24"/>
          <w:szCs w:val="24"/>
          <w:lang w:val="en-US"/>
        </w:rPr>
        <w:t xml:space="preserve">STEIGER, Heinhard. “From the International Law of Christianity to the International Law of the World Citizen – Reflections on the Formation of the Epochs of the History of International Law”. </w:t>
      </w:r>
      <w:r w:rsidRPr="00EA7770">
        <w:rPr>
          <w:rFonts w:ascii="Times New Roman" w:hAnsi="Times New Roman"/>
          <w:i/>
          <w:sz w:val="24"/>
          <w:szCs w:val="24"/>
          <w:lang w:val="en-US"/>
        </w:rPr>
        <w:t xml:space="preserve">Journal of the History of International Law </w:t>
      </w:r>
      <w:r w:rsidRPr="00EA7770">
        <w:rPr>
          <w:rFonts w:ascii="Times New Roman" w:hAnsi="Times New Roman"/>
          <w:sz w:val="24"/>
          <w:szCs w:val="24"/>
          <w:lang w:val="en-US"/>
        </w:rPr>
        <w:t>(JHIL) 3: p. 180-93, 2001</w:t>
      </w:r>
      <w:r w:rsidR="005B476A" w:rsidRPr="00EA7770">
        <w:rPr>
          <w:rFonts w:ascii="Times New Roman" w:hAnsi="Times New Roman"/>
          <w:sz w:val="24"/>
          <w:szCs w:val="24"/>
          <w:lang w:val="en-US"/>
        </w:rPr>
        <w:t>.</w:t>
      </w:r>
    </w:p>
    <w:p w14:paraId="3D36C58A" w14:textId="7132BB28" w:rsidR="00204620" w:rsidRPr="00EA7770" w:rsidRDefault="00204620"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SUPIOT, Alain. </w:t>
      </w:r>
      <w:r w:rsidRPr="00EA7770">
        <w:rPr>
          <w:rFonts w:ascii="Times New Roman" w:hAnsi="Times New Roman"/>
          <w:i/>
          <w:sz w:val="24"/>
          <w:szCs w:val="24"/>
        </w:rPr>
        <w:t>Homo Juridicus – Ensaio sobre a Função Antropológica do Direito</w:t>
      </w:r>
      <w:r w:rsidRPr="00EA7770">
        <w:rPr>
          <w:rFonts w:ascii="Times New Roman" w:hAnsi="Times New Roman"/>
          <w:sz w:val="24"/>
          <w:szCs w:val="24"/>
        </w:rPr>
        <w:t>. Tradução: Maria Ermantina de Almeida Prado Galvão. São Paulo: WMF Martins Fontes, 2007.</w:t>
      </w:r>
    </w:p>
    <w:p w14:paraId="4242CF2A" w14:textId="15D92A2D" w:rsidR="004830BB" w:rsidRPr="00EA7770" w:rsidRDefault="004830BB"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SWINARSKI ,Christophe. </w:t>
      </w:r>
      <w:r w:rsidRPr="00EA7770">
        <w:rPr>
          <w:rFonts w:ascii="Times New Roman" w:hAnsi="Times New Roman"/>
          <w:i/>
          <w:sz w:val="24"/>
          <w:szCs w:val="24"/>
        </w:rPr>
        <w:t>Direito Internacional Humanitário como Sistema de Proteção Internacional da Pessoa Humana – Principais Noções e Institutos</w:t>
      </w:r>
      <w:r w:rsidRPr="00EA7770">
        <w:rPr>
          <w:rFonts w:ascii="Times New Roman" w:hAnsi="Times New Roman"/>
          <w:sz w:val="24"/>
          <w:szCs w:val="24"/>
        </w:rPr>
        <w:t>. São Paulo: Editora Revista dos Tribunais, 1990</w:t>
      </w:r>
      <w:r w:rsidR="005B476A" w:rsidRPr="00EA7770">
        <w:rPr>
          <w:rFonts w:ascii="Times New Roman" w:hAnsi="Times New Roman"/>
          <w:sz w:val="24"/>
          <w:szCs w:val="24"/>
        </w:rPr>
        <w:t>.</w:t>
      </w:r>
    </w:p>
    <w:p w14:paraId="79451260" w14:textId="6F86F687" w:rsidR="00204620" w:rsidRPr="00EA7770" w:rsidRDefault="00204620"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lang w:val="fr-FR"/>
        </w:rPr>
        <w:lastRenderedPageBreak/>
        <w:t xml:space="preserve">TRIGEAUD, Jean-Marc. </w:t>
      </w:r>
      <w:r w:rsidRPr="00EA7770">
        <w:rPr>
          <w:rFonts w:ascii="Times New Roman" w:hAnsi="Times New Roman"/>
          <w:sz w:val="24"/>
          <w:szCs w:val="24"/>
        </w:rPr>
        <w:t>“</w:t>
      </w:r>
      <w:r w:rsidRPr="00EA7770">
        <w:rPr>
          <w:rFonts w:ascii="Times New Roman" w:hAnsi="Times New Roman"/>
          <w:sz w:val="24"/>
          <w:szCs w:val="24"/>
          <w:lang w:val="fr-FR"/>
        </w:rPr>
        <w:t>La personne</w:t>
      </w:r>
      <w:r w:rsidRPr="00EA7770">
        <w:rPr>
          <w:rFonts w:ascii="Times New Roman" w:hAnsi="Times New Roman"/>
          <w:sz w:val="24"/>
          <w:szCs w:val="24"/>
          <w:lang w:val="en-US"/>
        </w:rPr>
        <w:t xml:space="preserve">”. In: </w:t>
      </w:r>
      <w:r w:rsidRPr="00EA7770">
        <w:rPr>
          <w:rFonts w:ascii="Times New Roman" w:hAnsi="Times New Roman"/>
          <w:i/>
          <w:sz w:val="24"/>
          <w:szCs w:val="24"/>
          <w:lang w:val="en-US"/>
        </w:rPr>
        <w:t>Archives de Philisphie du Droit</w:t>
      </w:r>
      <w:r w:rsidRPr="00EA7770">
        <w:rPr>
          <w:rFonts w:ascii="Times New Roman" w:hAnsi="Times New Roman"/>
          <w:sz w:val="24"/>
          <w:szCs w:val="24"/>
          <w:lang w:val="en-US"/>
        </w:rPr>
        <w:t xml:space="preserve">, tomo </w:t>
      </w:r>
      <w:r w:rsidRPr="00EA7770">
        <w:rPr>
          <w:rFonts w:ascii="Times New Roman" w:hAnsi="Times New Roman"/>
          <w:sz w:val="24"/>
          <w:szCs w:val="24"/>
          <w:lang w:val="fr-FR"/>
        </w:rPr>
        <w:t>34</w:t>
      </w:r>
      <w:r w:rsidRPr="00EA7770">
        <w:rPr>
          <w:rFonts w:ascii="Times New Roman" w:hAnsi="Times New Roman"/>
          <w:i/>
          <w:sz w:val="24"/>
          <w:szCs w:val="24"/>
          <w:lang w:val="fr-FR"/>
        </w:rPr>
        <w:t xml:space="preserve">, </w:t>
      </w:r>
      <w:r w:rsidRPr="00EA7770">
        <w:rPr>
          <w:rFonts w:ascii="Times New Roman" w:hAnsi="Times New Roman"/>
          <w:sz w:val="24"/>
          <w:szCs w:val="24"/>
          <w:lang w:val="fr-FR"/>
        </w:rPr>
        <w:t>(Le Sujet de Droit). Paris: Editions Sirey, p. 120.</w:t>
      </w:r>
    </w:p>
    <w:p w14:paraId="27AC949A" w14:textId="10A43854" w:rsidR="00C147DF" w:rsidRPr="00EA7770" w:rsidRDefault="00C147DF"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VARGAS LLOSA, Mario. </w:t>
      </w:r>
      <w:r w:rsidRPr="00EA7770">
        <w:rPr>
          <w:rFonts w:ascii="Times New Roman" w:hAnsi="Times New Roman"/>
          <w:i/>
          <w:sz w:val="24"/>
          <w:szCs w:val="24"/>
        </w:rPr>
        <w:t xml:space="preserve">O Sonho do Celta. </w:t>
      </w:r>
      <w:r w:rsidRPr="00EA7770">
        <w:rPr>
          <w:rFonts w:ascii="Times New Roman" w:hAnsi="Times New Roman"/>
          <w:sz w:val="24"/>
          <w:szCs w:val="24"/>
        </w:rPr>
        <w:t>Tradução de Paulina Wacht e Ari Roitman São Paulo: Alfaguarra, [2010] 2011.</w:t>
      </w:r>
    </w:p>
    <w:p w14:paraId="0711AE0F" w14:textId="66728CA8" w:rsidR="004830BB" w:rsidRPr="00EA7770" w:rsidRDefault="004830BB"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 xml:space="preserve">VILLALPANDO ,Waldo. </w:t>
      </w:r>
      <w:r w:rsidRPr="00EA7770">
        <w:rPr>
          <w:rFonts w:ascii="Times New Roman" w:hAnsi="Times New Roman"/>
          <w:i/>
          <w:sz w:val="24"/>
          <w:szCs w:val="24"/>
        </w:rPr>
        <w:t xml:space="preserve">ACNUR: Um Instrumento de Paz. </w:t>
      </w:r>
      <w:r w:rsidRPr="00EA7770">
        <w:rPr>
          <w:rFonts w:ascii="Times New Roman" w:hAnsi="Times New Roman"/>
          <w:sz w:val="24"/>
          <w:szCs w:val="24"/>
        </w:rPr>
        <w:t>Madrid: Governo da Espanha, 1996</w:t>
      </w:r>
    </w:p>
    <w:p w14:paraId="69DEE582" w14:textId="0FB6F983" w:rsidR="00204620" w:rsidRPr="00EA7770" w:rsidRDefault="00204620"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lang w:val="fr-FR"/>
        </w:rPr>
        <w:t xml:space="preserve">WACHSMANN, Patrick. </w:t>
      </w:r>
      <w:r w:rsidRPr="00EA7770">
        <w:rPr>
          <w:rFonts w:ascii="Times New Roman" w:hAnsi="Times New Roman"/>
          <w:i/>
          <w:sz w:val="24"/>
          <w:szCs w:val="24"/>
          <w:lang w:val="fr-FR"/>
        </w:rPr>
        <w:t>Les Droits de L’Homme – Connaisance du Droit</w:t>
      </w:r>
      <w:r w:rsidRPr="00EA7770">
        <w:rPr>
          <w:rFonts w:ascii="Times New Roman" w:hAnsi="Times New Roman"/>
          <w:sz w:val="24"/>
          <w:szCs w:val="24"/>
          <w:lang w:val="fr-FR"/>
        </w:rPr>
        <w:t>. 5ª ed. Paris: Dalloz, 2008.</w:t>
      </w:r>
    </w:p>
    <w:p w14:paraId="798ECDF5" w14:textId="4437676A" w:rsidR="00F76777" w:rsidRPr="00EA7770" w:rsidRDefault="00F76777" w:rsidP="009D7E8B">
      <w:pPr>
        <w:spacing w:line="360" w:lineRule="auto"/>
        <w:contextualSpacing/>
        <w:rPr>
          <w:rFonts w:ascii="Times New Roman" w:hAnsi="Times New Roman"/>
          <w:sz w:val="24"/>
          <w:szCs w:val="24"/>
        </w:rPr>
      </w:pPr>
      <w:r w:rsidRPr="00EA7770">
        <w:rPr>
          <w:rFonts w:ascii="Times New Roman" w:hAnsi="Times New Roman"/>
          <w:sz w:val="24"/>
          <w:szCs w:val="24"/>
        </w:rPr>
        <w:t xml:space="preserve">WEISS, Paul. “The International Protection of Refugees”. </w:t>
      </w:r>
      <w:r w:rsidRPr="00EA7770">
        <w:rPr>
          <w:rFonts w:ascii="Times New Roman" w:hAnsi="Times New Roman"/>
          <w:i/>
          <w:sz w:val="24"/>
          <w:szCs w:val="24"/>
        </w:rPr>
        <w:t xml:space="preserve">The American Journal of International Law </w:t>
      </w:r>
      <w:r w:rsidRPr="00EA7770">
        <w:rPr>
          <w:rFonts w:ascii="Times New Roman" w:hAnsi="Times New Roman"/>
          <w:sz w:val="24"/>
          <w:szCs w:val="24"/>
        </w:rPr>
        <w:t>vol. 48, nº 2 (abril 1954) pp. 193-221</w:t>
      </w:r>
      <w:r w:rsidR="005B476A" w:rsidRPr="00EA7770">
        <w:rPr>
          <w:rFonts w:ascii="Times New Roman" w:hAnsi="Times New Roman"/>
          <w:sz w:val="24"/>
          <w:szCs w:val="24"/>
        </w:rPr>
        <w:t>.</w:t>
      </w:r>
    </w:p>
    <w:p w14:paraId="343784DA" w14:textId="3A156BEB" w:rsidR="00B226E2" w:rsidRPr="00EA7770" w:rsidRDefault="00DB56D2" w:rsidP="009D7E8B">
      <w:pPr>
        <w:spacing w:line="360" w:lineRule="auto"/>
        <w:contextualSpacing/>
        <w:rPr>
          <w:rFonts w:ascii="Times New Roman" w:hAnsi="Times New Roman"/>
          <w:sz w:val="24"/>
          <w:szCs w:val="24"/>
          <w:lang w:val="fr-FR"/>
        </w:rPr>
      </w:pPr>
      <w:r w:rsidRPr="00EA7770">
        <w:rPr>
          <w:rFonts w:ascii="Times New Roman" w:hAnsi="Times New Roman"/>
          <w:sz w:val="24"/>
          <w:szCs w:val="24"/>
        </w:rPr>
        <w:t xml:space="preserve">ZETTER, </w:t>
      </w:r>
      <w:r w:rsidR="00B226E2" w:rsidRPr="00EA7770">
        <w:rPr>
          <w:rFonts w:ascii="Times New Roman" w:hAnsi="Times New Roman"/>
          <w:sz w:val="24"/>
          <w:szCs w:val="24"/>
        </w:rPr>
        <w:t xml:space="preserve">Roger. “Labelling Refugees: Forming and Transforming a Bureaucratic Identity”. </w:t>
      </w:r>
      <w:r w:rsidR="00B226E2" w:rsidRPr="00EA7770">
        <w:rPr>
          <w:rFonts w:ascii="Times New Roman" w:hAnsi="Times New Roman"/>
          <w:i/>
          <w:sz w:val="24"/>
          <w:szCs w:val="24"/>
        </w:rPr>
        <w:t xml:space="preserve">Journal of Refugee Studies </w:t>
      </w:r>
      <w:r w:rsidR="00B226E2" w:rsidRPr="00EA7770">
        <w:rPr>
          <w:rFonts w:ascii="Times New Roman" w:hAnsi="Times New Roman"/>
          <w:sz w:val="24"/>
          <w:szCs w:val="24"/>
        </w:rPr>
        <w:t>vol. 4, nº 1, 1991, pp. 39-63.</w:t>
      </w:r>
    </w:p>
    <w:p w14:paraId="590E5E95" w14:textId="77777777" w:rsidR="00EC60BF" w:rsidRPr="00A931C3" w:rsidRDefault="00EC60BF" w:rsidP="00A931C3">
      <w:pPr>
        <w:spacing w:line="360" w:lineRule="auto"/>
        <w:ind w:firstLine="708"/>
        <w:contextualSpacing/>
        <w:jc w:val="both"/>
        <w:rPr>
          <w:rFonts w:ascii="Times New Roman" w:hAnsi="Times New Roman"/>
          <w:sz w:val="24"/>
        </w:rPr>
      </w:pPr>
    </w:p>
    <w:p w14:paraId="174F6C2C" w14:textId="77777777" w:rsidR="00221151" w:rsidRPr="002C1356" w:rsidRDefault="00221151" w:rsidP="00EE6EF5">
      <w:pPr>
        <w:contextualSpacing/>
        <w:rPr>
          <w:rFonts w:ascii="Times New Roman" w:hAnsi="Times New Roman"/>
          <w:sz w:val="24"/>
          <w:szCs w:val="24"/>
        </w:rPr>
      </w:pPr>
    </w:p>
    <w:sectPr w:rsidR="00221151" w:rsidRPr="002C135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6C5D" w14:textId="77777777" w:rsidR="0054308A" w:rsidRDefault="0054308A" w:rsidP="00156CFA">
      <w:pPr>
        <w:spacing w:after="0" w:line="240" w:lineRule="auto"/>
      </w:pPr>
      <w:r>
        <w:separator/>
      </w:r>
    </w:p>
  </w:endnote>
  <w:endnote w:type="continuationSeparator" w:id="0">
    <w:p w14:paraId="7C066609" w14:textId="77777777" w:rsidR="0054308A" w:rsidRDefault="0054308A" w:rsidP="00156CFA">
      <w:pPr>
        <w:spacing w:after="0" w:line="240" w:lineRule="auto"/>
      </w:pPr>
      <w:r>
        <w:continuationSeparator/>
      </w:r>
    </w:p>
  </w:endnote>
  <w:endnote w:type="continuationNotice" w:id="1">
    <w:p w14:paraId="42B77789" w14:textId="77777777" w:rsidR="0054308A" w:rsidRDefault="00543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4264F" w14:textId="77777777" w:rsidR="0054308A" w:rsidRDefault="0054308A" w:rsidP="00156CFA">
      <w:pPr>
        <w:spacing w:after="0" w:line="240" w:lineRule="auto"/>
      </w:pPr>
      <w:r>
        <w:separator/>
      </w:r>
    </w:p>
  </w:footnote>
  <w:footnote w:type="continuationSeparator" w:id="0">
    <w:p w14:paraId="430BE99D" w14:textId="77777777" w:rsidR="0054308A" w:rsidRDefault="0054308A" w:rsidP="00156CFA">
      <w:pPr>
        <w:spacing w:after="0" w:line="240" w:lineRule="auto"/>
      </w:pPr>
      <w:r>
        <w:continuationSeparator/>
      </w:r>
    </w:p>
  </w:footnote>
  <w:footnote w:type="continuationNotice" w:id="1">
    <w:p w14:paraId="218BD080" w14:textId="77777777" w:rsidR="0054308A" w:rsidRDefault="0054308A">
      <w:pPr>
        <w:spacing w:after="0" w:line="240" w:lineRule="auto"/>
      </w:pPr>
    </w:p>
  </w:footnote>
  <w:footnote w:id="2">
    <w:p w14:paraId="4030DA94" w14:textId="3854E6F6" w:rsidR="009D7E8B" w:rsidRPr="00845302" w:rsidRDefault="009D7E8B">
      <w:pPr>
        <w:pStyle w:val="Textodenotaderodap"/>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Para maiores informações, &lt;</w:t>
      </w:r>
      <w:hyperlink r:id="rId1" w:history="1">
        <w:r w:rsidRPr="00845302">
          <w:rPr>
            <w:rStyle w:val="Hyperlink"/>
            <w:rFonts w:ascii="Times New Roman" w:hAnsi="Times New Roman"/>
            <w:sz w:val="16"/>
            <w:szCs w:val="16"/>
          </w:rPr>
          <w:t>http://therefugeenation.org</w:t>
        </w:r>
      </w:hyperlink>
      <w:r w:rsidRPr="00845302">
        <w:rPr>
          <w:rStyle w:val="Hyperlink"/>
          <w:rFonts w:ascii="Times New Roman" w:hAnsi="Times New Roman"/>
          <w:sz w:val="16"/>
          <w:szCs w:val="16"/>
        </w:rPr>
        <w:t xml:space="preserve">&gt;. Acesso em 27 set. 2017.  </w:t>
      </w:r>
      <w:r w:rsidRPr="00845302">
        <w:rPr>
          <w:rFonts w:ascii="Times New Roman" w:hAnsi="Times New Roman"/>
          <w:sz w:val="16"/>
          <w:szCs w:val="16"/>
        </w:rPr>
        <w:t xml:space="preserve"> </w:t>
      </w:r>
    </w:p>
  </w:footnote>
  <w:footnote w:id="3">
    <w:p w14:paraId="2D3E479E" w14:textId="551DC201" w:rsidR="009D7E8B" w:rsidRPr="00845302" w:rsidRDefault="009D7E8B">
      <w:pPr>
        <w:pStyle w:val="Textodenotaderodap"/>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Roland Portmann. </w:t>
      </w:r>
      <w:r w:rsidRPr="00845302">
        <w:rPr>
          <w:rFonts w:ascii="Times New Roman" w:hAnsi="Times New Roman"/>
          <w:i/>
          <w:sz w:val="16"/>
          <w:szCs w:val="16"/>
        </w:rPr>
        <w:t>Legal Personality in International Law (Cambridge Studies in International and Comparative Law)</w:t>
      </w:r>
      <w:r w:rsidRPr="00845302">
        <w:rPr>
          <w:rFonts w:ascii="Times New Roman" w:hAnsi="Times New Roman"/>
          <w:sz w:val="16"/>
          <w:szCs w:val="16"/>
        </w:rPr>
        <w:t xml:space="preserve">. Cambridge: Cambridge University Press, 2010, p. 2. </w:t>
      </w:r>
    </w:p>
  </w:footnote>
  <w:footnote w:id="4">
    <w:p w14:paraId="494E48CC" w14:textId="71A88E48" w:rsidR="009D7E8B" w:rsidRPr="00845302" w:rsidRDefault="009D7E8B" w:rsidP="003D7DAB">
      <w:pPr>
        <w:pStyle w:val="Style1"/>
        <w:ind w:left="0"/>
        <w:rPr>
          <w:sz w:val="16"/>
          <w:szCs w:val="16"/>
        </w:rPr>
      </w:pPr>
      <w:r w:rsidRPr="00845302">
        <w:rPr>
          <w:rStyle w:val="Refdenotaderodap"/>
          <w:sz w:val="16"/>
          <w:szCs w:val="16"/>
        </w:rPr>
        <w:footnoteRef/>
      </w:r>
      <w:r w:rsidRPr="00845302">
        <w:rPr>
          <w:sz w:val="16"/>
          <w:szCs w:val="16"/>
        </w:rPr>
        <w:t xml:space="preserve"> Hersch Lauterpacht. “The Subjects of Law of Nations”.</w:t>
      </w:r>
      <w:r w:rsidRPr="00845302">
        <w:rPr>
          <w:i/>
          <w:sz w:val="16"/>
          <w:szCs w:val="16"/>
        </w:rPr>
        <w:t xml:space="preserve"> Law Quarterly Review </w:t>
      </w:r>
      <w:r w:rsidRPr="00845302">
        <w:rPr>
          <w:sz w:val="16"/>
          <w:szCs w:val="16"/>
        </w:rPr>
        <w:t>64.253 (1948), p. 97-119.</w:t>
      </w:r>
    </w:p>
  </w:footnote>
  <w:footnote w:id="5">
    <w:p w14:paraId="5B4B9020" w14:textId="6A674BE7" w:rsidR="009D7E8B" w:rsidRPr="00845302" w:rsidRDefault="009D7E8B">
      <w:pPr>
        <w:pStyle w:val="Textodenotaderodap"/>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Roland Portmann, </w:t>
      </w:r>
      <w:r w:rsidRPr="00845302">
        <w:rPr>
          <w:rFonts w:ascii="Times New Roman" w:hAnsi="Times New Roman"/>
          <w:i/>
          <w:sz w:val="16"/>
          <w:szCs w:val="16"/>
        </w:rPr>
        <w:t xml:space="preserve">op. cit, </w:t>
      </w:r>
      <w:r w:rsidRPr="00845302">
        <w:rPr>
          <w:rFonts w:ascii="Times New Roman" w:hAnsi="Times New Roman"/>
          <w:sz w:val="16"/>
          <w:szCs w:val="16"/>
        </w:rPr>
        <w:t>p. 127-9.</w:t>
      </w:r>
    </w:p>
  </w:footnote>
  <w:footnote w:id="6">
    <w:p w14:paraId="7CE5098B" w14:textId="6BA6B254" w:rsidR="009D7E8B" w:rsidRPr="00845302" w:rsidRDefault="009D7E8B">
      <w:pPr>
        <w:pStyle w:val="Textodenotaderodap"/>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Roland Portmann, </w:t>
      </w:r>
      <w:r w:rsidRPr="00845302">
        <w:rPr>
          <w:rFonts w:ascii="Times New Roman" w:hAnsi="Times New Roman"/>
          <w:i/>
          <w:sz w:val="16"/>
          <w:szCs w:val="16"/>
        </w:rPr>
        <w:t xml:space="preserve">op. cit, </w:t>
      </w:r>
      <w:r w:rsidRPr="00845302">
        <w:rPr>
          <w:rFonts w:ascii="Times New Roman" w:hAnsi="Times New Roman"/>
          <w:sz w:val="16"/>
          <w:szCs w:val="16"/>
        </w:rPr>
        <w:t>p. 127.</w:t>
      </w:r>
    </w:p>
  </w:footnote>
  <w:footnote w:id="7">
    <w:p w14:paraId="22EDCDDC" w14:textId="17D7BE8D" w:rsidR="009D7E8B" w:rsidRPr="00845302" w:rsidRDefault="009D7E8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Antônio Augusto Cançado Trindade. “O Direito Internacional dos Direitos Humanos no limiar do Novo Século”. In: Tratado de Direito Internacional dos Direitos Humanos (volume III), capítulo XX. Porto Alegre: Sergio Antonio Fabris Editor, 2003 p. 405-509; p. 447.</w:t>
      </w:r>
    </w:p>
  </w:footnote>
  <w:footnote w:id="8">
    <w:p w14:paraId="5751FD27" w14:textId="23FE9EC3" w:rsidR="009D7E8B" w:rsidRPr="00845302" w:rsidRDefault="009D7E8B">
      <w:pPr>
        <w:pStyle w:val="Textodenotaderodap"/>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Robert M. Cover. “Nomos</w:t>
      </w:r>
      <w:r w:rsidRPr="00845302">
        <w:rPr>
          <w:rFonts w:ascii="Times New Roman" w:hAnsi="Times New Roman"/>
          <w:b/>
          <w:sz w:val="16"/>
          <w:szCs w:val="16"/>
        </w:rPr>
        <w:t xml:space="preserve"> </w:t>
      </w:r>
      <w:r w:rsidRPr="00845302">
        <w:rPr>
          <w:rFonts w:ascii="Times New Roman" w:hAnsi="Times New Roman"/>
          <w:sz w:val="16"/>
          <w:szCs w:val="16"/>
        </w:rPr>
        <w:t xml:space="preserve">e Narração”. </w:t>
      </w:r>
      <w:r w:rsidRPr="00845302">
        <w:rPr>
          <w:rFonts w:ascii="Times New Roman" w:hAnsi="Times New Roman"/>
          <w:i/>
          <w:sz w:val="16"/>
          <w:szCs w:val="16"/>
        </w:rPr>
        <w:t>ANAMORPHOSIS Revista Internacional de Direito e Literatura,</w:t>
      </w:r>
      <w:r w:rsidRPr="00845302">
        <w:rPr>
          <w:rFonts w:ascii="Times New Roman" w:hAnsi="Times New Roman"/>
          <w:sz w:val="16"/>
          <w:szCs w:val="16"/>
        </w:rPr>
        <w:t xml:space="preserve"> vol. 2, nº 2, jul-dez 2016 [1983], tradução de Luis Rosenfield, p. 187-268; p.188.</w:t>
      </w:r>
    </w:p>
  </w:footnote>
  <w:footnote w:id="9">
    <w:p w14:paraId="1554C065" w14:textId="1CAF7341" w:rsidR="009D7E8B" w:rsidRPr="00845302" w:rsidRDefault="009D7E8B" w:rsidP="00156CFA">
      <w:pPr>
        <w:pStyle w:val="Textodenotaderodap"/>
        <w:rPr>
          <w:rFonts w:ascii="Times New Roman" w:hAnsi="Times New Roman"/>
          <w:sz w:val="16"/>
          <w:szCs w:val="16"/>
          <w:lang w:val="en-US"/>
        </w:rPr>
      </w:pPr>
      <w:r w:rsidRPr="00845302">
        <w:rPr>
          <w:rStyle w:val="Refdenotaderodap"/>
          <w:rFonts w:ascii="Times New Roman" w:hAnsi="Times New Roman"/>
          <w:sz w:val="16"/>
          <w:szCs w:val="16"/>
        </w:rPr>
        <w:footnoteRef/>
      </w:r>
      <w:r w:rsidRPr="00845302">
        <w:rPr>
          <w:rFonts w:ascii="Times New Roman" w:hAnsi="Times New Roman"/>
          <w:sz w:val="16"/>
          <w:szCs w:val="16"/>
          <w:lang w:val="en-US"/>
        </w:rPr>
        <w:t xml:space="preserve"> H. Porter Abbot. </w:t>
      </w:r>
      <w:r w:rsidRPr="00845302">
        <w:rPr>
          <w:rFonts w:ascii="Times New Roman" w:hAnsi="Times New Roman"/>
          <w:i/>
          <w:sz w:val="16"/>
          <w:szCs w:val="16"/>
          <w:lang w:val="en-US"/>
        </w:rPr>
        <w:t xml:space="preserve">The Cambridge Introduction to Narrative. </w:t>
      </w:r>
      <w:r w:rsidRPr="00845302">
        <w:rPr>
          <w:rFonts w:ascii="Times New Roman" w:hAnsi="Times New Roman"/>
          <w:sz w:val="16"/>
          <w:szCs w:val="16"/>
        </w:rPr>
        <w:t xml:space="preserve">Cambridge: Cambridge University Press, 2008, posição 225 [edição Kindle]. </w:t>
      </w:r>
    </w:p>
  </w:footnote>
  <w:footnote w:id="10">
    <w:p w14:paraId="6F65AD8B" w14:textId="2AE43E3B" w:rsidR="009D7E8B" w:rsidRPr="00845302" w:rsidRDefault="009D7E8B" w:rsidP="00156CFA">
      <w:pPr>
        <w:pStyle w:val="Textodenotaderodap"/>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Hannah Arendt. Sobre a humanidade em tempos sombrios: reflexões sobre Lessing. In: </w:t>
      </w:r>
      <w:r w:rsidRPr="00845302">
        <w:rPr>
          <w:rFonts w:ascii="Times New Roman" w:hAnsi="Times New Roman"/>
          <w:i/>
          <w:sz w:val="16"/>
          <w:szCs w:val="16"/>
        </w:rPr>
        <w:t>Homens em Tempos Sombrios</w:t>
      </w:r>
      <w:r w:rsidRPr="00845302">
        <w:rPr>
          <w:rFonts w:ascii="Times New Roman" w:hAnsi="Times New Roman"/>
          <w:sz w:val="16"/>
          <w:szCs w:val="16"/>
        </w:rPr>
        <w:t>. São Paulo: Companhia das Letras, [1968] 2008, pp. 30-1.</w:t>
      </w:r>
    </w:p>
  </w:footnote>
  <w:footnote w:id="11">
    <w:p w14:paraId="2ABF98F2" w14:textId="5732CC10" w:rsidR="009D7E8B" w:rsidRPr="00845302" w:rsidRDefault="009D7E8B" w:rsidP="00156CFA">
      <w:pPr>
        <w:pStyle w:val="Textodenotaderodap"/>
        <w:rPr>
          <w:rFonts w:ascii="Times New Roman" w:hAnsi="Times New Roman"/>
          <w:i/>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lang w:val="en-US"/>
        </w:rPr>
        <w:t xml:space="preserve"> Allen Speight,.</w:t>
      </w:r>
      <w:r w:rsidRPr="00845302">
        <w:rPr>
          <w:rFonts w:ascii="Times New Roman" w:hAnsi="Times New Roman"/>
          <w:i/>
          <w:sz w:val="16"/>
          <w:szCs w:val="16"/>
          <w:lang w:val="en-US"/>
        </w:rPr>
        <w:t>“Arendt on Narrative Theory and Practice”.</w:t>
      </w:r>
      <w:r w:rsidRPr="00845302">
        <w:rPr>
          <w:rFonts w:ascii="Times New Roman" w:hAnsi="Times New Roman"/>
          <w:sz w:val="16"/>
          <w:szCs w:val="16"/>
          <w:lang w:val="en-US"/>
        </w:rPr>
        <w:t xml:space="preserve"> College Literature 38 (1), 2011, pp. 115-30. </w:t>
      </w:r>
      <w:r w:rsidRPr="00845302">
        <w:rPr>
          <w:rFonts w:ascii="Times New Roman" w:hAnsi="Times New Roman"/>
          <w:sz w:val="16"/>
          <w:szCs w:val="16"/>
        </w:rPr>
        <w:t>Grato ao professor Markus Fraundorfer pela indicação da bibliografia referente à narrativa.</w:t>
      </w:r>
      <w:r w:rsidRPr="00845302">
        <w:rPr>
          <w:rFonts w:ascii="Times New Roman" w:hAnsi="Times New Roman"/>
          <w:i/>
          <w:sz w:val="16"/>
          <w:szCs w:val="16"/>
        </w:rPr>
        <w:t xml:space="preserve"> </w:t>
      </w:r>
    </w:p>
  </w:footnote>
  <w:footnote w:id="12">
    <w:p w14:paraId="0458D3E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Lynn Hunt. </w:t>
      </w:r>
      <w:r w:rsidRPr="00845302">
        <w:rPr>
          <w:rFonts w:ascii="Times New Roman" w:hAnsi="Times New Roman"/>
          <w:i/>
          <w:sz w:val="16"/>
          <w:szCs w:val="16"/>
        </w:rPr>
        <w:t xml:space="preserve">A invenção dos Direitos Humanos: </w:t>
      </w:r>
      <w:r w:rsidRPr="00845302">
        <w:rPr>
          <w:rFonts w:ascii="Times New Roman" w:hAnsi="Times New Roman"/>
          <w:sz w:val="16"/>
          <w:szCs w:val="16"/>
        </w:rPr>
        <w:t>Uma História. Tradução de Rosaura Eichenberg. São Paulo: Companhia das Letras, {2007} 2009. p.75-6.</w:t>
      </w:r>
    </w:p>
  </w:footnote>
  <w:footnote w:id="13">
    <w:p w14:paraId="5EC65F0B" w14:textId="1ED64AC5"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Kwame Anthony Appiah. </w:t>
      </w:r>
      <w:r w:rsidRPr="00845302">
        <w:rPr>
          <w:rFonts w:ascii="Times New Roman" w:hAnsi="Times New Roman"/>
          <w:i/>
          <w:sz w:val="16"/>
          <w:szCs w:val="16"/>
        </w:rPr>
        <w:t>O Código de Honra:</w:t>
      </w:r>
      <w:r w:rsidRPr="00845302">
        <w:rPr>
          <w:rFonts w:ascii="Times New Roman" w:hAnsi="Times New Roman"/>
          <w:sz w:val="16"/>
          <w:szCs w:val="16"/>
        </w:rPr>
        <w:t xml:space="preserve"> Como ocorrem as Revoluções Morais. Tradução Denise Bottmann. São Paulo: Companhia das Letras, {2010} 2012. p.54</w:t>
      </w:r>
    </w:p>
  </w:footnote>
  <w:footnote w:id="14">
    <w:p w14:paraId="7B391B2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A Declaração Universal dos Direitos Humanos de 1948: seu alcance e significado para a teoria dos direitos humanos </w:t>
      </w:r>
      <w:r w:rsidRPr="00845302">
        <w:rPr>
          <w:rFonts w:ascii="Times New Roman" w:hAnsi="Times New Roman"/>
          <w:sz w:val="16"/>
          <w:szCs w:val="16"/>
        </w:rPr>
        <w:t xml:space="preserve">In: </w:t>
      </w:r>
      <w:r w:rsidRPr="00845302">
        <w:rPr>
          <w:rFonts w:ascii="Times New Roman" w:hAnsi="Times New Roman"/>
          <w:i/>
          <w:sz w:val="16"/>
          <w:szCs w:val="16"/>
        </w:rPr>
        <w:t>Direitos Humanos</w:t>
      </w:r>
      <w:r w:rsidRPr="00845302">
        <w:rPr>
          <w:rFonts w:ascii="Times New Roman" w:hAnsi="Times New Roman"/>
          <w:sz w:val="16"/>
          <w:szCs w:val="16"/>
        </w:rPr>
        <w:t xml:space="preserve"> Um percurso no Direito no Século XXI. São Paulo: Editora Atlas, 2015, p. 03-53, p. 9.</w:t>
      </w:r>
    </w:p>
  </w:footnote>
  <w:footnote w:id="15">
    <w:p w14:paraId="58D4D36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Frits Kalshoven e Liesbeth Zegveld. </w:t>
      </w:r>
      <w:r w:rsidRPr="00845302">
        <w:rPr>
          <w:rFonts w:ascii="Times New Roman" w:hAnsi="Times New Roman"/>
          <w:i/>
          <w:sz w:val="16"/>
          <w:szCs w:val="16"/>
        </w:rPr>
        <w:t xml:space="preserve">Restricciones en la conducción de la Guerra </w:t>
      </w:r>
      <w:r w:rsidRPr="00845302">
        <w:rPr>
          <w:rFonts w:ascii="Times New Roman" w:hAnsi="Times New Roman"/>
          <w:sz w:val="16"/>
          <w:szCs w:val="16"/>
        </w:rPr>
        <w:t>Introducción al Derecho Internacional Humanitario. Tradução de Margarita Polo, Buenos Aires: Centro de apoyo em Comunicación para América Latina (CICR): {2001} 2005 p. 30-1.</w:t>
      </w:r>
    </w:p>
  </w:footnote>
  <w:footnote w:id="16">
    <w:p w14:paraId="77BE336F"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rFonts w:ascii="Times New Roman" w:hAnsi="Times New Roman"/>
          <w:sz w:val="16"/>
          <w:szCs w:val="16"/>
          <w:lang w:val="en-US"/>
        </w:rPr>
        <w:t xml:space="preserve"> Axel Honneth. </w:t>
      </w:r>
      <w:r w:rsidRPr="00845302">
        <w:rPr>
          <w:rFonts w:ascii="Times New Roman" w:hAnsi="Times New Roman"/>
          <w:i/>
          <w:sz w:val="16"/>
          <w:szCs w:val="16"/>
          <w:lang w:val="en-US"/>
        </w:rPr>
        <w:t xml:space="preserve">Integrity and Disrespect: Principles of a Conception of Morality based on the Theory of Recognition </w:t>
      </w:r>
      <w:r w:rsidRPr="00845302">
        <w:rPr>
          <w:rFonts w:ascii="Times New Roman" w:hAnsi="Times New Roman"/>
          <w:sz w:val="16"/>
          <w:szCs w:val="16"/>
          <w:lang w:val="en-US"/>
        </w:rPr>
        <w:t>Political Theory, vol. 20, nº 2, (maio, 1992) pp. 187-201.</w:t>
      </w:r>
    </w:p>
  </w:footnote>
  <w:footnote w:id="17">
    <w:p w14:paraId="56C82B8C" w14:textId="191DD8A5"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William James </w:t>
      </w:r>
      <w:r w:rsidRPr="00845302">
        <w:rPr>
          <w:rFonts w:ascii="TimesNewRomanPSMT" w:hAnsi="TimesNewRomanPSMT" w:cs="TimesNewRomanPSMT"/>
          <w:i/>
          <w:sz w:val="16"/>
          <w:szCs w:val="16"/>
        </w:rPr>
        <w:t>Pragmatism: a new name for some old ways of thinking</w:t>
      </w:r>
      <w:r w:rsidRPr="00845302">
        <w:rPr>
          <w:rFonts w:ascii="TimesNewRomanPSMT" w:hAnsi="TimesNewRomanPSMT" w:cs="TimesNewRomanPSMT"/>
          <w:sz w:val="16"/>
          <w:szCs w:val="16"/>
        </w:rPr>
        <w:t xml:space="preserve"> (1907) edição kindle p. 17.</w:t>
      </w:r>
    </w:p>
  </w:footnote>
  <w:footnote w:id="18">
    <w:p w14:paraId="583B8E5F"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William James </w:t>
      </w:r>
      <w:r w:rsidRPr="00845302">
        <w:rPr>
          <w:rFonts w:ascii="TimesNewRomanPSMT" w:hAnsi="TimesNewRomanPSMT" w:cs="TimesNewRomanPSMT"/>
          <w:i/>
          <w:sz w:val="16"/>
          <w:szCs w:val="16"/>
          <w:lang w:val="en-US"/>
        </w:rPr>
        <w:t>op. cit</w:t>
      </w:r>
      <w:r w:rsidRPr="00845302">
        <w:rPr>
          <w:rFonts w:ascii="TimesNewRomanPSMT" w:hAnsi="TimesNewRomanPSMT" w:cs="TimesNewRomanPSMT"/>
          <w:sz w:val="16"/>
          <w:szCs w:val="16"/>
          <w:lang w:val="en-US"/>
        </w:rPr>
        <w:t xml:space="preserve"> p. 18-19</w:t>
      </w:r>
    </w:p>
  </w:footnote>
  <w:footnote w:id="19">
    <w:p w14:paraId="7FD1BDA8" w14:textId="77777777" w:rsidR="009D7E8B" w:rsidRPr="00845302" w:rsidRDefault="009D7E8B" w:rsidP="003D7DAB">
      <w:pPr>
        <w:widowControl w:val="0"/>
        <w:autoSpaceDE w:val="0"/>
        <w:autoSpaceDN w:val="0"/>
        <w:adjustRightInd w:val="0"/>
        <w:contextualSpacing/>
        <w:jc w:val="both"/>
        <w:rPr>
          <w:rFonts w:ascii="TimesNewRomanPSMT" w:hAnsi="TimesNewRomanPSMT" w:cs="TimesNewRomanPSMT"/>
          <w:sz w:val="16"/>
          <w:szCs w:val="16"/>
        </w:rPr>
      </w:pPr>
      <w:r w:rsidRPr="00845302">
        <w:rPr>
          <w:rStyle w:val="Refdenotaderodap"/>
          <w:sz w:val="16"/>
          <w:szCs w:val="16"/>
        </w:rPr>
        <w:footnoteRef/>
      </w:r>
      <w:r w:rsidRPr="00845302">
        <w:rPr>
          <w:sz w:val="16"/>
          <w:szCs w:val="16"/>
        </w:rPr>
        <w:t xml:space="preserve"> </w:t>
      </w:r>
      <w:r w:rsidRPr="00845302">
        <w:rPr>
          <w:rFonts w:ascii="TimesNewRomanPSMT" w:hAnsi="TimesNewRomanPSMT" w:cs="TimesNewRomanPSMT"/>
          <w:sz w:val="16"/>
          <w:szCs w:val="16"/>
          <w:lang w:val="en-US"/>
        </w:rPr>
        <w:t xml:space="preserve">Richard Bernstein J. </w:t>
      </w:r>
      <w:r w:rsidRPr="00845302">
        <w:rPr>
          <w:rFonts w:ascii="TimesNewRomanPSMT" w:hAnsi="TimesNewRomanPSMT" w:cs="TimesNewRomanPSMT"/>
          <w:i/>
          <w:sz w:val="16"/>
          <w:szCs w:val="16"/>
          <w:lang w:val="en-US"/>
        </w:rPr>
        <w:t xml:space="preserve">The Pragmatic Turn. </w:t>
      </w:r>
      <w:r w:rsidRPr="00845302">
        <w:rPr>
          <w:rFonts w:ascii="TimesNewRomanPSMT" w:hAnsi="TimesNewRomanPSMT" w:cs="TimesNewRomanPSMT"/>
          <w:sz w:val="16"/>
          <w:szCs w:val="16"/>
        </w:rPr>
        <w:t>Cambridge (UK): Polity Press, 2010, p. 25.</w:t>
      </w:r>
    </w:p>
  </w:footnote>
  <w:footnote w:id="20">
    <w:p w14:paraId="2C65CC7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rFonts w:ascii="Times New Roman" w:hAnsi="Times New Roman"/>
          <w:sz w:val="16"/>
          <w:szCs w:val="16"/>
        </w:rPr>
        <w:t xml:space="preserve"> Hans Joas. </w:t>
      </w:r>
      <w:r w:rsidRPr="00845302">
        <w:rPr>
          <w:rFonts w:ascii="Times New Roman" w:hAnsi="Times New Roman"/>
          <w:i/>
          <w:sz w:val="16"/>
          <w:szCs w:val="16"/>
        </w:rPr>
        <w:t xml:space="preserve">A Sacralidade da Pessoa: </w:t>
      </w:r>
      <w:r w:rsidRPr="00845302">
        <w:rPr>
          <w:rFonts w:ascii="Times New Roman" w:hAnsi="Times New Roman"/>
          <w:sz w:val="16"/>
          <w:szCs w:val="16"/>
        </w:rPr>
        <w:t>Nova Genealogia dos Direitos Humanos. Tradução de Nélio Scheneider. São Paulo: Editora da UNESP [2011] 2012 p. 9.</w:t>
      </w:r>
    </w:p>
  </w:footnote>
  <w:footnote w:id="21">
    <w:p w14:paraId="5862DE5B"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 Declaração dos Direitos do Homem e do Cidadão ampliada, foi incorporada a Constituição Francesa de 1791 no ano de 1793. No dia 22 de agosto de 1795 foi proclamada a Declaração dos Direitos e Deveres do Homem e do Cidadão. Com trinta e um artigos, sendo vinte e dois direitos e nove deveres. Para uma pesquisa aprofundada veja: Frédéric Worms </w:t>
      </w:r>
      <w:r w:rsidRPr="00845302">
        <w:rPr>
          <w:rFonts w:ascii="Times New Roman" w:hAnsi="Times New Roman"/>
          <w:i/>
          <w:sz w:val="16"/>
          <w:szCs w:val="16"/>
        </w:rPr>
        <w:t xml:space="preserve">Droits de l’Homme et Philosophie. </w:t>
      </w:r>
      <w:r w:rsidRPr="00845302">
        <w:rPr>
          <w:rFonts w:ascii="Times New Roman" w:hAnsi="Times New Roman"/>
          <w:sz w:val="16"/>
          <w:szCs w:val="16"/>
        </w:rPr>
        <w:t>Paris: CNRS Edition, 2009 p. 71-85.</w:t>
      </w:r>
    </w:p>
  </w:footnote>
  <w:footnote w:id="22">
    <w:p w14:paraId="63F92811"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w:t>
      </w:r>
      <w:r w:rsidRPr="00845302">
        <w:rPr>
          <w:rFonts w:ascii="Times New Roman" w:hAnsi="Times New Roman"/>
          <w:i/>
          <w:sz w:val="16"/>
          <w:szCs w:val="16"/>
        </w:rPr>
        <w:t xml:space="preserve">op.cit, </w:t>
      </w:r>
      <w:r w:rsidRPr="00845302">
        <w:rPr>
          <w:rFonts w:ascii="Times New Roman" w:hAnsi="Times New Roman"/>
          <w:sz w:val="16"/>
          <w:szCs w:val="16"/>
        </w:rPr>
        <w:t>p. 315.</w:t>
      </w:r>
    </w:p>
  </w:footnote>
  <w:footnote w:id="23">
    <w:p w14:paraId="6882FA4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Uma das melhores crônicas do Caso Dreyfus é o livro de, Pierre Birnbaum. </w:t>
      </w:r>
      <w:r w:rsidRPr="00845302">
        <w:rPr>
          <w:rFonts w:ascii="Times New Roman" w:hAnsi="Times New Roman"/>
          <w:i/>
          <w:sz w:val="16"/>
          <w:szCs w:val="16"/>
        </w:rPr>
        <w:t>L’Affaire Dreyfus: La République en Péril</w:t>
      </w:r>
      <w:r w:rsidRPr="00845302">
        <w:rPr>
          <w:rFonts w:ascii="Times New Roman" w:hAnsi="Times New Roman"/>
          <w:sz w:val="16"/>
          <w:szCs w:val="16"/>
        </w:rPr>
        <w:t xml:space="preserve">. Paris: Gallimard (Découvertes), 1994. </w:t>
      </w:r>
    </w:p>
  </w:footnote>
  <w:footnote w:id="24">
    <w:p w14:paraId="03C94BEB"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uma síntese histórica da Terceira República: M. Jacques Chastenet e Edouard Dolleans </w:t>
      </w:r>
      <w:r w:rsidRPr="00845302">
        <w:rPr>
          <w:rFonts w:ascii="Times New Roman" w:hAnsi="Times New Roman"/>
          <w:i/>
          <w:sz w:val="16"/>
          <w:szCs w:val="16"/>
        </w:rPr>
        <w:t xml:space="preserve">L´histoire de la Troisième Republique </w:t>
      </w:r>
      <w:r w:rsidRPr="00845302">
        <w:rPr>
          <w:rFonts w:ascii="Times New Roman" w:hAnsi="Times New Roman"/>
          <w:sz w:val="16"/>
          <w:szCs w:val="16"/>
        </w:rPr>
        <w:t xml:space="preserve">Revue d´Histoire économique et sociale vol.30, n.4, (1952) p. 399-409 </w:t>
      </w:r>
      <w:hyperlink r:id="rId2" w:history="1">
        <w:r w:rsidRPr="00845302">
          <w:rPr>
            <w:rStyle w:val="Hyperlink"/>
            <w:rFonts w:ascii="Times New Roman" w:hAnsi="Times New Roman"/>
            <w:sz w:val="16"/>
            <w:szCs w:val="16"/>
          </w:rPr>
          <w:t>http://www.jstor.org/stable/24068767</w:t>
        </w:r>
      </w:hyperlink>
      <w:r w:rsidRPr="00845302">
        <w:rPr>
          <w:rFonts w:ascii="Times New Roman" w:hAnsi="Times New Roman"/>
          <w:sz w:val="16"/>
          <w:szCs w:val="16"/>
        </w:rPr>
        <w:t xml:space="preserve"> acesso em 25 de setembro de 2017 </w:t>
      </w:r>
    </w:p>
  </w:footnote>
  <w:footnote w:id="25">
    <w:p w14:paraId="5C72381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Celso Lafer “O Processo do Capitão Dreyfus: de Rui Barbosa: o Texto, seus contextos e desdobramentos”</w:t>
      </w:r>
      <w:r w:rsidRPr="00845302">
        <w:rPr>
          <w:rFonts w:ascii="Times New Roman" w:hAnsi="Times New Roman"/>
          <w:i/>
          <w:sz w:val="16"/>
          <w:szCs w:val="16"/>
        </w:rPr>
        <w:t xml:space="preserve">. </w:t>
      </w:r>
      <w:r w:rsidRPr="00845302">
        <w:rPr>
          <w:rFonts w:ascii="Times New Roman" w:hAnsi="Times New Roman"/>
          <w:sz w:val="16"/>
          <w:szCs w:val="16"/>
        </w:rPr>
        <w:t xml:space="preserve">In: </w:t>
      </w:r>
      <w:r w:rsidRPr="00845302">
        <w:rPr>
          <w:rFonts w:ascii="Times New Roman" w:hAnsi="Times New Roman"/>
          <w:i/>
          <w:sz w:val="16"/>
          <w:szCs w:val="16"/>
        </w:rPr>
        <w:t xml:space="preserve">Direitos Humanos: Um percurso no Direito no Século XXI (volume 1). </w:t>
      </w:r>
      <w:r w:rsidRPr="00845302">
        <w:rPr>
          <w:rFonts w:ascii="Times New Roman" w:hAnsi="Times New Roman"/>
          <w:sz w:val="16"/>
          <w:szCs w:val="16"/>
        </w:rPr>
        <w:t>São Paulo: Atlas, 2015 p. 157-77.</w:t>
      </w:r>
    </w:p>
  </w:footnote>
  <w:footnote w:id="26">
    <w:p w14:paraId="24DE62E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Stefan-Ludwig Hoffmann. “Introduction: Genealogies of Human Rights”. In: Stefan-Ludwig Hoffmann (org.).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Nova York: Cambridge University Press, 2011 p. 10.</w:t>
      </w:r>
    </w:p>
  </w:footnote>
  <w:footnote w:id="27">
    <w:p w14:paraId="0286347C" w14:textId="6DA0868E"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w:t>
      </w:r>
      <w:r w:rsidRPr="00845302">
        <w:rPr>
          <w:rFonts w:ascii="Times New Roman" w:hAnsi="Times New Roman"/>
          <w:i/>
          <w:sz w:val="16"/>
          <w:szCs w:val="16"/>
        </w:rPr>
        <w:t xml:space="preserve">Origens do Totalitarismo: Antissemitismo, Imperialismo, Totalitarismo. </w:t>
      </w:r>
      <w:r w:rsidRPr="00845302">
        <w:rPr>
          <w:rFonts w:ascii="Times New Roman" w:hAnsi="Times New Roman"/>
          <w:sz w:val="16"/>
          <w:szCs w:val="16"/>
        </w:rPr>
        <w:t>Tradução Roberto Raposo. São Paulo: Companhia das Letras, [1949]1989 p.198</w:t>
      </w:r>
    </w:p>
  </w:footnote>
  <w:footnote w:id="28">
    <w:p w14:paraId="71981B5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Cronologia baseada em: Louis Begley </w:t>
      </w:r>
      <w:r w:rsidRPr="00845302">
        <w:rPr>
          <w:rFonts w:ascii="Times New Roman" w:hAnsi="Times New Roman"/>
          <w:i/>
          <w:sz w:val="16"/>
          <w:szCs w:val="16"/>
        </w:rPr>
        <w:t>O Caso Dreyfus: Ilha do Diabo, Guantánamo e o pesadelo da história</w:t>
      </w:r>
      <w:r w:rsidRPr="00845302">
        <w:rPr>
          <w:rFonts w:ascii="Times New Roman" w:hAnsi="Times New Roman"/>
          <w:sz w:val="16"/>
          <w:szCs w:val="16"/>
        </w:rPr>
        <w:t>. São Paulo: Companhia das Letras, 2010. pp. 211-21.</w:t>
      </w:r>
    </w:p>
  </w:footnote>
  <w:footnote w:id="29">
    <w:p w14:paraId="735E9FF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Borderô é um extrato detalhado da movimentação bancária.</w:t>
      </w:r>
    </w:p>
  </w:footnote>
  <w:footnote w:id="30">
    <w:p w14:paraId="102BCE21"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Atual capital da Guiana Francesa, localizada no norte da América do Sul. A “Ilha do Diabo” era um local onde ficavam isolados os leprosos.</w:t>
      </w:r>
    </w:p>
  </w:footnote>
  <w:footnote w:id="31">
    <w:p w14:paraId="7B8F842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Jean Pierre Rioux </w:t>
      </w:r>
      <w:r w:rsidRPr="00845302">
        <w:rPr>
          <w:rFonts w:ascii="Times New Roman" w:hAnsi="Times New Roman"/>
          <w:i/>
          <w:sz w:val="16"/>
          <w:szCs w:val="16"/>
        </w:rPr>
        <w:t xml:space="preserve">1898-1899: Les premiers pas de la Ligue </w:t>
      </w:r>
      <w:r w:rsidRPr="00845302">
        <w:rPr>
          <w:rFonts w:ascii="Times New Roman" w:hAnsi="Times New Roman"/>
          <w:sz w:val="16"/>
          <w:szCs w:val="16"/>
        </w:rPr>
        <w:t xml:space="preserve">Supplément nº 128. D’Hommes et Libertés </w:t>
      </w:r>
      <w:r w:rsidRPr="00845302">
        <w:rPr>
          <w:rFonts w:ascii="Times New Roman" w:hAnsi="Times New Roman"/>
          <w:i/>
          <w:sz w:val="16"/>
          <w:szCs w:val="16"/>
        </w:rPr>
        <w:t>Revue de la Ligue de Droit de L´Homme</w:t>
      </w:r>
      <w:r w:rsidRPr="00845302">
        <w:rPr>
          <w:rFonts w:ascii="Times New Roman" w:hAnsi="Times New Roman"/>
          <w:sz w:val="16"/>
          <w:szCs w:val="16"/>
        </w:rPr>
        <w:t xml:space="preserve"> (2004).</w:t>
      </w:r>
    </w:p>
  </w:footnote>
  <w:footnote w:id="32">
    <w:p w14:paraId="4BCDC6E6" w14:textId="4AFCF032"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Eric J.Hobsbawn </w:t>
      </w:r>
      <w:r w:rsidRPr="00845302">
        <w:rPr>
          <w:rFonts w:ascii="Times New Roman" w:hAnsi="Times New Roman"/>
          <w:i/>
          <w:sz w:val="16"/>
          <w:szCs w:val="16"/>
        </w:rPr>
        <w:t>A Era dos Impérios: 1875-1914</w:t>
      </w:r>
      <w:r w:rsidRPr="00845302">
        <w:rPr>
          <w:rFonts w:ascii="Times New Roman" w:hAnsi="Times New Roman"/>
          <w:sz w:val="16"/>
          <w:szCs w:val="16"/>
        </w:rPr>
        <w:t>. São Paulo: Editora Paz e Terra, 2016 {1988}, p. 409.</w:t>
      </w:r>
    </w:p>
  </w:footnote>
  <w:footnote w:id="33">
    <w:p w14:paraId="305453C7" w14:textId="21625429"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rFonts w:ascii="Times New Roman" w:hAnsi="Times New Roman"/>
          <w:sz w:val="16"/>
          <w:szCs w:val="16"/>
        </w:rPr>
        <w:t xml:space="preserve"> Ferdinand Brunetière. “Após o Processo” em Émile Durkheim”. In: </w:t>
      </w:r>
      <w:r w:rsidRPr="00845302">
        <w:rPr>
          <w:rFonts w:ascii="Times New Roman" w:hAnsi="Times New Roman"/>
          <w:i/>
          <w:sz w:val="16"/>
          <w:szCs w:val="16"/>
        </w:rPr>
        <w:t xml:space="preserve">O individualismo e os intelectuais </w:t>
      </w:r>
      <w:r w:rsidRPr="00845302">
        <w:rPr>
          <w:rFonts w:ascii="Times New Roman" w:hAnsi="Times New Roman"/>
          <w:sz w:val="16"/>
          <w:szCs w:val="16"/>
        </w:rPr>
        <w:t>(edição bilíngue e crítica). Organização e edição, Marcia Consolim, Márcio de Oliveira, Raquel Weiss. São Paulo: EDUSP, 2016.</w:t>
      </w:r>
    </w:p>
  </w:footnote>
  <w:footnote w:id="34">
    <w:p w14:paraId="2E1EB430"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Pierre Birnbaum (1994)</w:t>
      </w:r>
      <w:r w:rsidRPr="00845302">
        <w:rPr>
          <w:rFonts w:ascii="Times New Roman" w:hAnsi="Times New Roman"/>
          <w:i/>
          <w:sz w:val="16"/>
          <w:szCs w:val="16"/>
        </w:rPr>
        <w:t xml:space="preserve">“L’Affaire Dreyfus”. </w:t>
      </w:r>
      <w:r w:rsidRPr="00845302">
        <w:rPr>
          <w:rFonts w:ascii="Times New Roman" w:hAnsi="Times New Roman"/>
          <w:sz w:val="16"/>
          <w:szCs w:val="16"/>
        </w:rPr>
        <w:t>La République em Péril Paris: Gallimard (Découvertes), 1994, p. 16.</w:t>
      </w:r>
    </w:p>
  </w:footnote>
  <w:footnote w:id="35">
    <w:p w14:paraId="6AF3666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Ibid, p. 24-5.</w:t>
      </w:r>
    </w:p>
    <w:p w14:paraId="16AD97BA" w14:textId="77777777" w:rsidR="009D7E8B" w:rsidRPr="00845302" w:rsidRDefault="009D7E8B" w:rsidP="003D7DAB">
      <w:pPr>
        <w:pStyle w:val="Textodenotaderodap"/>
        <w:contextualSpacing/>
        <w:rPr>
          <w:rFonts w:ascii="Times New Roman" w:hAnsi="Times New Roman"/>
          <w:sz w:val="16"/>
          <w:szCs w:val="16"/>
        </w:rPr>
      </w:pPr>
    </w:p>
  </w:footnote>
  <w:footnote w:id="36">
    <w:p w14:paraId="1CA28786"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Paul Gordon Lauren. </w:t>
      </w:r>
      <w:r w:rsidRPr="00845302">
        <w:rPr>
          <w:rFonts w:ascii="Times New Roman" w:hAnsi="Times New Roman"/>
          <w:i/>
          <w:sz w:val="16"/>
          <w:szCs w:val="16"/>
          <w:lang w:val="en-US"/>
        </w:rPr>
        <w:t xml:space="preserve">The Evolution of International Human Rights: Visions Seen. </w:t>
      </w:r>
      <w:r w:rsidRPr="00845302">
        <w:rPr>
          <w:rFonts w:ascii="Times New Roman" w:hAnsi="Times New Roman"/>
          <w:sz w:val="16"/>
          <w:szCs w:val="16"/>
          <w:lang w:val="en-US"/>
        </w:rPr>
        <w:t>Filadélfia: University of Pennsylvania Press, 2011, p. 81.</w:t>
      </w:r>
    </w:p>
  </w:footnote>
  <w:footnote w:id="37">
    <w:p w14:paraId="2235E810"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Supplément n. 128 D’Hommes et Libertés, </w:t>
      </w:r>
      <w:r w:rsidRPr="00845302">
        <w:rPr>
          <w:rFonts w:ascii="Times New Roman" w:hAnsi="Times New Roman"/>
          <w:i/>
          <w:sz w:val="16"/>
          <w:szCs w:val="16"/>
        </w:rPr>
        <w:t>Revue de la Ligue de Droit de L’Homme</w:t>
      </w:r>
      <w:r w:rsidRPr="00845302">
        <w:rPr>
          <w:rFonts w:ascii="Times New Roman" w:hAnsi="Times New Roman"/>
          <w:sz w:val="16"/>
          <w:szCs w:val="16"/>
        </w:rPr>
        <w:t>, 2004, p. 12.</w:t>
      </w:r>
    </w:p>
    <w:p w14:paraId="09147320" w14:textId="77777777" w:rsidR="009D7E8B" w:rsidRPr="00845302" w:rsidRDefault="009D7E8B" w:rsidP="003D7DAB">
      <w:pPr>
        <w:pStyle w:val="Textodenotaderodap"/>
        <w:contextualSpacing/>
        <w:rPr>
          <w:rFonts w:ascii="Times New Roman" w:hAnsi="Times New Roman"/>
          <w:sz w:val="16"/>
          <w:szCs w:val="16"/>
        </w:rPr>
      </w:pPr>
    </w:p>
  </w:footnote>
  <w:footnote w:id="38">
    <w:p w14:paraId="709146C6"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Bernard-Henry Lévy. </w:t>
      </w:r>
      <w:r w:rsidRPr="00845302">
        <w:rPr>
          <w:rFonts w:ascii="Times New Roman" w:hAnsi="Times New Roman"/>
          <w:i/>
          <w:sz w:val="16"/>
          <w:szCs w:val="16"/>
        </w:rPr>
        <w:t xml:space="preserve">Aventuras da Liberdade </w:t>
      </w:r>
      <w:r w:rsidRPr="00845302">
        <w:rPr>
          <w:rFonts w:ascii="Times New Roman" w:hAnsi="Times New Roman"/>
          <w:sz w:val="16"/>
          <w:szCs w:val="16"/>
        </w:rPr>
        <w:t xml:space="preserve">uma história subjetiva dos intelectuais. Tradução de Paulo Neves. São Paulo: Companhia das Letras [1991] 1992. p. 61. Para uma análise mais detalhada dos intelectuais no caso Dreyfus: Vincent Duclert </w:t>
      </w:r>
      <w:r w:rsidRPr="00845302">
        <w:rPr>
          <w:rFonts w:ascii="Times New Roman" w:hAnsi="Times New Roman"/>
          <w:i/>
          <w:sz w:val="16"/>
          <w:szCs w:val="16"/>
        </w:rPr>
        <w:t xml:space="preserve">De l´engagement des savants à l´intellectuel critique: Une histoire intellectuelle de l´affaire Dreyfus </w:t>
      </w:r>
      <w:r w:rsidRPr="00845302">
        <w:rPr>
          <w:rFonts w:ascii="Times New Roman" w:hAnsi="Times New Roman"/>
          <w:sz w:val="16"/>
          <w:szCs w:val="16"/>
        </w:rPr>
        <w:t xml:space="preserve">Réflexions Historiques vol.24, n. 1 p 25-62 </w:t>
      </w:r>
      <w:hyperlink r:id="rId3" w:history="1">
        <w:r w:rsidRPr="00845302">
          <w:rPr>
            <w:rStyle w:val="Hyperlink"/>
            <w:rFonts w:ascii="Times New Roman" w:hAnsi="Times New Roman"/>
            <w:sz w:val="16"/>
            <w:szCs w:val="16"/>
          </w:rPr>
          <w:t>http://www.jstor.org/stable/412299106</w:t>
        </w:r>
      </w:hyperlink>
      <w:r w:rsidRPr="00845302">
        <w:rPr>
          <w:rFonts w:ascii="Times New Roman" w:hAnsi="Times New Roman"/>
          <w:sz w:val="16"/>
          <w:szCs w:val="16"/>
        </w:rPr>
        <w:t xml:space="preserve"> acesso em 25 de setembro de 2017</w:t>
      </w:r>
      <w:r w:rsidRPr="00845302">
        <w:rPr>
          <w:rFonts w:ascii="Times New Roman" w:hAnsi="Times New Roman"/>
          <w:i/>
          <w:sz w:val="16"/>
          <w:szCs w:val="16"/>
        </w:rPr>
        <w:t xml:space="preserve"> </w:t>
      </w:r>
    </w:p>
  </w:footnote>
  <w:footnote w:id="39">
    <w:p w14:paraId="105503F5"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Bernard-Henry Lévy, </w:t>
      </w:r>
      <w:r w:rsidRPr="00845302">
        <w:rPr>
          <w:rFonts w:ascii="Times New Roman" w:hAnsi="Times New Roman"/>
          <w:i/>
          <w:sz w:val="16"/>
          <w:szCs w:val="16"/>
        </w:rPr>
        <w:t xml:space="preserve">op. cit </w:t>
      </w:r>
      <w:r w:rsidRPr="00845302">
        <w:rPr>
          <w:rFonts w:ascii="Times New Roman" w:hAnsi="Times New Roman"/>
          <w:sz w:val="16"/>
          <w:szCs w:val="16"/>
        </w:rPr>
        <w:t>p. 62.</w:t>
      </w:r>
    </w:p>
  </w:footnote>
  <w:footnote w:id="40">
    <w:p w14:paraId="28858261"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Informação obtida em, Jean Claude Filoux </w:t>
      </w:r>
      <w:r w:rsidRPr="00845302">
        <w:rPr>
          <w:rFonts w:ascii="Times New Roman" w:hAnsi="Times New Roman"/>
          <w:i/>
          <w:sz w:val="16"/>
          <w:szCs w:val="16"/>
        </w:rPr>
        <w:t xml:space="preserve">Emile Durkheim (1858-1917) </w:t>
      </w:r>
      <w:r w:rsidRPr="00845302">
        <w:rPr>
          <w:rFonts w:ascii="Times New Roman" w:hAnsi="Times New Roman"/>
          <w:sz w:val="16"/>
          <w:szCs w:val="16"/>
        </w:rPr>
        <w:t xml:space="preserve">Supplément n. 128 D’Hommes et Libertés, </w:t>
      </w:r>
      <w:r w:rsidRPr="00845302">
        <w:rPr>
          <w:rFonts w:ascii="Times New Roman" w:hAnsi="Times New Roman"/>
          <w:i/>
          <w:sz w:val="16"/>
          <w:szCs w:val="16"/>
        </w:rPr>
        <w:t>Revue de la Ligue de Droit de L’Homme</w:t>
      </w:r>
      <w:r w:rsidRPr="00845302">
        <w:rPr>
          <w:rFonts w:ascii="Times New Roman" w:hAnsi="Times New Roman"/>
          <w:sz w:val="16"/>
          <w:szCs w:val="16"/>
        </w:rPr>
        <w:t>. (2004) p. 25-6.</w:t>
      </w:r>
    </w:p>
  </w:footnote>
  <w:footnote w:id="41">
    <w:p w14:paraId="24E79BCE"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Émile Durkheim. </w:t>
      </w:r>
      <w:r w:rsidRPr="00845302">
        <w:rPr>
          <w:rFonts w:ascii="Times New Roman" w:hAnsi="Times New Roman"/>
          <w:i/>
          <w:sz w:val="16"/>
          <w:szCs w:val="16"/>
        </w:rPr>
        <w:t xml:space="preserve">O individualismo e os intelectuais </w:t>
      </w:r>
      <w:r w:rsidRPr="00845302">
        <w:rPr>
          <w:rFonts w:ascii="Times New Roman" w:hAnsi="Times New Roman"/>
          <w:sz w:val="16"/>
          <w:szCs w:val="16"/>
        </w:rPr>
        <w:t>(Edição bilíngue e crítica) Organização e Edição Márcia Consolim, Márcio de Oliveira e Raquel Weiss São Paulo: EDUSP, 2016. p. 45.</w:t>
      </w:r>
    </w:p>
  </w:footnote>
  <w:footnote w:id="42">
    <w:p w14:paraId="6450FC2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Émile Durkheim, </w:t>
      </w:r>
      <w:r w:rsidRPr="00845302">
        <w:rPr>
          <w:rFonts w:ascii="Times New Roman" w:hAnsi="Times New Roman"/>
          <w:i/>
          <w:sz w:val="16"/>
          <w:szCs w:val="16"/>
        </w:rPr>
        <w:t xml:space="preserve">op. cit. </w:t>
      </w:r>
      <w:r w:rsidRPr="00845302">
        <w:rPr>
          <w:rFonts w:ascii="Times New Roman" w:hAnsi="Times New Roman"/>
          <w:sz w:val="16"/>
          <w:szCs w:val="16"/>
        </w:rPr>
        <w:t>p. 42-3.</w:t>
      </w:r>
    </w:p>
  </w:footnote>
  <w:footnote w:id="43">
    <w:p w14:paraId="11E59D70"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Celso Lafer. ‘Norberto Bobbio: A Era dos Direitos”,</w:t>
      </w:r>
      <w:r w:rsidRPr="00845302">
        <w:rPr>
          <w:rFonts w:ascii="Times New Roman" w:hAnsi="Times New Roman"/>
          <w:i/>
          <w:sz w:val="16"/>
          <w:szCs w:val="16"/>
        </w:rPr>
        <w:t xml:space="preserve"> </w:t>
      </w:r>
      <w:r w:rsidRPr="00845302">
        <w:rPr>
          <w:rFonts w:ascii="Times New Roman" w:hAnsi="Times New Roman"/>
          <w:sz w:val="16"/>
          <w:szCs w:val="16"/>
        </w:rPr>
        <w:t xml:space="preserve">uma apresentação em </w:t>
      </w:r>
      <w:r w:rsidRPr="00845302">
        <w:rPr>
          <w:rFonts w:ascii="Times New Roman" w:hAnsi="Times New Roman"/>
          <w:i/>
          <w:sz w:val="16"/>
          <w:szCs w:val="16"/>
        </w:rPr>
        <w:t xml:space="preserve">A Internacionalização dos Direitos Humanos </w:t>
      </w:r>
      <w:r w:rsidRPr="00845302">
        <w:rPr>
          <w:rFonts w:ascii="Times New Roman" w:hAnsi="Times New Roman"/>
          <w:sz w:val="16"/>
          <w:szCs w:val="16"/>
        </w:rPr>
        <w:t xml:space="preserve">Constituição, Racismo e Relações Internacionais Barueri: Editora Manole, 2005, p. 130. </w:t>
      </w:r>
    </w:p>
  </w:footnote>
  <w:footnote w:id="44">
    <w:p w14:paraId="30D5998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bookmarkStart w:id="1" w:name="_Hlk489184081"/>
      <w:r w:rsidRPr="00845302">
        <w:rPr>
          <w:rFonts w:ascii="Times New Roman" w:hAnsi="Times New Roman"/>
          <w:sz w:val="16"/>
          <w:szCs w:val="16"/>
        </w:rPr>
        <w:t xml:space="preserve">Miguel Reale. </w:t>
      </w:r>
      <w:r w:rsidRPr="00845302">
        <w:rPr>
          <w:rFonts w:ascii="Times New Roman" w:hAnsi="Times New Roman"/>
          <w:i/>
          <w:sz w:val="16"/>
          <w:szCs w:val="16"/>
        </w:rPr>
        <w:t xml:space="preserve">Experiência e Cultura. </w:t>
      </w:r>
      <w:r w:rsidRPr="00845302">
        <w:rPr>
          <w:rFonts w:ascii="Times New Roman" w:hAnsi="Times New Roman"/>
          <w:sz w:val="16"/>
          <w:szCs w:val="16"/>
        </w:rPr>
        <w:t>3ª edição São Paulo: Saraiva, 1983, p. 196</w:t>
      </w:r>
      <w:bookmarkEnd w:id="1"/>
      <w:r w:rsidRPr="00845302">
        <w:rPr>
          <w:rFonts w:ascii="Times New Roman" w:hAnsi="Times New Roman"/>
          <w:sz w:val="16"/>
          <w:szCs w:val="16"/>
        </w:rPr>
        <w:t>.</w:t>
      </w:r>
    </w:p>
  </w:footnote>
  <w:footnote w:id="45">
    <w:p w14:paraId="0D704AC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Ricoeur. </w:t>
      </w:r>
      <w:r w:rsidRPr="00845302">
        <w:rPr>
          <w:rFonts w:ascii="Times New Roman" w:hAnsi="Times New Roman"/>
          <w:i/>
          <w:sz w:val="16"/>
          <w:szCs w:val="16"/>
        </w:rPr>
        <w:t xml:space="preserve">Parcours de la Recoinaissance: Trois études. </w:t>
      </w:r>
      <w:r w:rsidRPr="00845302">
        <w:rPr>
          <w:rFonts w:ascii="Times New Roman" w:hAnsi="Times New Roman"/>
          <w:sz w:val="16"/>
          <w:szCs w:val="16"/>
        </w:rPr>
        <w:t>Paris: Gallimard Folio Essais nº 459, 2007,</w:t>
      </w:r>
      <w:r w:rsidRPr="00845302">
        <w:rPr>
          <w:rFonts w:ascii="Times New Roman" w:hAnsi="Times New Roman"/>
          <w:i/>
          <w:sz w:val="16"/>
          <w:szCs w:val="16"/>
        </w:rPr>
        <w:t xml:space="preserve"> </w:t>
      </w:r>
      <w:r w:rsidRPr="00845302">
        <w:rPr>
          <w:rFonts w:ascii="Times New Roman" w:hAnsi="Times New Roman"/>
          <w:sz w:val="16"/>
          <w:szCs w:val="16"/>
        </w:rPr>
        <w:t>p. 310-1.</w:t>
      </w:r>
    </w:p>
  </w:footnote>
  <w:footnote w:id="46">
    <w:p w14:paraId="27F09F1D"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Jean-Marc Trigeaud “La personne”. In: </w:t>
      </w:r>
      <w:r w:rsidRPr="00845302">
        <w:rPr>
          <w:rFonts w:ascii="Times New Roman" w:hAnsi="Times New Roman"/>
          <w:i/>
          <w:sz w:val="16"/>
          <w:szCs w:val="16"/>
          <w:lang w:val="en-US"/>
        </w:rPr>
        <w:t>Le Sujet de Droit. Archives de Philosophie du Droit Tome 34</w:t>
      </w:r>
      <w:r w:rsidRPr="00845302">
        <w:rPr>
          <w:rFonts w:ascii="Times New Roman" w:hAnsi="Times New Roman"/>
          <w:sz w:val="16"/>
          <w:szCs w:val="16"/>
          <w:lang w:val="en-US"/>
        </w:rPr>
        <w:t>. Paris: Editions Sirey (1990) p. 103-21, p. 120.</w:t>
      </w:r>
    </w:p>
  </w:footnote>
  <w:footnote w:id="47">
    <w:p w14:paraId="5514DC92"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José Reinaldo de Lima Lopes </w:t>
      </w:r>
      <w:r w:rsidRPr="00845302">
        <w:rPr>
          <w:rFonts w:ascii="Times New Roman" w:hAnsi="Times New Roman"/>
          <w:i/>
          <w:sz w:val="16"/>
          <w:szCs w:val="16"/>
        </w:rPr>
        <w:t xml:space="preserve">As Palavras e a Lei </w:t>
      </w:r>
      <w:r w:rsidRPr="00845302">
        <w:rPr>
          <w:rFonts w:ascii="Times New Roman" w:hAnsi="Times New Roman"/>
          <w:sz w:val="16"/>
          <w:szCs w:val="16"/>
        </w:rPr>
        <w:t xml:space="preserve">Direito, </w:t>
      </w:r>
      <w:r w:rsidRPr="00845302">
        <w:rPr>
          <w:rFonts w:ascii="Times New Roman" w:hAnsi="Times New Roman"/>
          <w:i/>
          <w:sz w:val="16"/>
          <w:szCs w:val="16"/>
        </w:rPr>
        <w:t>Ordem e Justiça na História do Pensamento Jurídico Moderno</w:t>
      </w:r>
      <w:r w:rsidRPr="00845302">
        <w:rPr>
          <w:rFonts w:ascii="Times New Roman" w:hAnsi="Times New Roman"/>
          <w:sz w:val="16"/>
          <w:szCs w:val="16"/>
        </w:rPr>
        <w:t>. São Paulo: Editora 34/EDESP, 2004 (Coleção Direito/GV) p</w:t>
      </w:r>
      <w:r w:rsidRPr="00845302">
        <w:rPr>
          <w:rFonts w:ascii="Times New Roman" w:hAnsi="Times New Roman"/>
          <w:sz w:val="16"/>
          <w:szCs w:val="16"/>
          <w:lang w:val="en-US"/>
        </w:rPr>
        <w:t>. 159.</w:t>
      </w:r>
    </w:p>
  </w:footnote>
  <w:footnote w:id="48">
    <w:p w14:paraId="1C5EC05B"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Jean Marie Carbasse. </w:t>
      </w:r>
      <w:r w:rsidRPr="00845302">
        <w:rPr>
          <w:rFonts w:ascii="Times New Roman" w:hAnsi="Times New Roman"/>
          <w:i/>
          <w:sz w:val="16"/>
          <w:szCs w:val="16"/>
          <w:lang w:val="en-US"/>
        </w:rPr>
        <w:t xml:space="preserve">Histoire du Droit. </w:t>
      </w:r>
      <w:r w:rsidRPr="00845302">
        <w:rPr>
          <w:rFonts w:ascii="Times New Roman" w:hAnsi="Times New Roman"/>
          <w:sz w:val="16"/>
          <w:szCs w:val="16"/>
          <w:lang w:val="en-US"/>
        </w:rPr>
        <w:t>Paris: PUF, 2010, Coleções “Que sais Je?”,</w:t>
      </w:r>
      <w:r w:rsidRPr="00845302">
        <w:rPr>
          <w:rFonts w:ascii="Times New Roman" w:hAnsi="Times New Roman"/>
          <w:i/>
          <w:sz w:val="16"/>
          <w:szCs w:val="16"/>
          <w:lang w:val="en-US"/>
        </w:rPr>
        <w:t xml:space="preserve"> </w:t>
      </w:r>
      <w:r w:rsidRPr="00845302">
        <w:rPr>
          <w:rFonts w:ascii="Times New Roman" w:hAnsi="Times New Roman"/>
          <w:sz w:val="16"/>
          <w:szCs w:val="16"/>
          <w:lang w:val="en-US"/>
        </w:rPr>
        <w:t>p. 110.</w:t>
      </w:r>
    </w:p>
  </w:footnote>
  <w:footnote w:id="49">
    <w:p w14:paraId="7A062B70"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Alain Supiot. </w:t>
      </w:r>
      <w:r w:rsidRPr="00845302">
        <w:rPr>
          <w:rFonts w:ascii="Times New Roman" w:hAnsi="Times New Roman"/>
          <w:i/>
          <w:sz w:val="16"/>
          <w:szCs w:val="16"/>
        </w:rPr>
        <w:t xml:space="preserve">Homo Juridicus: Ensaio sobre a função antropológica do Direito. </w:t>
      </w:r>
      <w:r w:rsidRPr="00845302">
        <w:rPr>
          <w:rFonts w:ascii="Times New Roman" w:hAnsi="Times New Roman"/>
          <w:sz w:val="16"/>
          <w:szCs w:val="16"/>
        </w:rPr>
        <w:t>Tradução Maria Ermantina de Almeida Prado Galvão São Paulo: WMF Martins Fontes [2005] 2007, p. 15.</w:t>
      </w:r>
    </w:p>
  </w:footnote>
  <w:footnote w:id="50">
    <w:p w14:paraId="59BD535C"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Alain Supiot </w:t>
      </w:r>
      <w:r w:rsidRPr="00845302">
        <w:rPr>
          <w:rFonts w:ascii="Times New Roman" w:hAnsi="Times New Roman"/>
          <w:i/>
          <w:sz w:val="16"/>
          <w:szCs w:val="16"/>
        </w:rPr>
        <w:t xml:space="preserve">op.cit </w:t>
      </w:r>
      <w:r w:rsidRPr="00845302">
        <w:rPr>
          <w:rFonts w:ascii="Times New Roman" w:hAnsi="Times New Roman"/>
          <w:sz w:val="16"/>
          <w:szCs w:val="16"/>
        </w:rPr>
        <w:t>p. 13.</w:t>
      </w:r>
    </w:p>
  </w:footnote>
  <w:footnote w:id="51">
    <w:p w14:paraId="4F33CB0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Ricoeur </w:t>
      </w:r>
      <w:r w:rsidRPr="00845302">
        <w:rPr>
          <w:rFonts w:ascii="Times New Roman" w:hAnsi="Times New Roman"/>
          <w:i/>
          <w:sz w:val="16"/>
          <w:szCs w:val="16"/>
        </w:rPr>
        <w:t xml:space="preserve">op.cit. </w:t>
      </w:r>
      <w:r w:rsidRPr="00845302">
        <w:rPr>
          <w:rFonts w:ascii="Times New Roman" w:hAnsi="Times New Roman"/>
          <w:sz w:val="16"/>
          <w:szCs w:val="16"/>
        </w:rPr>
        <w:t>p. 310-1.</w:t>
      </w:r>
    </w:p>
  </w:footnote>
  <w:footnote w:id="52">
    <w:p w14:paraId="10FFFCB9"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Robert M. Cover </w:t>
      </w:r>
      <w:r w:rsidRPr="00845302">
        <w:rPr>
          <w:rFonts w:ascii="Times New Roman" w:hAnsi="Times New Roman"/>
          <w:i/>
          <w:sz w:val="16"/>
          <w:szCs w:val="16"/>
        </w:rPr>
        <w:t xml:space="preserve">op. cit. </w:t>
      </w:r>
      <w:r w:rsidRPr="00845302">
        <w:rPr>
          <w:rFonts w:ascii="Times New Roman" w:hAnsi="Times New Roman"/>
          <w:sz w:val="16"/>
          <w:szCs w:val="16"/>
        </w:rPr>
        <w:t>p. 54</w:t>
      </w:r>
    </w:p>
  </w:footnote>
  <w:footnote w:id="53">
    <w:p w14:paraId="478EF563" w14:textId="4EA45985"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Hans Joas </w:t>
      </w:r>
      <w:r w:rsidRPr="00845302">
        <w:rPr>
          <w:rFonts w:ascii="Times New Roman" w:hAnsi="Times New Roman"/>
          <w:i/>
          <w:sz w:val="16"/>
          <w:szCs w:val="16"/>
        </w:rPr>
        <w:t>op.cit,</w:t>
      </w:r>
      <w:r w:rsidRPr="00845302">
        <w:rPr>
          <w:rFonts w:ascii="Times New Roman" w:hAnsi="Times New Roman"/>
          <w:sz w:val="16"/>
          <w:szCs w:val="16"/>
        </w:rPr>
        <w:t xml:space="preserve"> p. 84</w:t>
      </w:r>
      <w:r>
        <w:rPr>
          <w:rFonts w:ascii="Times New Roman" w:hAnsi="Times New Roman"/>
          <w:sz w:val="16"/>
          <w:szCs w:val="16"/>
        </w:rPr>
        <w:t>.</w:t>
      </w:r>
    </w:p>
  </w:footnote>
  <w:footnote w:id="54">
    <w:p w14:paraId="5268A8F0" w14:textId="7302A5FE"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Jean-Claude Filloux </w:t>
      </w:r>
      <w:r w:rsidRPr="00845302">
        <w:rPr>
          <w:rFonts w:ascii="Times New Roman" w:hAnsi="Times New Roman"/>
          <w:i/>
          <w:sz w:val="16"/>
          <w:szCs w:val="16"/>
          <w:lang w:val="en-US"/>
        </w:rPr>
        <w:t xml:space="preserve">Personne et sacré chez Durkheim </w:t>
      </w:r>
      <w:r w:rsidRPr="00845302">
        <w:rPr>
          <w:rFonts w:ascii="Times New Roman" w:hAnsi="Times New Roman"/>
          <w:sz w:val="16"/>
          <w:szCs w:val="16"/>
          <w:lang w:val="en-US"/>
        </w:rPr>
        <w:t xml:space="preserve">Archives de sciences sociales des religions 35 année, n. 69, Relire Durkheim (Jan-Mar, 1990) p 41-53 </w:t>
      </w:r>
      <w:r>
        <w:rPr>
          <w:rFonts w:ascii="Times New Roman" w:hAnsi="Times New Roman"/>
          <w:sz w:val="16"/>
          <w:szCs w:val="16"/>
          <w:lang w:val="en-US"/>
        </w:rPr>
        <w:t>&lt;</w:t>
      </w:r>
      <w:hyperlink r:id="rId4" w:history="1">
        <w:r w:rsidRPr="00845302">
          <w:rPr>
            <w:rStyle w:val="Hyperlink"/>
            <w:rFonts w:ascii="Times New Roman" w:hAnsi="Times New Roman"/>
            <w:sz w:val="16"/>
            <w:szCs w:val="16"/>
            <w:lang w:val="en-US"/>
          </w:rPr>
          <w:t>http://www.jstor.org/stable/30114715</w:t>
        </w:r>
      </w:hyperlink>
      <w:r>
        <w:rPr>
          <w:rStyle w:val="Hyperlink"/>
          <w:rFonts w:ascii="Times New Roman" w:hAnsi="Times New Roman"/>
          <w:sz w:val="16"/>
          <w:szCs w:val="16"/>
          <w:lang w:val="en-US"/>
        </w:rPr>
        <w:t>&gt;</w:t>
      </w:r>
      <w:r w:rsidRPr="00845302">
        <w:rPr>
          <w:rFonts w:ascii="Times New Roman" w:hAnsi="Times New Roman"/>
          <w:sz w:val="16"/>
          <w:szCs w:val="16"/>
          <w:lang w:val="en-US"/>
        </w:rPr>
        <w:t xml:space="preserve"> </w:t>
      </w:r>
      <w:r>
        <w:rPr>
          <w:rFonts w:ascii="Times New Roman" w:hAnsi="Times New Roman"/>
          <w:sz w:val="16"/>
          <w:szCs w:val="16"/>
          <w:lang w:val="en-US"/>
        </w:rPr>
        <w:t>A</w:t>
      </w:r>
      <w:r w:rsidRPr="00845302">
        <w:rPr>
          <w:rFonts w:ascii="Times New Roman" w:hAnsi="Times New Roman"/>
          <w:sz w:val="16"/>
          <w:szCs w:val="16"/>
          <w:lang w:val="en-US"/>
        </w:rPr>
        <w:t>cesso em</w:t>
      </w:r>
      <w:r>
        <w:rPr>
          <w:rFonts w:ascii="Times New Roman" w:hAnsi="Times New Roman"/>
          <w:sz w:val="16"/>
          <w:szCs w:val="16"/>
          <w:lang w:val="en-US"/>
        </w:rPr>
        <w:t>:</w:t>
      </w:r>
      <w:r w:rsidRPr="00845302">
        <w:rPr>
          <w:rFonts w:ascii="Times New Roman" w:hAnsi="Times New Roman"/>
          <w:sz w:val="16"/>
          <w:szCs w:val="16"/>
          <w:lang w:val="en-US"/>
        </w:rPr>
        <w:t xml:space="preserve"> 25 </w:t>
      </w:r>
      <w:r>
        <w:rPr>
          <w:rFonts w:ascii="Times New Roman" w:hAnsi="Times New Roman"/>
          <w:sz w:val="16"/>
          <w:szCs w:val="16"/>
          <w:lang w:val="en-US"/>
        </w:rPr>
        <w:t xml:space="preserve">set. </w:t>
      </w:r>
      <w:r w:rsidRPr="00845302">
        <w:rPr>
          <w:rFonts w:ascii="Times New Roman" w:hAnsi="Times New Roman"/>
          <w:sz w:val="16"/>
          <w:szCs w:val="16"/>
          <w:lang w:val="en-US"/>
        </w:rPr>
        <w:t>2017</w:t>
      </w:r>
      <w:r>
        <w:rPr>
          <w:rFonts w:ascii="Times New Roman" w:hAnsi="Times New Roman"/>
          <w:sz w:val="16"/>
          <w:szCs w:val="16"/>
          <w:lang w:val="en-US"/>
        </w:rPr>
        <w:t>.</w:t>
      </w:r>
    </w:p>
  </w:footnote>
  <w:footnote w:id="55">
    <w:p w14:paraId="1425CE17"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w:t>
      </w:r>
      <w:r w:rsidRPr="00845302">
        <w:rPr>
          <w:rFonts w:ascii="Times New Roman" w:hAnsi="Times New Roman"/>
          <w:i/>
          <w:sz w:val="16"/>
          <w:szCs w:val="16"/>
        </w:rPr>
        <w:t xml:space="preserve">Homens em Tempos Sombrios. </w:t>
      </w:r>
      <w:r w:rsidRPr="00845302">
        <w:rPr>
          <w:rFonts w:ascii="Times New Roman" w:hAnsi="Times New Roman"/>
          <w:sz w:val="16"/>
          <w:szCs w:val="16"/>
        </w:rPr>
        <w:t>São Paulo: Companhia das Letras,[1968] 2008. Tradução Denise Bottmann, p. 31.</w:t>
      </w:r>
      <w:r w:rsidRPr="00845302">
        <w:rPr>
          <w:rFonts w:ascii="Times New Roman" w:hAnsi="Times New Roman"/>
          <w:i/>
          <w:sz w:val="16"/>
          <w:szCs w:val="16"/>
        </w:rPr>
        <w:t xml:space="preserve"> </w:t>
      </w:r>
    </w:p>
  </w:footnote>
  <w:footnote w:id="56">
    <w:p w14:paraId="0960061A"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Jean Claude Filloux, </w:t>
      </w:r>
      <w:r w:rsidRPr="00845302">
        <w:rPr>
          <w:rFonts w:ascii="Times New Roman" w:hAnsi="Times New Roman"/>
          <w:i/>
          <w:sz w:val="16"/>
          <w:szCs w:val="16"/>
          <w:lang w:val="en-US"/>
        </w:rPr>
        <w:t>op.cit.,</w:t>
      </w:r>
      <w:r w:rsidRPr="00845302">
        <w:rPr>
          <w:rFonts w:ascii="Times New Roman" w:hAnsi="Times New Roman"/>
          <w:sz w:val="16"/>
          <w:szCs w:val="16"/>
          <w:lang w:val="en-US"/>
        </w:rPr>
        <w:t xml:space="preserve"> p. 45.</w:t>
      </w:r>
    </w:p>
  </w:footnote>
  <w:footnote w:id="57">
    <w:p w14:paraId="43D6BA55"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Jean-Jacques Becker. </w:t>
      </w:r>
      <w:r w:rsidRPr="00845302">
        <w:rPr>
          <w:rFonts w:ascii="Times New Roman" w:hAnsi="Times New Roman"/>
          <w:i/>
          <w:sz w:val="16"/>
          <w:szCs w:val="16"/>
        </w:rPr>
        <w:t xml:space="preserve">O Tratado de Versalhes. </w:t>
      </w:r>
      <w:r w:rsidRPr="00845302">
        <w:rPr>
          <w:rFonts w:ascii="Times New Roman" w:hAnsi="Times New Roman"/>
          <w:sz w:val="16"/>
          <w:szCs w:val="16"/>
        </w:rPr>
        <w:t>Tradução de: Constancia Egrejas. São Paulo: [2002] 2011; Editora UNESP. p. 59.</w:t>
      </w:r>
    </w:p>
  </w:footnote>
  <w:footnote w:id="58">
    <w:p w14:paraId="1FB7332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Hans Joas, </w:t>
      </w:r>
      <w:r w:rsidRPr="00845302">
        <w:rPr>
          <w:rFonts w:ascii="Times New Roman" w:hAnsi="Times New Roman"/>
          <w:i/>
          <w:sz w:val="16"/>
          <w:szCs w:val="16"/>
        </w:rPr>
        <w:t xml:space="preserve">op.cit, </w:t>
      </w:r>
      <w:r w:rsidRPr="00845302">
        <w:rPr>
          <w:rFonts w:ascii="Times New Roman" w:hAnsi="Times New Roman"/>
          <w:sz w:val="16"/>
          <w:szCs w:val="16"/>
        </w:rPr>
        <w:t>p. 247.</w:t>
      </w:r>
    </w:p>
  </w:footnote>
  <w:footnote w:id="59">
    <w:p w14:paraId="52317A8A"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Hans Joas, </w:t>
      </w:r>
      <w:r w:rsidRPr="00845302">
        <w:rPr>
          <w:rFonts w:ascii="Times New Roman" w:hAnsi="Times New Roman"/>
          <w:i/>
          <w:sz w:val="16"/>
          <w:szCs w:val="16"/>
          <w:lang w:val="en-US"/>
        </w:rPr>
        <w:t>Value Generalization:</w:t>
      </w:r>
      <w:r w:rsidRPr="00845302">
        <w:rPr>
          <w:rFonts w:ascii="Times New Roman" w:hAnsi="Times New Roman"/>
          <w:sz w:val="16"/>
          <w:szCs w:val="16"/>
          <w:lang w:val="en-US"/>
        </w:rPr>
        <w:t xml:space="preserve"> </w:t>
      </w:r>
      <w:r w:rsidRPr="00845302">
        <w:rPr>
          <w:rFonts w:ascii="Times New Roman" w:hAnsi="Times New Roman"/>
          <w:i/>
          <w:sz w:val="16"/>
          <w:szCs w:val="16"/>
          <w:lang w:val="en-US"/>
        </w:rPr>
        <w:t>Limitis and Possibilities of a Communication About Values.</w:t>
      </w:r>
      <w:r w:rsidRPr="00845302">
        <w:rPr>
          <w:rFonts w:ascii="Times New Roman" w:hAnsi="Times New Roman"/>
          <w:sz w:val="16"/>
          <w:szCs w:val="16"/>
          <w:lang w:val="en-US"/>
        </w:rPr>
        <w:t xml:space="preserve"> </w:t>
      </w:r>
      <w:r w:rsidRPr="00845302">
        <w:rPr>
          <w:rFonts w:ascii="Times New Roman" w:hAnsi="Times New Roman"/>
          <w:i/>
          <w:sz w:val="16"/>
          <w:szCs w:val="16"/>
          <w:lang w:val="en-US"/>
        </w:rPr>
        <w:t xml:space="preserve">Zeitschirifit fur Wirtschafts-und Unternehmensethik, </w:t>
      </w:r>
      <w:r w:rsidRPr="00845302">
        <w:rPr>
          <w:rFonts w:ascii="Times New Roman" w:hAnsi="Times New Roman"/>
          <w:sz w:val="16"/>
          <w:szCs w:val="16"/>
          <w:lang w:val="en-US"/>
        </w:rPr>
        <w:t>v. 9, nº 1, p. 88-96; p. 89-90.</w:t>
      </w:r>
    </w:p>
  </w:footnote>
  <w:footnote w:id="60">
    <w:p w14:paraId="4F36DC2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Em português não existe tradução para “narrativity”, de forma que optei por deixar a citação no original.</w:t>
      </w:r>
    </w:p>
  </w:footnote>
  <w:footnote w:id="61">
    <w:p w14:paraId="06A85362"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Hans Joas, </w:t>
      </w:r>
      <w:r w:rsidRPr="00845302">
        <w:rPr>
          <w:rFonts w:ascii="Times New Roman" w:hAnsi="Times New Roman"/>
          <w:i/>
          <w:sz w:val="16"/>
          <w:szCs w:val="16"/>
        </w:rPr>
        <w:t>op. cit,</w:t>
      </w:r>
      <w:r w:rsidRPr="00845302">
        <w:rPr>
          <w:rFonts w:ascii="Times New Roman" w:hAnsi="Times New Roman"/>
          <w:sz w:val="16"/>
          <w:szCs w:val="16"/>
        </w:rPr>
        <w:t xml:space="preserve"> p. 91.</w:t>
      </w:r>
    </w:p>
  </w:footnote>
  <w:footnote w:id="62">
    <w:p w14:paraId="02938536" w14:textId="77777777" w:rsidR="009D7E8B" w:rsidRPr="00845302" w:rsidRDefault="009D7E8B" w:rsidP="003D7DAB">
      <w:pPr>
        <w:autoSpaceDE w:val="0"/>
        <w:autoSpaceDN w:val="0"/>
        <w:adjustRightInd w:val="0"/>
        <w:contextualSpacing/>
        <w:rPr>
          <w:rFonts w:ascii="Times New Roman" w:hAnsi="Times New Roman"/>
          <w:bCs/>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bCs/>
          <w:sz w:val="16"/>
          <w:szCs w:val="16"/>
        </w:rPr>
        <w:t xml:space="preserve">Hans Joas, </w:t>
      </w:r>
      <w:r w:rsidRPr="00845302">
        <w:rPr>
          <w:rFonts w:ascii="Times New Roman" w:hAnsi="Times New Roman"/>
          <w:bCs/>
          <w:i/>
          <w:sz w:val="16"/>
          <w:szCs w:val="16"/>
        </w:rPr>
        <w:t>op.cit</w:t>
      </w:r>
      <w:r w:rsidRPr="00845302">
        <w:rPr>
          <w:rFonts w:ascii="Times New Roman" w:hAnsi="Times New Roman"/>
          <w:bCs/>
          <w:sz w:val="16"/>
          <w:szCs w:val="16"/>
        </w:rPr>
        <w:t xml:space="preserve"> p. 275 </w:t>
      </w:r>
    </w:p>
  </w:footnote>
  <w:footnote w:id="63">
    <w:p w14:paraId="706A1B57"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Hans Joas, </w:t>
      </w:r>
      <w:r w:rsidRPr="00845302">
        <w:rPr>
          <w:rFonts w:ascii="Times New Roman" w:hAnsi="Times New Roman"/>
          <w:i/>
          <w:sz w:val="16"/>
          <w:szCs w:val="16"/>
          <w:lang w:val="en-US"/>
        </w:rPr>
        <w:t xml:space="preserve">op. cit </w:t>
      </w:r>
      <w:r w:rsidRPr="00845302">
        <w:rPr>
          <w:rFonts w:ascii="Times New Roman" w:hAnsi="Times New Roman"/>
          <w:sz w:val="16"/>
          <w:szCs w:val="16"/>
          <w:lang w:val="en-US"/>
        </w:rPr>
        <w:t>p. 275.</w:t>
      </w:r>
    </w:p>
  </w:footnote>
  <w:footnote w:id="64">
    <w:p w14:paraId="31A7D7B0" w14:textId="77777777" w:rsidR="009D7E8B" w:rsidRPr="00845302" w:rsidRDefault="009D7E8B" w:rsidP="003D7DAB">
      <w:pPr>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A Reconstrução dos Direitos Humanos: Um diálogo com o Pensamento de Hannah Arendt. </w:t>
      </w:r>
      <w:r w:rsidRPr="00845302">
        <w:rPr>
          <w:rFonts w:ascii="Times New Roman" w:hAnsi="Times New Roman"/>
          <w:sz w:val="16"/>
          <w:szCs w:val="16"/>
        </w:rPr>
        <w:t>São Paulo: Companhia das Letras, 1988, p. 271.</w:t>
      </w:r>
    </w:p>
  </w:footnote>
  <w:footnote w:id="65">
    <w:p w14:paraId="0F0A47E4" w14:textId="77777777" w:rsidR="009D7E8B" w:rsidRPr="00845302" w:rsidRDefault="009D7E8B" w:rsidP="003D7DAB">
      <w:pPr>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“De fato, não há bom senso nem senso de um mundo comum sem um mínimo de </w:t>
      </w:r>
      <w:r w:rsidRPr="00845302">
        <w:rPr>
          <w:rFonts w:ascii="Times New Roman" w:hAnsi="Times New Roman"/>
          <w:i/>
          <w:sz w:val="16"/>
          <w:szCs w:val="16"/>
        </w:rPr>
        <w:t xml:space="preserve">filia </w:t>
      </w:r>
      <w:r w:rsidRPr="00845302">
        <w:rPr>
          <w:rFonts w:ascii="Times New Roman" w:hAnsi="Times New Roman"/>
          <w:sz w:val="16"/>
          <w:szCs w:val="16"/>
        </w:rPr>
        <w:t xml:space="preserve">cívica, e esta não pode surgir quando a relação amigo-inimigo, no plano político, se vê exacerbada.” Celso Lafer. </w:t>
      </w:r>
      <w:r w:rsidRPr="00845302">
        <w:rPr>
          <w:rFonts w:ascii="Times New Roman" w:hAnsi="Times New Roman"/>
          <w:i/>
          <w:sz w:val="16"/>
          <w:szCs w:val="16"/>
        </w:rPr>
        <w:t xml:space="preserve">A Reconstrução dos Direitos Humanos: Um diálogo com o Pensamento de Hannah Arendt. </w:t>
      </w:r>
      <w:r w:rsidRPr="00845302">
        <w:rPr>
          <w:rFonts w:ascii="Times New Roman" w:hAnsi="Times New Roman"/>
          <w:sz w:val="16"/>
          <w:szCs w:val="16"/>
        </w:rPr>
        <w:t>São Paulo: Companhia das Letras, 1988 p. 286.</w:t>
      </w:r>
    </w:p>
  </w:footnote>
  <w:footnote w:id="66">
    <w:p w14:paraId="1874BE3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Bethania Assy. </w:t>
      </w:r>
      <w:r w:rsidRPr="00845302">
        <w:rPr>
          <w:rFonts w:ascii="Times New Roman" w:hAnsi="Times New Roman"/>
          <w:i/>
          <w:sz w:val="16"/>
          <w:szCs w:val="16"/>
        </w:rPr>
        <w:t xml:space="preserve">Ética, Responsabilidade e Juízo em Hannah Arendt. </w:t>
      </w:r>
      <w:r w:rsidRPr="00845302">
        <w:rPr>
          <w:rFonts w:ascii="Times New Roman" w:hAnsi="Times New Roman"/>
          <w:sz w:val="16"/>
          <w:szCs w:val="16"/>
        </w:rPr>
        <w:t>São Paulo: Perspectiva, Instituto Norberto Bobbio, 2015, p. 148.</w:t>
      </w:r>
    </w:p>
  </w:footnote>
  <w:footnote w:id="67">
    <w:p w14:paraId="51B1E2ED" w14:textId="77777777" w:rsidR="009D7E8B" w:rsidRPr="00845302" w:rsidRDefault="009D7E8B" w:rsidP="003D7DAB">
      <w:pPr>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A Reconstrução dos Direitos Humanos: Um diálogo com o Pensamento de Hannah Arendt. </w:t>
      </w:r>
      <w:r w:rsidRPr="00845302">
        <w:rPr>
          <w:rFonts w:ascii="Times New Roman" w:hAnsi="Times New Roman"/>
          <w:sz w:val="16"/>
          <w:szCs w:val="16"/>
        </w:rPr>
        <w:t>São Paulo: Companhia das Letras, 1988, p. 301-2.</w:t>
      </w:r>
    </w:p>
  </w:footnote>
  <w:footnote w:id="68">
    <w:p w14:paraId="305B789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Bethania Assy. </w:t>
      </w:r>
      <w:r w:rsidRPr="00845302">
        <w:rPr>
          <w:rFonts w:ascii="Times New Roman" w:hAnsi="Times New Roman"/>
          <w:i/>
          <w:sz w:val="16"/>
          <w:szCs w:val="16"/>
        </w:rPr>
        <w:t xml:space="preserve">Ética, Responsabilidade e Juízo em Hannah Arendt. </w:t>
      </w:r>
      <w:r w:rsidRPr="00845302">
        <w:rPr>
          <w:rFonts w:ascii="Times New Roman" w:hAnsi="Times New Roman"/>
          <w:sz w:val="16"/>
          <w:szCs w:val="16"/>
        </w:rPr>
        <w:t>São Paulo: Perspectiva, Instituto Norberto Bobbio, 2015, p. 151.</w:t>
      </w:r>
    </w:p>
  </w:footnote>
  <w:footnote w:id="69">
    <w:p w14:paraId="402EE2B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Ibid, p. 163..</w:t>
      </w:r>
    </w:p>
  </w:footnote>
  <w:footnote w:id="70">
    <w:p w14:paraId="61BBA153" w14:textId="77777777" w:rsidR="009D7E8B" w:rsidRPr="00845302" w:rsidRDefault="009D7E8B" w:rsidP="003D7DAB">
      <w:pPr>
        <w:widowControl w:val="0"/>
        <w:autoSpaceDE w:val="0"/>
        <w:autoSpaceDN w:val="0"/>
        <w:adjustRightInd w:val="0"/>
        <w:spacing w:after="0" w:line="360" w:lineRule="auto"/>
        <w:contextualSpacing/>
        <w:jc w:val="both"/>
        <w:rPr>
          <w:rFonts w:ascii="Times" w:hAnsi="Times" w:cs="Times"/>
          <w:sz w:val="16"/>
          <w:szCs w:val="16"/>
        </w:rPr>
      </w:pPr>
      <w:r w:rsidRPr="00845302">
        <w:rPr>
          <w:rStyle w:val="Refdenotaderodap"/>
          <w:sz w:val="16"/>
          <w:szCs w:val="16"/>
        </w:rPr>
        <w:footnoteRef/>
      </w:r>
      <w:r w:rsidRPr="00845302">
        <w:rPr>
          <w:sz w:val="16"/>
          <w:szCs w:val="16"/>
        </w:rPr>
        <w:t xml:space="preserve"> </w:t>
      </w:r>
      <w:r w:rsidRPr="00845302">
        <w:rPr>
          <w:rFonts w:ascii="Times" w:hAnsi="Times" w:cs="Times"/>
          <w:sz w:val="16"/>
          <w:szCs w:val="16"/>
        </w:rPr>
        <w:t xml:space="preserve">Émile Durkheim. </w:t>
      </w:r>
      <w:r w:rsidRPr="00845302">
        <w:rPr>
          <w:rFonts w:ascii="Times" w:hAnsi="Times" w:cs="Times"/>
          <w:i/>
          <w:sz w:val="16"/>
          <w:szCs w:val="16"/>
        </w:rPr>
        <w:t xml:space="preserve">O individualismo e os intelectuais. </w:t>
      </w:r>
      <w:r w:rsidRPr="00845302">
        <w:rPr>
          <w:rFonts w:ascii="Times" w:hAnsi="Times" w:cs="Times"/>
          <w:sz w:val="16"/>
          <w:szCs w:val="16"/>
        </w:rPr>
        <w:t>Edição bilíngue e crítica</w:t>
      </w:r>
      <w:r w:rsidRPr="00845302">
        <w:rPr>
          <w:rFonts w:ascii="Times" w:hAnsi="Times" w:cs="Times"/>
          <w:i/>
          <w:sz w:val="16"/>
          <w:szCs w:val="16"/>
        </w:rPr>
        <w:t xml:space="preserve"> </w:t>
      </w:r>
      <w:r w:rsidRPr="00845302">
        <w:rPr>
          <w:rFonts w:ascii="Times" w:hAnsi="Times" w:cs="Times"/>
          <w:sz w:val="16"/>
          <w:szCs w:val="16"/>
        </w:rPr>
        <w:t>organização e edição Marcia Consolim, Márcio de Oliveira, Raquel Weiss São Paulo: EDUSP, 2016, p. 18.</w:t>
      </w:r>
    </w:p>
  </w:footnote>
  <w:footnote w:id="71">
    <w:p w14:paraId="7628E51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Bethania Assy. </w:t>
      </w:r>
      <w:r w:rsidRPr="00845302">
        <w:rPr>
          <w:rFonts w:ascii="Times New Roman" w:hAnsi="Times New Roman"/>
          <w:i/>
          <w:sz w:val="16"/>
          <w:szCs w:val="16"/>
        </w:rPr>
        <w:t xml:space="preserve">Ética, Responsabilidade e Juízo em Hannah Arendt. </w:t>
      </w:r>
      <w:r w:rsidRPr="00845302">
        <w:rPr>
          <w:rFonts w:ascii="Times New Roman" w:hAnsi="Times New Roman"/>
          <w:sz w:val="16"/>
          <w:szCs w:val="16"/>
        </w:rPr>
        <w:t>São Paulo: Perspectiva, Instituto Norberto Bobbio, 2015. p. 174.</w:t>
      </w:r>
    </w:p>
  </w:footnote>
  <w:footnote w:id="72">
    <w:p w14:paraId="19EA5BF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w:t>
      </w:r>
      <w:r w:rsidRPr="00845302">
        <w:rPr>
          <w:rFonts w:ascii="Times New Roman" w:hAnsi="Times New Roman"/>
          <w:i/>
          <w:sz w:val="16"/>
          <w:szCs w:val="16"/>
        </w:rPr>
        <w:t xml:space="preserve">Lições sobre a Filosofia Política de Kant. </w:t>
      </w:r>
      <w:r w:rsidRPr="00845302">
        <w:rPr>
          <w:rFonts w:ascii="Times New Roman" w:hAnsi="Times New Roman"/>
          <w:sz w:val="16"/>
          <w:szCs w:val="16"/>
        </w:rPr>
        <w:t>2ª ed revista e ampliada. Ronald Beiner (ed.) Rio de Janeiro: Relume Dumará, [1982] 1994 p. 45.</w:t>
      </w:r>
    </w:p>
  </w:footnote>
  <w:footnote w:id="73">
    <w:p w14:paraId="4ED69859"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rFonts w:ascii="Times New Roman" w:hAnsi="Times New Roman"/>
          <w:sz w:val="16"/>
          <w:szCs w:val="16"/>
        </w:rPr>
        <w:t>Celso Lafer. “Experiência, Ação e Narrativa: Reflexões sobre um curso de Hannah Arendt”</w:t>
      </w:r>
      <w:r w:rsidRPr="00845302">
        <w:rPr>
          <w:rFonts w:ascii="Times New Roman" w:hAnsi="Times New Roman"/>
          <w:i/>
          <w:sz w:val="16"/>
          <w:szCs w:val="16"/>
        </w:rPr>
        <w:t xml:space="preserve">. Revista Estudos Avançados </w:t>
      </w:r>
      <w:r w:rsidRPr="00845302">
        <w:rPr>
          <w:rFonts w:ascii="Times New Roman" w:hAnsi="Times New Roman"/>
          <w:sz w:val="16"/>
          <w:szCs w:val="16"/>
        </w:rPr>
        <w:t>(USP) nº 21 (60), 2007, p. 289-304; p. 300.</w:t>
      </w:r>
      <w:r w:rsidRPr="00845302">
        <w:rPr>
          <w:sz w:val="16"/>
          <w:szCs w:val="16"/>
        </w:rPr>
        <w:t xml:space="preserve"> </w:t>
      </w:r>
    </w:p>
  </w:footnote>
  <w:footnote w:id="74">
    <w:p w14:paraId="199F8013"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A Reconstrução dos Direitos Humanos: Um diálogo com o Pensamento de Hannah Arendt. </w:t>
      </w:r>
      <w:r w:rsidRPr="00845302">
        <w:rPr>
          <w:rFonts w:ascii="Times New Roman" w:hAnsi="Times New Roman"/>
          <w:sz w:val="16"/>
          <w:szCs w:val="16"/>
        </w:rPr>
        <w:t>São Paulo: Companhia das Letras, 1988, p. 304.</w:t>
      </w:r>
    </w:p>
  </w:footnote>
  <w:footnote w:id="75">
    <w:p w14:paraId="1701286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Bethania Assy. </w:t>
      </w:r>
      <w:r w:rsidRPr="00845302">
        <w:rPr>
          <w:rFonts w:ascii="Times New Roman" w:hAnsi="Times New Roman"/>
          <w:i/>
          <w:sz w:val="16"/>
          <w:szCs w:val="16"/>
        </w:rPr>
        <w:t xml:space="preserve">Ética, Responsabilidade e Juízo em Hannah Arendt. </w:t>
      </w:r>
      <w:r w:rsidRPr="00845302">
        <w:rPr>
          <w:rFonts w:ascii="Times New Roman" w:hAnsi="Times New Roman"/>
          <w:sz w:val="16"/>
          <w:szCs w:val="16"/>
        </w:rPr>
        <w:t>São Paulo: Perspectiva, Instituto Norberto Bobbio, 2015, p. 193.</w:t>
      </w:r>
    </w:p>
  </w:footnote>
  <w:footnote w:id="76">
    <w:p w14:paraId="2277C68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rFonts w:ascii="Times New Roman" w:hAnsi="Times New Roman"/>
          <w:sz w:val="16"/>
          <w:szCs w:val="16"/>
        </w:rPr>
        <w:t xml:space="preserve">Celso Lafer. “Experiência, Ação e Narrativa: Reflexões sobre um curso de Hannah Arendt”. </w:t>
      </w:r>
      <w:r w:rsidRPr="00845302">
        <w:rPr>
          <w:rFonts w:ascii="Times New Roman" w:hAnsi="Times New Roman"/>
          <w:i/>
          <w:sz w:val="16"/>
          <w:szCs w:val="16"/>
        </w:rPr>
        <w:t xml:space="preserve">Revista Estudos Avançados </w:t>
      </w:r>
      <w:r w:rsidRPr="00845302">
        <w:rPr>
          <w:rFonts w:ascii="Times New Roman" w:hAnsi="Times New Roman"/>
          <w:sz w:val="16"/>
          <w:szCs w:val="16"/>
        </w:rPr>
        <w:t>(USP) nº 21 (60), 2007, p. 289-304; p. 299.</w:t>
      </w:r>
    </w:p>
  </w:footnote>
  <w:footnote w:id="77">
    <w:p w14:paraId="68089524" w14:textId="6CC391ED"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Eric J. Hobsbawn. </w:t>
      </w:r>
      <w:r w:rsidRPr="00845302">
        <w:rPr>
          <w:rFonts w:ascii="Times New Roman" w:hAnsi="Times New Roman"/>
          <w:i/>
          <w:sz w:val="16"/>
          <w:szCs w:val="16"/>
        </w:rPr>
        <w:t xml:space="preserve">A Era dos Impérios: 1875-1914. </w:t>
      </w:r>
      <w:r w:rsidRPr="00845302">
        <w:rPr>
          <w:rFonts w:ascii="Times New Roman" w:hAnsi="Times New Roman"/>
          <w:sz w:val="16"/>
          <w:szCs w:val="16"/>
        </w:rPr>
        <w:t>20ª edição. São Paulo: Paz e Terra, [1988] 2016 p. 44.</w:t>
      </w:r>
    </w:p>
  </w:footnote>
  <w:footnote w:id="78">
    <w:p w14:paraId="2C4E6D55"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Ibid, p. 94.</w:t>
      </w:r>
    </w:p>
  </w:footnote>
  <w:footnote w:id="79">
    <w:p w14:paraId="57C514E4"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Michel W.Doyle. </w:t>
      </w:r>
      <w:r w:rsidRPr="00845302">
        <w:rPr>
          <w:rFonts w:ascii="Times New Roman" w:hAnsi="Times New Roman"/>
          <w:i/>
          <w:sz w:val="16"/>
          <w:szCs w:val="16"/>
        </w:rPr>
        <w:t xml:space="preserve">Empires </w:t>
      </w:r>
      <w:r w:rsidRPr="00845302">
        <w:rPr>
          <w:rFonts w:ascii="Times New Roman" w:hAnsi="Times New Roman"/>
          <w:sz w:val="16"/>
          <w:szCs w:val="16"/>
        </w:rPr>
        <w:t xml:space="preserve">Ithaca: Cornel University Press, 1986, p. 45. </w:t>
      </w:r>
    </w:p>
  </w:footnote>
  <w:footnote w:id="80">
    <w:p w14:paraId="3EBF65D1"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Eric J. Hobsbawn. </w:t>
      </w:r>
      <w:r w:rsidRPr="00845302">
        <w:rPr>
          <w:rFonts w:ascii="Times New Roman" w:hAnsi="Times New Roman"/>
          <w:i/>
          <w:sz w:val="16"/>
          <w:szCs w:val="16"/>
        </w:rPr>
        <w:t xml:space="preserve">A Era dos Impérios: 1875-1914. </w:t>
      </w:r>
      <w:r w:rsidRPr="00845302">
        <w:rPr>
          <w:rFonts w:ascii="Times New Roman" w:hAnsi="Times New Roman"/>
          <w:sz w:val="16"/>
          <w:szCs w:val="16"/>
        </w:rPr>
        <w:t>20ª edição, Tradução de Sieni Maria Campos e Yolanda Steidel de Toledo. São Paulo: Paz e Terra, [1988] 2016, p. 97.</w:t>
      </w:r>
    </w:p>
  </w:footnote>
  <w:footnote w:id="81">
    <w:p w14:paraId="4FB1C77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Edward W. Said. </w:t>
      </w:r>
      <w:r w:rsidRPr="00845302">
        <w:rPr>
          <w:rFonts w:ascii="Times New Roman" w:hAnsi="Times New Roman"/>
          <w:i/>
          <w:sz w:val="16"/>
          <w:szCs w:val="16"/>
        </w:rPr>
        <w:t xml:space="preserve">Cultura e Imperialismo. </w:t>
      </w:r>
      <w:r w:rsidRPr="00845302">
        <w:rPr>
          <w:rFonts w:ascii="Times New Roman" w:hAnsi="Times New Roman"/>
          <w:sz w:val="16"/>
          <w:szCs w:val="16"/>
        </w:rPr>
        <w:t>Tradução de Denise Bottmann. São Paulo: Companhia das Letras, [1993] 2011, p. 42.</w:t>
      </w:r>
    </w:p>
  </w:footnote>
  <w:footnote w:id="82">
    <w:p w14:paraId="723EC19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“A Internacionalização dos Direitos Humanos: O desafio do direito a ter direitos”. </w:t>
      </w:r>
      <w:r w:rsidRPr="00845302">
        <w:rPr>
          <w:rFonts w:ascii="Times New Roman" w:hAnsi="Times New Roman"/>
          <w:i/>
          <w:sz w:val="16"/>
          <w:szCs w:val="16"/>
        </w:rPr>
        <w:t xml:space="preserve">Revista do Tribunal Regional Federal </w:t>
      </w:r>
      <w:r w:rsidRPr="00845302">
        <w:rPr>
          <w:rFonts w:ascii="Times New Roman" w:hAnsi="Times New Roman"/>
          <w:sz w:val="16"/>
          <w:szCs w:val="16"/>
        </w:rPr>
        <w:t>(nº 75) janeiro-fevereiro, 2006. p. 37-54; p. 43.</w:t>
      </w:r>
    </w:p>
  </w:footnote>
  <w:footnote w:id="83">
    <w:p w14:paraId="6C961DD0"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Robert M. Cover </w:t>
      </w:r>
      <w:r w:rsidRPr="00845302">
        <w:rPr>
          <w:rFonts w:ascii="Times New Roman" w:hAnsi="Times New Roman"/>
          <w:i/>
          <w:sz w:val="16"/>
          <w:szCs w:val="16"/>
        </w:rPr>
        <w:t xml:space="preserve">op. cit. </w:t>
      </w:r>
      <w:r w:rsidRPr="00845302">
        <w:rPr>
          <w:rFonts w:ascii="Times New Roman" w:hAnsi="Times New Roman"/>
          <w:sz w:val="16"/>
          <w:szCs w:val="16"/>
        </w:rPr>
        <w:t>p. 196</w:t>
      </w:r>
    </w:p>
  </w:footnote>
  <w:footnote w:id="84">
    <w:p w14:paraId="5602B1EB"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Jean-Jacques Becker. </w:t>
      </w:r>
      <w:r w:rsidRPr="00845302">
        <w:rPr>
          <w:rFonts w:ascii="Times New Roman" w:hAnsi="Times New Roman"/>
          <w:i/>
          <w:sz w:val="16"/>
          <w:szCs w:val="16"/>
        </w:rPr>
        <w:t xml:space="preserve">O Tratado de Versalhes. </w:t>
      </w:r>
      <w:r w:rsidRPr="00845302">
        <w:rPr>
          <w:rFonts w:ascii="Times New Roman" w:hAnsi="Times New Roman"/>
          <w:sz w:val="16"/>
          <w:szCs w:val="16"/>
        </w:rPr>
        <w:t xml:space="preserve">Tradução de: Constancia Egrejas. São Paulo: Editora UNESP, [2002] 2011. </w:t>
      </w:r>
    </w:p>
  </w:footnote>
  <w:footnote w:id="85">
    <w:p w14:paraId="407059DD" w14:textId="77777777" w:rsidR="009D7E8B" w:rsidRPr="00845302" w:rsidRDefault="009D7E8B" w:rsidP="003D7DAB">
      <w:pPr>
        <w:pStyle w:val="Textodenotaderodap"/>
        <w:contextualSpacing/>
        <w:rPr>
          <w:rFonts w:ascii="Times New Roman" w:hAnsi="Times New Roman"/>
          <w:sz w:val="16"/>
          <w:szCs w:val="16"/>
          <w:lang w:val="en-US"/>
        </w:rPr>
      </w:pPr>
      <w:r w:rsidRPr="00845302">
        <w:rPr>
          <w:rStyle w:val="Refdenotaderodap"/>
          <w:sz w:val="16"/>
          <w:szCs w:val="16"/>
        </w:rPr>
        <w:footnoteRef/>
      </w:r>
      <w:r w:rsidRPr="00845302">
        <w:rPr>
          <w:sz w:val="16"/>
          <w:szCs w:val="16"/>
          <w:lang w:val="en-US"/>
        </w:rPr>
        <w:t xml:space="preserve"> </w:t>
      </w:r>
      <w:r w:rsidRPr="00845302">
        <w:rPr>
          <w:rFonts w:ascii="Times New Roman" w:hAnsi="Times New Roman"/>
          <w:sz w:val="16"/>
          <w:szCs w:val="16"/>
          <w:lang w:val="en-US"/>
        </w:rPr>
        <w:t xml:space="preserve">Heinhard Steiger. “From the International Law of Christianity to the International Law of the World Citizen – Reflections on the Formation of the Epochs of the History of International Law”. </w:t>
      </w:r>
      <w:r w:rsidRPr="00845302">
        <w:rPr>
          <w:rFonts w:ascii="Times New Roman" w:hAnsi="Times New Roman"/>
          <w:i/>
          <w:sz w:val="16"/>
          <w:szCs w:val="16"/>
          <w:lang w:val="en-US"/>
        </w:rPr>
        <w:t xml:space="preserve">Journal of the History of International Law </w:t>
      </w:r>
      <w:r w:rsidRPr="00845302">
        <w:rPr>
          <w:rFonts w:ascii="Times New Roman" w:hAnsi="Times New Roman"/>
          <w:sz w:val="16"/>
          <w:szCs w:val="16"/>
          <w:lang w:val="en-US"/>
        </w:rPr>
        <w:t>(JHIL) 3: p. 180-93, 2001; p. 183.</w:t>
      </w:r>
    </w:p>
  </w:footnote>
  <w:footnote w:id="86">
    <w:p w14:paraId="313456CB"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Afirma Steigher que</w:t>
      </w:r>
      <w:r w:rsidRPr="00845302">
        <w:rPr>
          <w:rFonts w:ascii="Segoe UI Emoji" w:eastAsia="Segoe UI Emoji" w:hAnsi="Segoe UI Emoji" w:cs="Segoe UI Emoji"/>
          <w:sz w:val="16"/>
          <w:szCs w:val="16"/>
        </w:rPr>
        <w:t>:</w:t>
      </w:r>
      <w:r w:rsidRPr="00845302">
        <w:rPr>
          <w:rFonts w:ascii="Times New Roman" w:hAnsi="Times New Roman"/>
          <w:sz w:val="16"/>
          <w:szCs w:val="16"/>
        </w:rPr>
        <w:t xml:space="preserve"> “ (…) o termo </w:t>
      </w:r>
      <w:r w:rsidRPr="00845302">
        <w:rPr>
          <w:rFonts w:ascii="Times New Roman" w:hAnsi="Times New Roman"/>
          <w:i/>
          <w:sz w:val="16"/>
          <w:szCs w:val="16"/>
        </w:rPr>
        <w:t xml:space="preserve">Respublica Christiana </w:t>
      </w:r>
      <w:r w:rsidRPr="00845302">
        <w:rPr>
          <w:rFonts w:ascii="Times New Roman" w:hAnsi="Times New Roman"/>
          <w:sz w:val="16"/>
          <w:szCs w:val="16"/>
        </w:rPr>
        <w:t xml:space="preserve">foi usado em tratados até o século XVIII”. Heinhard Steiger, </w:t>
      </w:r>
      <w:r w:rsidRPr="00845302">
        <w:rPr>
          <w:rFonts w:ascii="Times New Roman" w:hAnsi="Times New Roman"/>
          <w:i/>
          <w:sz w:val="16"/>
          <w:szCs w:val="16"/>
        </w:rPr>
        <w:t xml:space="preserve">op. cit, </w:t>
      </w:r>
      <w:r w:rsidRPr="00845302">
        <w:rPr>
          <w:rFonts w:ascii="Times New Roman" w:hAnsi="Times New Roman"/>
          <w:sz w:val="16"/>
          <w:szCs w:val="16"/>
        </w:rPr>
        <w:t>p. 184.</w:t>
      </w:r>
    </w:p>
  </w:footnote>
  <w:footnote w:id="87">
    <w:p w14:paraId="3FF2659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Heinhard Steiger, </w:t>
      </w:r>
      <w:r w:rsidRPr="00845302">
        <w:rPr>
          <w:rFonts w:ascii="Times New Roman" w:hAnsi="Times New Roman"/>
          <w:i/>
          <w:sz w:val="16"/>
          <w:szCs w:val="16"/>
        </w:rPr>
        <w:t xml:space="preserve">op. cit, </w:t>
      </w:r>
      <w:r w:rsidRPr="00845302">
        <w:rPr>
          <w:rFonts w:ascii="Times New Roman" w:hAnsi="Times New Roman"/>
          <w:sz w:val="16"/>
          <w:szCs w:val="16"/>
        </w:rPr>
        <w:t>p. 187.</w:t>
      </w:r>
    </w:p>
  </w:footnote>
  <w:footnote w:id="88">
    <w:p w14:paraId="513116E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Charles Calvo </w:t>
      </w:r>
      <w:r w:rsidRPr="00845302">
        <w:rPr>
          <w:rFonts w:ascii="Times New Roman" w:hAnsi="Times New Roman"/>
          <w:i/>
          <w:sz w:val="16"/>
          <w:szCs w:val="16"/>
        </w:rPr>
        <w:t xml:space="preserve">Dictionnaire de Droit International Public et Privé (1885) Tome I-II </w:t>
      </w:r>
      <w:hyperlink r:id="rId5" w:history="1">
        <w:r w:rsidRPr="00845302">
          <w:rPr>
            <w:rStyle w:val="Hyperlink"/>
            <w:rFonts w:ascii="Times New Roman" w:hAnsi="Times New Roman"/>
            <w:sz w:val="16"/>
            <w:szCs w:val="16"/>
          </w:rPr>
          <w:t>http://cataloguebnf.fr/ark:/12148/bpt6k5432857z</w:t>
        </w:r>
      </w:hyperlink>
      <w:r w:rsidRPr="00845302">
        <w:rPr>
          <w:rFonts w:ascii="Times New Roman" w:hAnsi="Times New Roman"/>
          <w:sz w:val="16"/>
          <w:szCs w:val="16"/>
        </w:rPr>
        <w:t xml:space="preserve"> Tome II p.02 acesso on line em 12 de agosto de 2017:</w:t>
      </w:r>
    </w:p>
  </w:footnote>
  <w:footnote w:id="89">
    <w:p w14:paraId="63482761"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Charles Calvo. </w:t>
      </w:r>
      <w:r w:rsidRPr="00845302">
        <w:rPr>
          <w:rFonts w:ascii="Times New Roman" w:hAnsi="Times New Roman"/>
          <w:i/>
          <w:sz w:val="16"/>
          <w:szCs w:val="16"/>
        </w:rPr>
        <w:t>Dictionnaire de Droit International Public et Privé (1885) Tome I-II &lt;</w:t>
      </w:r>
      <w:hyperlink r:id="rId6" w:history="1">
        <w:r w:rsidRPr="00845302">
          <w:rPr>
            <w:rStyle w:val="Hyperlink"/>
            <w:rFonts w:ascii="Times New Roman" w:hAnsi="Times New Roman"/>
            <w:sz w:val="16"/>
            <w:szCs w:val="16"/>
          </w:rPr>
          <w:t>http://cataloguebnf.fr/ark:/12148/bpt6k5432857z</w:t>
        </w:r>
      </w:hyperlink>
      <w:r w:rsidRPr="00845302">
        <w:rPr>
          <w:rFonts w:ascii="Times New Roman" w:hAnsi="Times New Roman"/>
          <w:sz w:val="16"/>
          <w:szCs w:val="16"/>
        </w:rPr>
        <w:t>&gt; Tome I p. 148. Acesso: 12 ago. 2017.</w:t>
      </w:r>
    </w:p>
  </w:footnote>
  <w:footnote w:id="90">
    <w:p w14:paraId="621BAC6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Charles Calvo </w:t>
      </w:r>
      <w:r w:rsidRPr="00845302">
        <w:rPr>
          <w:rFonts w:ascii="Times New Roman" w:hAnsi="Times New Roman"/>
          <w:i/>
          <w:sz w:val="16"/>
          <w:szCs w:val="16"/>
        </w:rPr>
        <w:t xml:space="preserve">Dictionnaire de Droit International Public et Privé (1885) Tome I-II. </w:t>
      </w:r>
      <w:r w:rsidRPr="00845302">
        <w:rPr>
          <w:rFonts w:ascii="Times New Roman" w:hAnsi="Times New Roman"/>
          <w:sz w:val="16"/>
          <w:szCs w:val="16"/>
        </w:rPr>
        <w:t>&lt;</w:t>
      </w:r>
      <w:hyperlink r:id="rId7" w:history="1">
        <w:r w:rsidRPr="00845302">
          <w:rPr>
            <w:rStyle w:val="Hyperlink"/>
            <w:rFonts w:ascii="Times New Roman" w:hAnsi="Times New Roman"/>
            <w:sz w:val="16"/>
            <w:szCs w:val="16"/>
          </w:rPr>
          <w:t>http://cataloguebnf.fr/ark:/12148/bpt6k5432857z</w:t>
        </w:r>
      </w:hyperlink>
      <w:r w:rsidRPr="00845302">
        <w:rPr>
          <w:rFonts w:ascii="Times New Roman" w:hAnsi="Times New Roman"/>
          <w:sz w:val="16"/>
          <w:szCs w:val="16"/>
        </w:rPr>
        <w:t>&gt; Tome II p.148. Acesso: 12 ago. 2017.</w:t>
      </w:r>
    </w:p>
  </w:footnote>
  <w:footnote w:id="91">
    <w:p w14:paraId="5AB2928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Mireille Delmas-Marty. </w:t>
      </w:r>
      <w:r w:rsidRPr="00845302">
        <w:rPr>
          <w:rFonts w:ascii="Times New Roman" w:hAnsi="Times New Roman"/>
          <w:i/>
          <w:sz w:val="16"/>
          <w:szCs w:val="16"/>
        </w:rPr>
        <w:t xml:space="preserve">L’Adieu aux Barbares. </w:t>
      </w:r>
      <w:r w:rsidRPr="00845302">
        <w:rPr>
          <w:rFonts w:ascii="Times New Roman" w:hAnsi="Times New Roman"/>
          <w:sz w:val="16"/>
          <w:szCs w:val="16"/>
        </w:rPr>
        <w:t>Collection Mercure du Nord (verbatim)</w:t>
      </w:r>
      <w:r w:rsidRPr="00845302">
        <w:rPr>
          <w:rFonts w:ascii="Times New Roman" w:hAnsi="Times New Roman"/>
          <w:i/>
          <w:sz w:val="16"/>
          <w:szCs w:val="16"/>
        </w:rPr>
        <w:t xml:space="preserve"> </w:t>
      </w:r>
      <w:r w:rsidRPr="00845302">
        <w:rPr>
          <w:rFonts w:ascii="Times New Roman" w:hAnsi="Times New Roman"/>
          <w:sz w:val="16"/>
          <w:szCs w:val="16"/>
        </w:rPr>
        <w:t>Quebec: La Presse Universitaire de Laval, 2007, p.13.</w:t>
      </w:r>
    </w:p>
  </w:footnote>
  <w:footnote w:id="92">
    <w:p w14:paraId="0FAD644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Jean-Christophe Rufin. </w:t>
      </w:r>
      <w:r w:rsidRPr="00845302">
        <w:rPr>
          <w:rFonts w:ascii="Times New Roman" w:hAnsi="Times New Roman"/>
          <w:i/>
          <w:sz w:val="16"/>
          <w:szCs w:val="16"/>
        </w:rPr>
        <w:t xml:space="preserve">L’Aventure humanitaire. </w:t>
      </w:r>
      <w:r w:rsidRPr="00845302">
        <w:rPr>
          <w:rFonts w:ascii="Times New Roman" w:hAnsi="Times New Roman"/>
          <w:sz w:val="16"/>
          <w:szCs w:val="16"/>
        </w:rPr>
        <w:t>Découvertes Gallimard (Histoire). Paris: 1994, p. 29-30.</w:t>
      </w:r>
    </w:p>
  </w:footnote>
  <w:footnote w:id="93">
    <w:p w14:paraId="09ED841D"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bookmarkStart w:id="2" w:name="_Hlk490563375"/>
      <w:r w:rsidRPr="00845302">
        <w:rPr>
          <w:rFonts w:ascii="Times New Roman" w:hAnsi="Times New Roman"/>
          <w:sz w:val="16"/>
          <w:szCs w:val="16"/>
        </w:rPr>
        <w:t xml:space="preserve">Ibid, </w:t>
      </w:r>
      <w:bookmarkEnd w:id="2"/>
      <w:r w:rsidRPr="00845302">
        <w:rPr>
          <w:rFonts w:ascii="Times New Roman" w:hAnsi="Times New Roman"/>
          <w:sz w:val="16"/>
          <w:szCs w:val="16"/>
        </w:rPr>
        <w:t>p. 32.</w:t>
      </w:r>
    </w:p>
  </w:footnote>
  <w:footnote w:id="94">
    <w:p w14:paraId="77F2117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André Lalande. </w:t>
      </w:r>
      <w:r w:rsidRPr="00845302">
        <w:rPr>
          <w:rFonts w:ascii="Times New Roman" w:hAnsi="Times New Roman"/>
          <w:i/>
          <w:sz w:val="16"/>
          <w:szCs w:val="16"/>
        </w:rPr>
        <w:t xml:space="preserve">Vocabulário Técnico e Crítico da Filosofia. </w:t>
      </w:r>
      <w:r w:rsidRPr="00845302">
        <w:rPr>
          <w:rFonts w:ascii="Times New Roman" w:hAnsi="Times New Roman"/>
          <w:sz w:val="16"/>
          <w:szCs w:val="16"/>
        </w:rPr>
        <w:t>Tradução de Fátima Sá Correia, Maria Emília V. Aguiar, José Eduardo Torres, Maria Gorete de Souza. São Paulo: Martins Fontes, [1926] 2006, p. 477.</w:t>
      </w:r>
    </w:p>
  </w:footnote>
  <w:footnote w:id="95">
    <w:p w14:paraId="1C9506A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Charles Calvo, </w:t>
      </w:r>
      <w:r w:rsidRPr="00845302">
        <w:rPr>
          <w:rFonts w:ascii="Times New Roman" w:hAnsi="Times New Roman"/>
          <w:i/>
          <w:sz w:val="16"/>
          <w:szCs w:val="16"/>
        </w:rPr>
        <w:t xml:space="preserve">op.cit., </w:t>
      </w:r>
      <w:r w:rsidRPr="00845302">
        <w:rPr>
          <w:rFonts w:ascii="Times New Roman" w:hAnsi="Times New Roman"/>
          <w:sz w:val="16"/>
          <w:szCs w:val="16"/>
        </w:rPr>
        <w:t>p.148.</w:t>
      </w:r>
    </w:p>
  </w:footnote>
  <w:footnote w:id="96">
    <w:p w14:paraId="1C2C26D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Angus Mitchell. </w:t>
      </w:r>
      <w:r w:rsidRPr="00845302">
        <w:rPr>
          <w:rFonts w:ascii="Times New Roman" w:hAnsi="Times New Roman"/>
          <w:i/>
          <w:sz w:val="16"/>
          <w:szCs w:val="16"/>
        </w:rPr>
        <w:t xml:space="preserve">Introdução </w:t>
      </w:r>
      <w:r w:rsidRPr="00845302">
        <w:rPr>
          <w:rFonts w:ascii="Times New Roman" w:hAnsi="Times New Roman"/>
          <w:sz w:val="16"/>
          <w:szCs w:val="16"/>
        </w:rPr>
        <w:t xml:space="preserve">a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 xml:space="preserve">Angus Mitchell (editor); Laura P.Z. Izarra e Mariana Bolfarine. Tradução de Mariana Bolfarine (coord.) e Mail Marqus de Azevedo e Maria Rita Drumond Viana. São Paulo: Editora da Universidade de São Paulo, 2016. pp. 15-23. </w:t>
      </w:r>
    </w:p>
  </w:footnote>
  <w:footnote w:id="97">
    <w:p w14:paraId="64DA72C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Mario Vargas Llosa. </w:t>
      </w:r>
      <w:r w:rsidRPr="00845302">
        <w:rPr>
          <w:rFonts w:ascii="Times New Roman" w:hAnsi="Times New Roman"/>
          <w:i/>
          <w:sz w:val="16"/>
          <w:szCs w:val="16"/>
        </w:rPr>
        <w:t xml:space="preserve">O Sonho do Celta. </w:t>
      </w:r>
      <w:r w:rsidRPr="00845302">
        <w:rPr>
          <w:rFonts w:ascii="Times New Roman" w:hAnsi="Times New Roman"/>
          <w:sz w:val="16"/>
          <w:szCs w:val="16"/>
        </w:rPr>
        <w:t>Tradução de Paulina Wacht e Ari Roitman São Paulo: Alfaguarra, [2010] 2011.</w:t>
      </w:r>
    </w:p>
  </w:footnote>
  <w:footnote w:id="98">
    <w:p w14:paraId="2B71F504"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Angus Mitchell. </w:t>
      </w:r>
      <w:r w:rsidRPr="00845302">
        <w:rPr>
          <w:rFonts w:ascii="Times New Roman" w:hAnsi="Times New Roman"/>
          <w:i/>
          <w:sz w:val="16"/>
          <w:szCs w:val="16"/>
        </w:rPr>
        <w:t xml:space="preserve">Introdução </w:t>
      </w:r>
      <w:r w:rsidRPr="00845302">
        <w:rPr>
          <w:rFonts w:ascii="Times New Roman" w:hAnsi="Times New Roman"/>
          <w:sz w:val="16"/>
          <w:szCs w:val="16"/>
        </w:rPr>
        <w:t xml:space="preserve">a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Angus Mitchell (editor); Laura P.Z. Izarra e Mariana Bolfarine tradução de Mariana Bolfarine (coord.) e Mail Marqus de Azevedo e Maria Rita Drumond Viana. São Paulo: Editora da Universidade de São Paulo, 2016. pp. 15-23; p.19.</w:t>
      </w:r>
    </w:p>
  </w:footnote>
  <w:footnote w:id="99">
    <w:p w14:paraId="4DD1612F" w14:textId="77777777" w:rsidR="009D7E8B" w:rsidRPr="00845302" w:rsidRDefault="009D7E8B" w:rsidP="003D7DAB">
      <w:pPr>
        <w:contextualSpacing/>
        <w:rPr>
          <w:rFonts w:ascii="Times New Roman" w:hAnsi="Times New Roman"/>
          <w:sz w:val="16"/>
          <w:szCs w:val="16"/>
          <w:lang w:val="en-US"/>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lang w:val="en-US"/>
        </w:rPr>
        <w:t xml:space="preserve">Martti Koskenniemi. </w:t>
      </w:r>
      <w:r w:rsidRPr="00845302">
        <w:rPr>
          <w:rFonts w:ascii="Times New Roman" w:hAnsi="Times New Roman"/>
          <w:i/>
          <w:sz w:val="16"/>
          <w:szCs w:val="16"/>
          <w:lang w:val="en-US"/>
        </w:rPr>
        <w:t xml:space="preserve">The Gentle Civilizer of Nations: The Rise and fall of International Law 1870-1960. </w:t>
      </w:r>
      <w:r w:rsidRPr="00845302">
        <w:rPr>
          <w:rFonts w:ascii="Times New Roman" w:hAnsi="Times New Roman"/>
          <w:sz w:val="16"/>
          <w:szCs w:val="16"/>
          <w:lang w:val="en-US"/>
        </w:rPr>
        <w:t>Cambridge: Cambridge University Press, 2001, p.123.</w:t>
      </w:r>
    </w:p>
  </w:footnote>
  <w:footnote w:id="100">
    <w:p w14:paraId="748A33E5" w14:textId="77777777" w:rsidR="009D7E8B" w:rsidRPr="00845302" w:rsidRDefault="009D7E8B" w:rsidP="003D7DAB">
      <w:pPr>
        <w:contextualSpacing/>
        <w:rPr>
          <w:rFonts w:ascii="Times New Roman" w:hAnsi="Times New Roman"/>
          <w:sz w:val="16"/>
          <w:szCs w:val="16"/>
          <w:lang w:val="en-US"/>
        </w:rPr>
      </w:pPr>
      <w:r w:rsidRPr="00845302">
        <w:rPr>
          <w:rStyle w:val="Refdenotaderodap"/>
          <w:rFonts w:ascii="Times New Roman" w:hAnsi="Times New Roman"/>
          <w:sz w:val="16"/>
          <w:szCs w:val="16"/>
        </w:rPr>
        <w:footnoteRef/>
      </w:r>
      <w:r w:rsidRPr="00845302">
        <w:rPr>
          <w:rFonts w:ascii="Times New Roman" w:hAnsi="Times New Roman"/>
          <w:sz w:val="16"/>
          <w:szCs w:val="16"/>
          <w:lang w:val="en-US"/>
        </w:rPr>
        <w:t xml:space="preserve"> Martti Koskenniemi. </w:t>
      </w:r>
      <w:r w:rsidRPr="00845302">
        <w:rPr>
          <w:rFonts w:ascii="Times New Roman" w:hAnsi="Times New Roman"/>
          <w:i/>
          <w:sz w:val="16"/>
          <w:szCs w:val="16"/>
          <w:lang w:val="en-US"/>
        </w:rPr>
        <w:t xml:space="preserve">The Gentle Civilizer of Nations: The Rise and fall of International Law 1870-1960. </w:t>
      </w:r>
      <w:r w:rsidRPr="00845302">
        <w:rPr>
          <w:rFonts w:ascii="Times New Roman" w:hAnsi="Times New Roman"/>
          <w:sz w:val="16"/>
          <w:szCs w:val="16"/>
          <w:lang w:val="en-US"/>
        </w:rPr>
        <w:t>Cambridge: Cambridge University Press, 2001, p.158.</w:t>
      </w:r>
    </w:p>
  </w:footnote>
  <w:footnote w:id="101">
    <w:p w14:paraId="74F5C0A3" w14:textId="77777777" w:rsidR="009D7E8B" w:rsidRPr="00845302" w:rsidRDefault="009D7E8B" w:rsidP="003D7DAB">
      <w:pPr>
        <w:contextualSpacing/>
        <w:rPr>
          <w:rFonts w:ascii="Times New Roman" w:hAnsi="Times New Roman"/>
          <w:sz w:val="16"/>
          <w:szCs w:val="16"/>
          <w:lang w:val="en-US"/>
        </w:rPr>
      </w:pPr>
      <w:r w:rsidRPr="00845302">
        <w:rPr>
          <w:rStyle w:val="Refdenotaderodap"/>
          <w:sz w:val="16"/>
          <w:szCs w:val="16"/>
        </w:rPr>
        <w:footnoteRef/>
      </w:r>
      <w:r w:rsidRPr="00845302">
        <w:rPr>
          <w:rFonts w:ascii="Times New Roman" w:hAnsi="Times New Roman"/>
          <w:sz w:val="16"/>
          <w:szCs w:val="16"/>
          <w:lang w:val="en-US"/>
        </w:rPr>
        <w:t xml:space="preserve"> Ibid, p.159.</w:t>
      </w:r>
    </w:p>
  </w:footnote>
  <w:footnote w:id="102">
    <w:p w14:paraId="12EC358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Angus Mitchell. </w:t>
      </w:r>
      <w:r w:rsidRPr="00845302">
        <w:rPr>
          <w:rFonts w:ascii="Times New Roman" w:hAnsi="Times New Roman"/>
          <w:i/>
          <w:sz w:val="16"/>
          <w:szCs w:val="16"/>
        </w:rPr>
        <w:t xml:space="preserve">Introdução </w:t>
      </w:r>
      <w:r w:rsidRPr="00845302">
        <w:rPr>
          <w:rFonts w:ascii="Times New Roman" w:hAnsi="Times New Roman"/>
          <w:sz w:val="16"/>
          <w:szCs w:val="16"/>
        </w:rPr>
        <w:t xml:space="preserve">a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Angus Mitchell (editor); Laura P. Z. Izarra e Mariana Bolfarine tradução de Mariana Bolfarine (coord.) e Mail Marqus de Azevedo e Maria Rita Drumond Viana. São Paulo: Editora da Universidade de São Paulo, 2016. pp. 15-23; p.19.</w:t>
      </w:r>
    </w:p>
    <w:p w14:paraId="0ACDA5A7" w14:textId="77777777" w:rsidR="009D7E8B" w:rsidRPr="00845302" w:rsidRDefault="009D7E8B" w:rsidP="003D7DAB">
      <w:pPr>
        <w:pStyle w:val="Textodenotaderodap"/>
        <w:contextualSpacing/>
        <w:rPr>
          <w:sz w:val="16"/>
          <w:szCs w:val="16"/>
        </w:rPr>
      </w:pPr>
    </w:p>
  </w:footnote>
  <w:footnote w:id="103">
    <w:p w14:paraId="0E58C0F4"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Laura P.Z. Izarra. “Roger Casement e a Amazônia”</w:t>
      </w:r>
      <w:r w:rsidRPr="00845302">
        <w:rPr>
          <w:rFonts w:ascii="Times New Roman" w:hAnsi="Times New Roman"/>
          <w:i/>
          <w:sz w:val="16"/>
          <w:szCs w:val="16"/>
        </w:rPr>
        <w:t xml:space="preserve">, </w:t>
      </w:r>
      <w:r w:rsidRPr="00845302">
        <w:rPr>
          <w:rFonts w:ascii="Times New Roman" w:hAnsi="Times New Roman"/>
          <w:sz w:val="16"/>
          <w:szCs w:val="16"/>
        </w:rPr>
        <w:t xml:space="preserve">prefácio de Angus Mitchell. </w:t>
      </w:r>
      <w:r w:rsidRPr="00845302">
        <w:rPr>
          <w:rFonts w:ascii="Times New Roman" w:hAnsi="Times New Roman"/>
          <w:i/>
          <w:sz w:val="16"/>
          <w:szCs w:val="16"/>
        </w:rPr>
        <w:t xml:space="preserve">Roger Casement no Brasil: A Borracha, a Amazônia e o Mundo do Atlântico 1884-1916. </w:t>
      </w:r>
      <w:r w:rsidRPr="00845302">
        <w:rPr>
          <w:rFonts w:ascii="Times New Roman" w:hAnsi="Times New Roman"/>
          <w:sz w:val="16"/>
          <w:szCs w:val="16"/>
        </w:rPr>
        <w:t xml:space="preserve">Tradução de Mariana Bolfarine, organização de Laura L.P. Izarra. São Paulo: W.B. Yeats Chair of Irish Studies; Humanitas, 2011. pp 11-3. </w:t>
      </w:r>
    </w:p>
  </w:footnote>
  <w:footnote w:id="104">
    <w:p w14:paraId="7DEEF67A"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Angus Mitchell. </w:t>
      </w:r>
      <w:r w:rsidRPr="00845302">
        <w:rPr>
          <w:rFonts w:ascii="Times New Roman" w:hAnsi="Times New Roman"/>
          <w:i/>
          <w:sz w:val="16"/>
          <w:szCs w:val="16"/>
        </w:rPr>
        <w:t xml:space="preserve">Roger Casement no Brasil: A Borracha, a Amazônia e o Mundo do Atlântico 1884-1916. </w:t>
      </w:r>
      <w:r w:rsidRPr="00845302">
        <w:rPr>
          <w:rFonts w:ascii="Times New Roman" w:hAnsi="Times New Roman"/>
          <w:sz w:val="16"/>
          <w:szCs w:val="16"/>
        </w:rPr>
        <w:t xml:space="preserve">Tradução de Mariana Bolfarine, organização de Laura L.P. Izarra. São Paulo: W.B. Yeats Chair of Irish Studies; Humanitas, 2011, p. 45. </w:t>
      </w:r>
    </w:p>
  </w:footnote>
  <w:footnote w:id="105">
    <w:p w14:paraId="53729C1B" w14:textId="77777777" w:rsidR="009D7E8B" w:rsidRPr="00845302" w:rsidRDefault="009D7E8B" w:rsidP="003D7DAB">
      <w:pPr>
        <w:spacing w:line="360" w:lineRule="auto"/>
        <w:contextualSpacing/>
        <w:jc w:val="both"/>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Referida obra, com o título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 xml:space="preserve">foi publicado pela EDUSP no ano de 2016. </w:t>
      </w:r>
    </w:p>
  </w:footnote>
  <w:footnote w:id="106">
    <w:p w14:paraId="6EDBA653"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Angus Mitchell (editor); Laura P.Z. Izarra e Mariana Bolfarine (orgs.).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Tradução de Mariana Bolfarine (coord.) e Mail Marqus de Azevedo e Maria Rita Drumond Viana. São Paulo: Editora da Universidade de São Paulo, 2016, p. 58.</w:t>
      </w:r>
    </w:p>
  </w:footnote>
  <w:footnote w:id="107">
    <w:p w14:paraId="7B88BB47"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Ibid, p. 286.</w:t>
      </w:r>
    </w:p>
    <w:p w14:paraId="4785A02F" w14:textId="77777777" w:rsidR="009D7E8B" w:rsidRPr="00845302" w:rsidRDefault="009D7E8B" w:rsidP="003D7DAB">
      <w:pPr>
        <w:pStyle w:val="Textodenotaderodap"/>
        <w:contextualSpacing/>
        <w:rPr>
          <w:sz w:val="16"/>
          <w:szCs w:val="16"/>
        </w:rPr>
      </w:pPr>
    </w:p>
  </w:footnote>
  <w:footnote w:id="108">
    <w:p w14:paraId="6C5EFB9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bookmarkStart w:id="3" w:name="_Hlk490560240"/>
      <w:r w:rsidRPr="00845302">
        <w:rPr>
          <w:rFonts w:ascii="Times New Roman" w:hAnsi="Times New Roman"/>
          <w:sz w:val="16"/>
          <w:szCs w:val="16"/>
        </w:rPr>
        <w:t xml:space="preserve">Michael D. Higgins. </w:t>
      </w:r>
      <w:r w:rsidRPr="00845302">
        <w:rPr>
          <w:rFonts w:ascii="Times New Roman" w:hAnsi="Times New Roman"/>
          <w:i/>
          <w:sz w:val="16"/>
          <w:szCs w:val="16"/>
        </w:rPr>
        <w:t xml:space="preserve">Roger Casement e a Amazônia. </w:t>
      </w:r>
      <w:r w:rsidRPr="00845302">
        <w:rPr>
          <w:rFonts w:ascii="Times New Roman" w:hAnsi="Times New Roman"/>
          <w:sz w:val="16"/>
          <w:szCs w:val="16"/>
        </w:rPr>
        <w:t xml:space="preserve">Prefácio de Angus Mitchell (editor); Laura P.Z. Izarra e Mariana Bolfarine (orgs)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Tradução de Mariana Bolfarine (coord.) e Mail Marqus de Azevedo e Maria Rita Drumond Viana São Paulo: Editora da Universidade de São Paulo, 2016</w:t>
      </w:r>
      <w:bookmarkEnd w:id="3"/>
      <w:r w:rsidRPr="00845302">
        <w:rPr>
          <w:rFonts w:ascii="Times New Roman" w:hAnsi="Times New Roman"/>
          <w:sz w:val="16"/>
          <w:szCs w:val="16"/>
        </w:rPr>
        <w:t>, p. 9-13; p.11.</w:t>
      </w:r>
    </w:p>
  </w:footnote>
  <w:footnote w:id="109">
    <w:p w14:paraId="12E7E6B8"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Angus Mitchell (editor); Laura P.Z. Izarra e Mariana Bolfarine (orgs). </w:t>
      </w:r>
      <w:r w:rsidRPr="00845302">
        <w:rPr>
          <w:rFonts w:ascii="Times New Roman" w:hAnsi="Times New Roman"/>
          <w:i/>
          <w:sz w:val="16"/>
          <w:szCs w:val="16"/>
        </w:rPr>
        <w:t xml:space="preserve">Diário da Amazônia de Roger Casement. </w:t>
      </w:r>
      <w:r w:rsidRPr="00845302">
        <w:rPr>
          <w:rFonts w:ascii="Times New Roman" w:hAnsi="Times New Roman"/>
          <w:sz w:val="16"/>
          <w:szCs w:val="16"/>
        </w:rPr>
        <w:t>Tradução de Mariana Bolfarine (coord.) e Mail Marqus de Azevedo e Maria Rita Drumond Viana. São Paulo: Editora da Universidade de São Paulo, 2016, p. 369.</w:t>
      </w:r>
    </w:p>
  </w:footnote>
  <w:footnote w:id="110">
    <w:p w14:paraId="658AE04E"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Jean-Jacques Becker. </w:t>
      </w:r>
      <w:r w:rsidRPr="00845302">
        <w:rPr>
          <w:rFonts w:ascii="Times New Roman" w:hAnsi="Times New Roman"/>
          <w:i/>
          <w:sz w:val="16"/>
          <w:szCs w:val="16"/>
        </w:rPr>
        <w:t xml:space="preserve">O Tratado de Versalhes. </w:t>
      </w:r>
      <w:r w:rsidRPr="00845302">
        <w:rPr>
          <w:rFonts w:ascii="Times New Roman" w:hAnsi="Times New Roman"/>
          <w:sz w:val="16"/>
          <w:szCs w:val="16"/>
        </w:rPr>
        <w:t>Tradução de: Constancia Egrejas. São Paulo: Editora UNESP, [2002] 2011, p. 152.</w:t>
      </w:r>
    </w:p>
  </w:footnote>
  <w:footnote w:id="111">
    <w:p w14:paraId="1BCC0AC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maiores detalhes a propósito da participação do Brasil na SDN veja: Eugênio Vargas Garcia. </w:t>
      </w:r>
      <w:r w:rsidRPr="00845302">
        <w:rPr>
          <w:rFonts w:ascii="Times New Roman" w:hAnsi="Times New Roman"/>
          <w:i/>
          <w:sz w:val="16"/>
          <w:szCs w:val="16"/>
        </w:rPr>
        <w:t xml:space="preserve">O Brasil e a Liga das Nações (1919-1926): Vencer ou não perder. </w:t>
      </w:r>
      <w:r w:rsidRPr="00845302">
        <w:rPr>
          <w:rFonts w:ascii="Times New Roman" w:hAnsi="Times New Roman"/>
          <w:sz w:val="16"/>
          <w:szCs w:val="16"/>
        </w:rPr>
        <w:t>2ª Ed. Porto Alegre: Editora da UFRGS, 2005.</w:t>
      </w:r>
    </w:p>
  </w:footnote>
  <w:footnote w:id="112">
    <w:p w14:paraId="7DC5F9C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John Humphrey. </w:t>
      </w:r>
      <w:r w:rsidRPr="00845302">
        <w:rPr>
          <w:rFonts w:ascii="Times New Roman" w:hAnsi="Times New Roman"/>
          <w:i/>
          <w:sz w:val="16"/>
          <w:szCs w:val="16"/>
        </w:rPr>
        <w:t xml:space="preserve">No Distant Millennium: The International Law of Human Rights. </w:t>
      </w:r>
      <w:r w:rsidRPr="00845302">
        <w:rPr>
          <w:rFonts w:ascii="Times New Roman" w:hAnsi="Times New Roman"/>
          <w:sz w:val="16"/>
          <w:szCs w:val="16"/>
        </w:rPr>
        <w:t>Paris:UNESCO, 1989, p. 38.</w:t>
      </w:r>
    </w:p>
  </w:footnote>
  <w:footnote w:id="113">
    <w:p w14:paraId="2F0B91A5" w14:textId="0B207C5A"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 Diena. </w:t>
      </w:r>
      <w:r w:rsidRPr="00845302">
        <w:rPr>
          <w:rFonts w:ascii="Times New Roman" w:hAnsi="Times New Roman"/>
          <w:i/>
          <w:sz w:val="16"/>
          <w:szCs w:val="16"/>
        </w:rPr>
        <w:t xml:space="preserve">Les Mandats Internationaux. </w:t>
      </w:r>
      <w:r w:rsidRPr="00845302">
        <w:rPr>
          <w:rFonts w:ascii="Times New Roman" w:hAnsi="Times New Roman"/>
          <w:sz w:val="16"/>
          <w:szCs w:val="16"/>
        </w:rPr>
        <w:t xml:space="preserve">RCADI, 1924, p. 215-25; pp. 217-8. Para mais informações do Projeto Smuts, veja: Carter Mills. “The Mandatory System”, </w:t>
      </w:r>
      <w:r w:rsidRPr="00845302">
        <w:rPr>
          <w:rFonts w:ascii="Times New Roman" w:hAnsi="Times New Roman"/>
          <w:i/>
          <w:sz w:val="16"/>
          <w:szCs w:val="16"/>
        </w:rPr>
        <w:t>American Journal of International Law</w:t>
      </w:r>
      <w:r w:rsidRPr="00845302">
        <w:rPr>
          <w:rFonts w:ascii="Times New Roman" w:hAnsi="Times New Roman"/>
          <w:sz w:val="16"/>
          <w:szCs w:val="16"/>
        </w:rPr>
        <w:t xml:space="preserve">, 1923, p. 50 e seguintes. </w:t>
      </w:r>
    </w:p>
  </w:footnote>
  <w:footnote w:id="114">
    <w:p w14:paraId="69DF3EAE"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 Diena, </w:t>
      </w:r>
      <w:r w:rsidRPr="00845302">
        <w:rPr>
          <w:rFonts w:ascii="Times New Roman" w:hAnsi="Times New Roman"/>
          <w:i/>
          <w:sz w:val="16"/>
          <w:szCs w:val="16"/>
        </w:rPr>
        <w:t xml:space="preserve">op. cit., </w:t>
      </w:r>
      <w:r w:rsidRPr="00845302">
        <w:rPr>
          <w:rFonts w:ascii="Times New Roman" w:hAnsi="Times New Roman"/>
          <w:sz w:val="16"/>
          <w:szCs w:val="16"/>
        </w:rPr>
        <w:t>p. 217-8.</w:t>
      </w:r>
    </w:p>
  </w:footnote>
  <w:footnote w:id="115">
    <w:p w14:paraId="34748DF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 Diena, </w:t>
      </w:r>
      <w:r w:rsidRPr="00845302">
        <w:rPr>
          <w:rFonts w:ascii="Times New Roman" w:hAnsi="Times New Roman"/>
          <w:i/>
          <w:sz w:val="16"/>
          <w:szCs w:val="16"/>
        </w:rPr>
        <w:t xml:space="preserve">op.cit, </w:t>
      </w:r>
      <w:r w:rsidRPr="00845302">
        <w:rPr>
          <w:rFonts w:ascii="Times New Roman" w:hAnsi="Times New Roman"/>
          <w:sz w:val="16"/>
          <w:szCs w:val="16"/>
        </w:rPr>
        <w:t>p.218.</w:t>
      </w:r>
    </w:p>
  </w:footnote>
  <w:footnote w:id="116">
    <w:p w14:paraId="76767CF7" w14:textId="0983AE2A"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Robert M. Cover </w:t>
      </w:r>
      <w:r w:rsidRPr="00845302">
        <w:rPr>
          <w:rFonts w:ascii="Times New Roman" w:hAnsi="Times New Roman"/>
          <w:i/>
          <w:sz w:val="16"/>
          <w:szCs w:val="16"/>
        </w:rPr>
        <w:t>op.cit</w:t>
      </w:r>
      <w:r w:rsidRPr="00845302">
        <w:rPr>
          <w:rFonts w:ascii="Times New Roman" w:hAnsi="Times New Roman"/>
          <w:sz w:val="16"/>
          <w:szCs w:val="16"/>
        </w:rPr>
        <w:t>; p. 09.</w:t>
      </w:r>
    </w:p>
  </w:footnote>
  <w:footnote w:id="117">
    <w:p w14:paraId="3AA4F9D4"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N. Bentwich. </w:t>
      </w:r>
      <w:r w:rsidRPr="00845302">
        <w:rPr>
          <w:rFonts w:ascii="Times New Roman" w:hAnsi="Times New Roman"/>
          <w:i/>
          <w:sz w:val="16"/>
          <w:szCs w:val="16"/>
        </w:rPr>
        <w:t xml:space="preserve">L’Origine et l`Histoire du Système des Mandats Internationaux. </w:t>
      </w:r>
      <w:r w:rsidRPr="00845302">
        <w:rPr>
          <w:rFonts w:ascii="Times New Roman" w:hAnsi="Times New Roman"/>
          <w:sz w:val="16"/>
          <w:szCs w:val="16"/>
        </w:rPr>
        <w:t>RCADI, 1929 IV Tome 29, p. 121-32; p. 122.</w:t>
      </w:r>
    </w:p>
  </w:footnote>
  <w:footnote w:id="118">
    <w:p w14:paraId="66111BA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Ibid,</w:t>
      </w:r>
      <w:r w:rsidRPr="00845302">
        <w:rPr>
          <w:sz w:val="16"/>
          <w:szCs w:val="16"/>
        </w:rPr>
        <w:t xml:space="preserve"> </w:t>
      </w:r>
      <w:r w:rsidRPr="00845302">
        <w:rPr>
          <w:rFonts w:ascii="Times New Roman" w:hAnsi="Times New Roman"/>
          <w:sz w:val="16"/>
          <w:szCs w:val="16"/>
        </w:rPr>
        <w:t>p. 123.</w:t>
      </w:r>
    </w:p>
  </w:footnote>
  <w:footnote w:id="119">
    <w:p w14:paraId="395E7CC8" w14:textId="2FB0622C"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Susan Pedersen. </w:t>
      </w:r>
      <w:r w:rsidRPr="00845302">
        <w:rPr>
          <w:rFonts w:ascii="Times New Roman" w:hAnsi="Times New Roman"/>
          <w:i/>
          <w:sz w:val="16"/>
          <w:szCs w:val="16"/>
        </w:rPr>
        <w:t xml:space="preserve">The Guardians: The League of Nations and the Crises of Empire </w:t>
      </w:r>
      <w:r w:rsidRPr="00845302">
        <w:rPr>
          <w:rFonts w:ascii="Times New Roman" w:hAnsi="Times New Roman"/>
          <w:sz w:val="16"/>
          <w:szCs w:val="16"/>
        </w:rPr>
        <w:t xml:space="preserve"> Oxford: Oxford University Press 2015 p. 405.</w:t>
      </w:r>
    </w:p>
  </w:footnote>
  <w:footnote w:id="120">
    <w:p w14:paraId="78E5D77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Esses números têm por base a tabela de Jean-Jacques Becker, </w:t>
      </w:r>
      <w:r w:rsidRPr="00845302">
        <w:rPr>
          <w:rFonts w:ascii="Times New Roman" w:hAnsi="Times New Roman"/>
          <w:i/>
          <w:sz w:val="16"/>
          <w:szCs w:val="16"/>
        </w:rPr>
        <w:t xml:space="preserve">op. cit, </w:t>
      </w:r>
      <w:r w:rsidRPr="00845302">
        <w:rPr>
          <w:rFonts w:ascii="Times New Roman" w:hAnsi="Times New Roman"/>
          <w:sz w:val="16"/>
          <w:szCs w:val="16"/>
        </w:rPr>
        <w:t xml:space="preserve">p.124. </w:t>
      </w:r>
    </w:p>
  </w:footnote>
  <w:footnote w:id="121">
    <w:p w14:paraId="24874BF8"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John Humphrey, </w:t>
      </w:r>
      <w:r w:rsidRPr="00845302">
        <w:rPr>
          <w:rFonts w:ascii="Times New Roman" w:hAnsi="Times New Roman"/>
          <w:i/>
          <w:sz w:val="16"/>
          <w:szCs w:val="16"/>
        </w:rPr>
        <w:t xml:space="preserve">op. cit, </w:t>
      </w:r>
      <w:r w:rsidRPr="00845302">
        <w:rPr>
          <w:rFonts w:ascii="Times New Roman" w:hAnsi="Times New Roman"/>
          <w:sz w:val="16"/>
          <w:szCs w:val="16"/>
        </w:rPr>
        <w:t>p. 44.</w:t>
      </w:r>
    </w:p>
  </w:footnote>
  <w:footnote w:id="122">
    <w:p w14:paraId="757A1FDD" w14:textId="2BA03311"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Anna Meiijknecht. </w:t>
      </w:r>
      <w:r w:rsidRPr="00845302">
        <w:rPr>
          <w:rFonts w:ascii="Times New Roman" w:hAnsi="Times New Roman"/>
          <w:i/>
          <w:sz w:val="16"/>
          <w:szCs w:val="16"/>
        </w:rPr>
        <w:t xml:space="preserve">Minority Protection System between World Mar I and World War II </w:t>
      </w:r>
      <w:r w:rsidRPr="00845302">
        <w:rPr>
          <w:rFonts w:ascii="Times New Roman" w:hAnsi="Times New Roman"/>
          <w:sz w:val="16"/>
          <w:szCs w:val="16"/>
        </w:rPr>
        <w:t>MPEPIL, última atualização outubro 2010, p. 6.</w:t>
      </w:r>
    </w:p>
  </w:footnote>
  <w:footnote w:id="123">
    <w:p w14:paraId="69255905"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Renne Colette Redman. </w:t>
      </w:r>
      <w:r w:rsidRPr="00845302">
        <w:rPr>
          <w:rFonts w:ascii="Times New Roman" w:hAnsi="Times New Roman"/>
          <w:i/>
          <w:sz w:val="16"/>
          <w:szCs w:val="16"/>
        </w:rPr>
        <w:t xml:space="preserve">The League of Nations and the Right to be Free from Enslavement: The First Human Right to Be Recognized as Customary International Law. </w:t>
      </w:r>
      <w:r w:rsidRPr="00845302">
        <w:rPr>
          <w:rFonts w:ascii="Times New Roman" w:hAnsi="Times New Roman"/>
          <w:sz w:val="16"/>
          <w:szCs w:val="16"/>
        </w:rPr>
        <w:t>p. 759-87; p. 787.</w:t>
      </w:r>
      <w:r w:rsidRPr="00845302">
        <w:rPr>
          <w:rFonts w:ascii="Times New Roman" w:hAnsi="Times New Roman"/>
          <w:i/>
          <w:sz w:val="16"/>
          <w:szCs w:val="16"/>
        </w:rPr>
        <w:t xml:space="preserve"> </w:t>
      </w:r>
    </w:p>
  </w:footnote>
  <w:footnote w:id="124">
    <w:p w14:paraId="58D4F8D8"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Ibid, p. 797.</w:t>
      </w:r>
    </w:p>
  </w:footnote>
  <w:footnote w:id="125">
    <w:p w14:paraId="1E20D44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Guy Richard (coordenação). </w:t>
      </w:r>
      <w:r w:rsidRPr="00845302">
        <w:rPr>
          <w:rFonts w:ascii="Times New Roman" w:hAnsi="Times New Roman"/>
          <w:i/>
          <w:sz w:val="16"/>
          <w:szCs w:val="16"/>
        </w:rPr>
        <w:t xml:space="preserve">A História inumana – Massacres e Genocídios das origens aos nossos dias. </w:t>
      </w:r>
      <w:r w:rsidRPr="00845302">
        <w:rPr>
          <w:rFonts w:ascii="Times New Roman" w:hAnsi="Times New Roman"/>
          <w:sz w:val="16"/>
          <w:szCs w:val="16"/>
        </w:rPr>
        <w:t>Lisboa: Instituto Piaget Divisão Editorial, 1992, p. 131.</w:t>
      </w:r>
    </w:p>
  </w:footnote>
  <w:footnote w:id="126">
    <w:p w14:paraId="6C7C1D3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A Reconstrução dos Direitos Humanos – Um diálogo com o Pensamento de Hannah Arendt. </w:t>
      </w:r>
      <w:r w:rsidRPr="00845302">
        <w:rPr>
          <w:rFonts w:ascii="Times New Roman" w:hAnsi="Times New Roman"/>
          <w:sz w:val="16"/>
          <w:szCs w:val="16"/>
        </w:rPr>
        <w:t>São Paulo: Companhia das Letras, 1988, p. 80.</w:t>
      </w:r>
    </w:p>
  </w:footnote>
  <w:footnote w:id="127">
    <w:p w14:paraId="707A22D1"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Norberto Bobbio.  Filosofia da Guerra na era atômica</w:t>
      </w:r>
      <w:r w:rsidRPr="00845302">
        <w:rPr>
          <w:rFonts w:ascii="Times New Roman" w:hAnsi="Times New Roman"/>
          <w:i/>
          <w:sz w:val="16"/>
          <w:szCs w:val="16"/>
        </w:rPr>
        <w:t xml:space="preserve"> em O Terceiro Ausente </w:t>
      </w:r>
      <w:r w:rsidRPr="00845302">
        <w:rPr>
          <w:rFonts w:ascii="Times New Roman" w:hAnsi="Times New Roman"/>
          <w:sz w:val="16"/>
          <w:szCs w:val="16"/>
        </w:rPr>
        <w:t xml:space="preserve"> Ensaios e Discursos sobre a Paz e a Guerra</w:t>
      </w:r>
      <w:r w:rsidRPr="00845302">
        <w:rPr>
          <w:rFonts w:ascii="Times New Roman" w:hAnsi="Times New Roman"/>
          <w:i/>
          <w:sz w:val="16"/>
          <w:szCs w:val="16"/>
        </w:rPr>
        <w:t>,</w:t>
      </w:r>
      <w:r w:rsidRPr="00845302">
        <w:rPr>
          <w:rFonts w:ascii="Times New Roman" w:hAnsi="Times New Roman"/>
          <w:sz w:val="16"/>
          <w:szCs w:val="16"/>
        </w:rPr>
        <w:t xml:space="preserve"> tradução Daniela Versiani. São Paulo: Editora Manole, 2009 [1989], p. 38. </w:t>
      </w:r>
    </w:p>
  </w:footnote>
  <w:footnote w:id="128">
    <w:p w14:paraId="1896A9BC" w14:textId="77777777" w:rsidR="009D7E8B" w:rsidRPr="00845302" w:rsidRDefault="009D7E8B" w:rsidP="003D7DAB">
      <w:pPr>
        <w:pStyle w:val="Textodenotaderodap"/>
        <w:spacing w:after="60"/>
        <w:contextualSpacing/>
        <w:rPr>
          <w:rFonts w:ascii="Times New Roman" w:hAnsi="Times New Roman"/>
          <w:sz w:val="16"/>
          <w:szCs w:val="16"/>
        </w:rPr>
      </w:pPr>
      <w:r w:rsidRPr="00845302">
        <w:rPr>
          <w:rStyle w:val="Refdenotaderodap"/>
          <w:rFonts w:ascii="Times New Roman" w:hAnsi="Times New Roman"/>
          <w:sz w:val="16"/>
          <w:szCs w:val="16"/>
        </w:rPr>
        <w:footnoteRef/>
      </w:r>
      <w:r w:rsidRPr="00845302">
        <w:rPr>
          <w:rFonts w:ascii="Times New Roman" w:hAnsi="Times New Roman"/>
          <w:sz w:val="16"/>
          <w:szCs w:val="16"/>
        </w:rPr>
        <w:t xml:space="preserve"> Para um detalhado estudo detalhado das relações entre a guerra e o direito consulte “Direito e Guerra”, de Norberto Bobbio, em </w:t>
      </w:r>
      <w:r w:rsidRPr="00845302">
        <w:rPr>
          <w:rFonts w:ascii="Times New Roman" w:hAnsi="Times New Roman"/>
          <w:i/>
          <w:sz w:val="16"/>
          <w:szCs w:val="16"/>
        </w:rPr>
        <w:t>O Problema da guerra e as vias da paz</w:t>
      </w:r>
      <w:r w:rsidRPr="00845302">
        <w:rPr>
          <w:rFonts w:ascii="Times New Roman" w:hAnsi="Times New Roman"/>
          <w:sz w:val="16"/>
          <w:szCs w:val="16"/>
        </w:rPr>
        <w:t>,</w:t>
      </w:r>
      <w:r w:rsidRPr="00845302">
        <w:rPr>
          <w:rFonts w:ascii="Times New Roman" w:hAnsi="Times New Roman"/>
          <w:i/>
          <w:sz w:val="16"/>
          <w:szCs w:val="16"/>
        </w:rPr>
        <w:t xml:space="preserve"> </w:t>
      </w:r>
      <w:r w:rsidRPr="00845302">
        <w:rPr>
          <w:rFonts w:ascii="Times New Roman" w:hAnsi="Times New Roman"/>
          <w:sz w:val="16"/>
          <w:szCs w:val="16"/>
        </w:rPr>
        <w:t>pp. 117-35.</w:t>
      </w:r>
    </w:p>
  </w:footnote>
  <w:footnote w:id="129">
    <w:p w14:paraId="66FA43D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Observo que a palavra “guerra” está presente apenas no texto do preâmbulo da Carta da ONU.</w:t>
      </w:r>
    </w:p>
  </w:footnote>
  <w:footnote w:id="130">
    <w:p w14:paraId="2A0AB328"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 redação do texto restante desse item tomou como referência o texto: Celso Lafer. </w:t>
      </w:r>
      <w:r w:rsidRPr="00845302">
        <w:rPr>
          <w:rFonts w:ascii="Times New Roman" w:hAnsi="Times New Roman"/>
          <w:i/>
          <w:sz w:val="16"/>
          <w:szCs w:val="16"/>
        </w:rPr>
        <w:t>A Declaração Universal dos Direitos Humanos de 1948: Seu alcance e significado para a Teoria dos Direitos Humanos in Direitos Humanos um percurso no século XXI</w:t>
      </w:r>
      <w:r w:rsidRPr="00845302">
        <w:rPr>
          <w:rFonts w:ascii="Times New Roman" w:hAnsi="Times New Roman"/>
          <w:sz w:val="16"/>
          <w:szCs w:val="16"/>
        </w:rPr>
        <w:t xml:space="preserve">. São Paulo: Editora Atlas, 2015, pp. 3-53. </w:t>
      </w:r>
    </w:p>
  </w:footnote>
  <w:footnote w:id="131">
    <w:p w14:paraId="7787C3A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op. cit, </w:t>
      </w:r>
      <w:r w:rsidRPr="00845302">
        <w:rPr>
          <w:rFonts w:ascii="Times New Roman" w:hAnsi="Times New Roman"/>
          <w:sz w:val="16"/>
          <w:szCs w:val="16"/>
        </w:rPr>
        <w:t>p. 14-5.</w:t>
      </w:r>
    </w:p>
  </w:footnote>
  <w:footnote w:id="132">
    <w:p w14:paraId="2E698109"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op.cit, </w:t>
      </w:r>
      <w:r w:rsidRPr="00845302">
        <w:rPr>
          <w:rFonts w:ascii="Times New Roman" w:hAnsi="Times New Roman"/>
          <w:sz w:val="16"/>
          <w:szCs w:val="16"/>
        </w:rPr>
        <w:t>p. 17.</w:t>
      </w:r>
    </w:p>
  </w:footnote>
  <w:footnote w:id="133">
    <w:p w14:paraId="208805E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Mark Mazower. “The End of Civilization and the Rise of Human Rights – The Mid-Twentieth-Century Disjuncture”. In: Stefan-Ludwig Hoffmann (editor)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Nova York: Cambridge University Press, 2011. pp. 29-44; p. 29.</w:t>
      </w:r>
    </w:p>
  </w:footnote>
  <w:footnote w:id="134">
    <w:p w14:paraId="1D57E56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“The Road to San Francisco: The Revival of the Human Rights Idea in the Twentieth Century”. In: </w:t>
      </w:r>
      <w:r w:rsidRPr="00845302">
        <w:rPr>
          <w:rFonts w:ascii="Times New Roman" w:hAnsi="Times New Roman"/>
          <w:i/>
          <w:sz w:val="16"/>
          <w:szCs w:val="16"/>
        </w:rPr>
        <w:t xml:space="preserve">Human Rights Quaterly </w:t>
      </w:r>
      <w:r w:rsidRPr="00845302">
        <w:rPr>
          <w:rFonts w:ascii="Times New Roman" w:hAnsi="Times New Roman"/>
          <w:sz w:val="16"/>
          <w:szCs w:val="16"/>
        </w:rPr>
        <w:t xml:space="preserve">(HRQ) vol.14, nº 4 (nov. 1992), pp. 447-77; e Helmut Philipp Aust. “From Diplomat to Academic Ativist – André Mandelstam and the History of Human Rights”. In: </w:t>
      </w:r>
      <w:r w:rsidRPr="00845302">
        <w:rPr>
          <w:rFonts w:ascii="Times New Roman" w:hAnsi="Times New Roman"/>
          <w:i/>
          <w:sz w:val="16"/>
          <w:szCs w:val="16"/>
        </w:rPr>
        <w:t xml:space="preserve">European Journal of International Law </w:t>
      </w:r>
      <w:r w:rsidRPr="00845302">
        <w:rPr>
          <w:rFonts w:ascii="Times New Roman" w:hAnsi="Times New Roman"/>
          <w:sz w:val="16"/>
          <w:szCs w:val="16"/>
        </w:rPr>
        <w:t xml:space="preserve">(EJIL), vol. 25, nº 4, (2014) pp. 1105-21. </w:t>
      </w:r>
    </w:p>
  </w:footnote>
  <w:footnote w:id="135">
    <w:p w14:paraId="50099DB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mais informações, Martti Koskenniemi, </w:t>
      </w:r>
      <w:r w:rsidRPr="00845302">
        <w:rPr>
          <w:rFonts w:ascii="Times New Roman" w:hAnsi="Times New Roman"/>
          <w:i/>
          <w:sz w:val="16"/>
          <w:szCs w:val="16"/>
        </w:rPr>
        <w:t>op. cit.</w:t>
      </w:r>
      <w:r w:rsidRPr="00845302">
        <w:rPr>
          <w:rFonts w:ascii="Times New Roman" w:hAnsi="Times New Roman"/>
          <w:sz w:val="16"/>
          <w:szCs w:val="16"/>
        </w:rPr>
        <w:t>,</w:t>
      </w:r>
      <w:r w:rsidRPr="00845302">
        <w:rPr>
          <w:rFonts w:ascii="Times New Roman" w:hAnsi="Times New Roman"/>
          <w:i/>
          <w:sz w:val="16"/>
          <w:szCs w:val="16"/>
        </w:rPr>
        <w:t xml:space="preserve"> </w:t>
      </w:r>
      <w:r w:rsidRPr="00845302">
        <w:rPr>
          <w:rFonts w:ascii="Times New Roman" w:hAnsi="Times New Roman"/>
          <w:sz w:val="16"/>
          <w:szCs w:val="16"/>
        </w:rPr>
        <w:t>pp. 47-51.</w:t>
      </w:r>
    </w:p>
  </w:footnote>
  <w:footnote w:id="136">
    <w:p w14:paraId="1BF4D09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p. 451.</w:t>
      </w:r>
    </w:p>
  </w:footnote>
  <w:footnote w:id="137">
    <w:p w14:paraId="19F24F60"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André N. Mandelstan. </w:t>
      </w:r>
      <w:r w:rsidRPr="00845302">
        <w:rPr>
          <w:rFonts w:ascii="Times New Roman" w:hAnsi="Times New Roman"/>
          <w:i/>
          <w:sz w:val="16"/>
          <w:szCs w:val="16"/>
        </w:rPr>
        <w:t xml:space="preserve">La Protection Internationale des Droits de L´Homme. </w:t>
      </w:r>
      <w:r w:rsidRPr="00845302">
        <w:rPr>
          <w:rFonts w:ascii="Times New Roman" w:hAnsi="Times New Roman"/>
          <w:sz w:val="16"/>
          <w:szCs w:val="16"/>
        </w:rPr>
        <w:t>RCADI, vol. IV, tome 38 (1931) pp. 129-229.</w:t>
      </w:r>
    </w:p>
  </w:footnote>
  <w:footnote w:id="138">
    <w:p w14:paraId="7FDBE3A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André N. Mandelstan, </w:t>
      </w:r>
      <w:r w:rsidRPr="00845302">
        <w:rPr>
          <w:rFonts w:ascii="Times New Roman" w:hAnsi="Times New Roman"/>
          <w:i/>
          <w:sz w:val="16"/>
          <w:szCs w:val="16"/>
        </w:rPr>
        <w:t xml:space="preserve">op. cit., </w:t>
      </w:r>
      <w:r w:rsidRPr="00845302">
        <w:rPr>
          <w:rFonts w:ascii="Times New Roman" w:hAnsi="Times New Roman"/>
          <w:sz w:val="16"/>
          <w:szCs w:val="16"/>
        </w:rPr>
        <w:t>p. 229.</w:t>
      </w:r>
    </w:p>
  </w:footnote>
  <w:footnote w:id="139">
    <w:p w14:paraId="31B945FA"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André N. Mandelstan, </w:t>
      </w:r>
      <w:r w:rsidRPr="00845302">
        <w:rPr>
          <w:rFonts w:ascii="Times New Roman" w:hAnsi="Times New Roman"/>
          <w:i/>
          <w:sz w:val="16"/>
          <w:szCs w:val="16"/>
        </w:rPr>
        <w:t xml:space="preserve">op. cit., </w:t>
      </w:r>
      <w:r w:rsidRPr="00845302">
        <w:rPr>
          <w:rFonts w:ascii="Times New Roman" w:hAnsi="Times New Roman"/>
          <w:sz w:val="16"/>
          <w:szCs w:val="16"/>
        </w:rPr>
        <w:t>p. 204-5.</w:t>
      </w:r>
    </w:p>
  </w:footnote>
  <w:footnote w:id="140">
    <w:p w14:paraId="2BBE463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Optei por apresentar o primeiro e sexto artigo e o primeiro e sexto “considerando”. Para um texto completo da declaração, ver André N. Mandelstan, </w:t>
      </w:r>
      <w:r w:rsidRPr="00845302">
        <w:rPr>
          <w:rFonts w:ascii="Times New Roman" w:hAnsi="Times New Roman"/>
          <w:i/>
          <w:sz w:val="16"/>
          <w:szCs w:val="16"/>
        </w:rPr>
        <w:t xml:space="preserve">op. cit., </w:t>
      </w:r>
      <w:r w:rsidRPr="00845302">
        <w:rPr>
          <w:rFonts w:ascii="Times New Roman" w:hAnsi="Times New Roman"/>
          <w:sz w:val="16"/>
          <w:szCs w:val="16"/>
        </w:rPr>
        <w:t>p. 204-5.</w:t>
      </w:r>
    </w:p>
  </w:footnote>
  <w:footnote w:id="141">
    <w:p w14:paraId="3D99516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Lala Oppenheim, </w:t>
      </w:r>
      <w:r w:rsidRPr="00845302">
        <w:rPr>
          <w:rFonts w:ascii="Times New Roman" w:hAnsi="Times New Roman"/>
          <w:i/>
          <w:sz w:val="16"/>
          <w:szCs w:val="16"/>
        </w:rPr>
        <w:t xml:space="preserve">International Law. </w:t>
      </w:r>
      <w:r w:rsidRPr="00845302">
        <w:rPr>
          <w:rFonts w:ascii="Times New Roman" w:hAnsi="Times New Roman"/>
          <w:sz w:val="16"/>
          <w:szCs w:val="16"/>
        </w:rPr>
        <w:t>Henry: Lauterpacht edition,1955, p. 640-1.</w:t>
      </w:r>
    </w:p>
  </w:footnote>
  <w:footnote w:id="142">
    <w:p w14:paraId="3DD49B95"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p. 450.</w:t>
      </w:r>
    </w:p>
  </w:footnote>
  <w:footnote w:id="143">
    <w:p w14:paraId="206181B1"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um histórico da subcomissão: John Humphrey. “The Sub-Comission on the Prevention of Discrimination and the Protection of Minorities”. </w:t>
      </w:r>
      <w:r w:rsidRPr="00845302">
        <w:rPr>
          <w:rFonts w:ascii="Times New Roman" w:hAnsi="Times New Roman"/>
          <w:i/>
          <w:sz w:val="16"/>
          <w:szCs w:val="16"/>
        </w:rPr>
        <w:t>American Journal of International Law</w:t>
      </w:r>
      <w:r w:rsidRPr="00845302">
        <w:rPr>
          <w:rFonts w:ascii="Times New Roman" w:hAnsi="Times New Roman"/>
          <w:sz w:val="16"/>
          <w:szCs w:val="16"/>
        </w:rPr>
        <w:t>, vol. 62, 1968, pp. 869-900.</w:t>
      </w:r>
      <w:r w:rsidRPr="00845302">
        <w:rPr>
          <w:rFonts w:ascii="Times New Roman" w:hAnsi="Times New Roman"/>
          <w:i/>
          <w:sz w:val="16"/>
          <w:szCs w:val="16"/>
        </w:rPr>
        <w:t xml:space="preserve"> </w:t>
      </w:r>
    </w:p>
  </w:footnote>
  <w:footnote w:id="144">
    <w:p w14:paraId="57B91F9E"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bookmarkStart w:id="5" w:name="_Hlk492287670"/>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p. 455</w:t>
      </w:r>
      <w:bookmarkEnd w:id="5"/>
      <w:r w:rsidRPr="00845302">
        <w:rPr>
          <w:rFonts w:ascii="Times New Roman" w:hAnsi="Times New Roman"/>
          <w:sz w:val="16"/>
          <w:szCs w:val="16"/>
        </w:rPr>
        <w:t>.</w:t>
      </w:r>
    </w:p>
  </w:footnote>
  <w:footnote w:id="145">
    <w:p w14:paraId="73FED2B4"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 xml:space="preserve">p. 456. Para informações mais detalhadas, consulte Georges Kaeckenbeek. </w:t>
      </w:r>
      <w:r w:rsidRPr="00845302">
        <w:rPr>
          <w:rFonts w:ascii="Times New Roman" w:hAnsi="Times New Roman"/>
          <w:i/>
          <w:sz w:val="16"/>
          <w:szCs w:val="16"/>
        </w:rPr>
        <w:t xml:space="preserve">The International Experiment of Upper Silesia. </w:t>
      </w:r>
      <w:r w:rsidRPr="00845302">
        <w:rPr>
          <w:rFonts w:ascii="Times New Roman" w:hAnsi="Times New Roman"/>
          <w:sz w:val="16"/>
          <w:szCs w:val="16"/>
        </w:rPr>
        <w:t>London: Oxford University Press, 1942. Georges Kaeckenbeek foi o presidente do Tribunal Arbitral da Alta Silesia de 1922 a 1937. O tribunal participou desse procedimento.</w:t>
      </w:r>
    </w:p>
  </w:footnote>
  <w:footnote w:id="146">
    <w:p w14:paraId="11E62939" w14:textId="77777777" w:rsidR="009D7E8B" w:rsidRPr="00845302" w:rsidRDefault="009D7E8B" w:rsidP="003D7DAB">
      <w:pPr>
        <w:pStyle w:val="Textodenotaderodap"/>
        <w:spacing w:before="240"/>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 xml:space="preserve">p. 457. Para mais informações a respeito dessa sessão, consulte </w:t>
      </w:r>
      <w:r w:rsidRPr="00845302">
        <w:rPr>
          <w:rFonts w:ascii="Times New Roman" w:hAnsi="Times New Roman"/>
          <w:i/>
          <w:sz w:val="16"/>
          <w:szCs w:val="16"/>
        </w:rPr>
        <w:t>Official Journal of the League of Nations</w:t>
      </w:r>
      <w:r w:rsidRPr="00845302">
        <w:rPr>
          <w:rFonts w:ascii="Times New Roman" w:hAnsi="Times New Roman"/>
          <w:sz w:val="16"/>
          <w:szCs w:val="16"/>
        </w:rPr>
        <w:t xml:space="preserve"> (Special Supplement nº 115). </w:t>
      </w:r>
    </w:p>
  </w:footnote>
  <w:footnote w:id="147">
    <w:p w14:paraId="45C81D7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pp. 457-8.</w:t>
      </w:r>
    </w:p>
  </w:footnote>
  <w:footnote w:id="148">
    <w:p w14:paraId="29201D94"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Herman Burgers, </w:t>
      </w:r>
      <w:r w:rsidRPr="00845302">
        <w:rPr>
          <w:rFonts w:ascii="Times New Roman" w:hAnsi="Times New Roman"/>
          <w:i/>
          <w:sz w:val="16"/>
          <w:szCs w:val="16"/>
        </w:rPr>
        <w:t xml:space="preserve">op. cit, </w:t>
      </w:r>
      <w:r w:rsidRPr="00845302">
        <w:rPr>
          <w:rFonts w:ascii="Times New Roman" w:hAnsi="Times New Roman"/>
          <w:sz w:val="16"/>
          <w:szCs w:val="16"/>
        </w:rPr>
        <w:t>pp. 458-9.</w:t>
      </w:r>
    </w:p>
  </w:footnote>
  <w:footnote w:id="149">
    <w:p w14:paraId="501B701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Jurgen Osterhammel </w:t>
      </w:r>
      <w:r w:rsidRPr="00845302">
        <w:rPr>
          <w:rFonts w:ascii="Times New Roman" w:hAnsi="Times New Roman"/>
          <w:i/>
          <w:sz w:val="16"/>
          <w:szCs w:val="16"/>
        </w:rPr>
        <w:t xml:space="preserve">The tranformation of the world </w:t>
      </w:r>
      <w:r w:rsidRPr="00845302">
        <w:rPr>
          <w:rFonts w:ascii="Times New Roman" w:hAnsi="Times New Roman"/>
          <w:sz w:val="16"/>
          <w:szCs w:val="16"/>
        </w:rPr>
        <w:t>A Global history of the nineteenth century tradução de Patrick Camiller Princeton: Princeton University Press, 2014 {2009}</w:t>
      </w:r>
    </w:p>
  </w:footnote>
  <w:footnote w:id="150">
    <w:p w14:paraId="47A7D41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Gerard Israel. </w:t>
      </w:r>
      <w:r w:rsidRPr="00845302">
        <w:rPr>
          <w:rFonts w:ascii="Times New Roman" w:hAnsi="Times New Roman"/>
          <w:i/>
          <w:sz w:val="16"/>
          <w:szCs w:val="16"/>
        </w:rPr>
        <w:t xml:space="preserve">René Cassin e os Direitos Humanos. </w:t>
      </w:r>
      <w:r w:rsidRPr="00845302">
        <w:rPr>
          <w:rFonts w:ascii="Times New Roman" w:hAnsi="Times New Roman"/>
          <w:sz w:val="16"/>
          <w:szCs w:val="16"/>
        </w:rPr>
        <w:t>São Paulo: EDUSP, 2010 [2007], p. 54.</w:t>
      </w:r>
    </w:p>
  </w:footnote>
  <w:footnote w:id="151">
    <w:p w14:paraId="0C81010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Cícero e Laura Constância Sandroni. </w:t>
      </w:r>
      <w:r w:rsidRPr="00845302">
        <w:rPr>
          <w:rFonts w:ascii="Times New Roman" w:hAnsi="Times New Roman"/>
          <w:i/>
          <w:sz w:val="16"/>
          <w:szCs w:val="16"/>
        </w:rPr>
        <w:t xml:space="preserve">Austrgésilo de Atahyde: O século de um liberal. </w:t>
      </w:r>
      <w:r w:rsidRPr="00845302">
        <w:rPr>
          <w:rFonts w:ascii="Times New Roman" w:hAnsi="Times New Roman"/>
          <w:sz w:val="16"/>
          <w:szCs w:val="16"/>
        </w:rPr>
        <w:t>Rio de Janeiro: Agir, 1988, p. 471.</w:t>
      </w:r>
    </w:p>
  </w:footnote>
  <w:footnote w:id="152">
    <w:p w14:paraId="4C112EA0"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op.cit, </w:t>
      </w:r>
      <w:r w:rsidRPr="00845302">
        <w:rPr>
          <w:rFonts w:ascii="Times New Roman" w:hAnsi="Times New Roman"/>
          <w:sz w:val="16"/>
          <w:szCs w:val="16"/>
        </w:rPr>
        <w:t>p. 7.</w:t>
      </w:r>
    </w:p>
  </w:footnote>
  <w:footnote w:id="153">
    <w:p w14:paraId="4A369C19"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w:t>
      </w:r>
      <w:r w:rsidRPr="00845302">
        <w:rPr>
          <w:rFonts w:ascii="Times New Roman" w:hAnsi="Times New Roman"/>
          <w:i/>
          <w:sz w:val="16"/>
          <w:szCs w:val="16"/>
        </w:rPr>
        <w:t xml:space="preserve">op.cit, </w:t>
      </w:r>
      <w:r w:rsidRPr="00845302">
        <w:rPr>
          <w:rFonts w:ascii="Times New Roman" w:hAnsi="Times New Roman"/>
          <w:sz w:val="16"/>
          <w:szCs w:val="16"/>
        </w:rPr>
        <w:t>pp. 6-8.</w:t>
      </w:r>
    </w:p>
  </w:footnote>
  <w:footnote w:id="154">
    <w:p w14:paraId="2C0F3B1B"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rFonts w:ascii="Times New Roman" w:hAnsi="Times New Roman"/>
          <w:sz w:val="16"/>
          <w:szCs w:val="16"/>
        </w:rPr>
        <w:t xml:space="preserve">Immanuel Kant. </w:t>
      </w:r>
      <w:r w:rsidRPr="00845302">
        <w:rPr>
          <w:rFonts w:ascii="Times New Roman" w:hAnsi="Times New Roman"/>
          <w:i/>
          <w:sz w:val="16"/>
          <w:szCs w:val="16"/>
        </w:rPr>
        <w:t xml:space="preserve">A Paz Perpétua e outros opúsculos, </w:t>
      </w:r>
      <w:r w:rsidRPr="00845302">
        <w:rPr>
          <w:rFonts w:ascii="Times New Roman" w:hAnsi="Times New Roman"/>
          <w:sz w:val="16"/>
          <w:szCs w:val="16"/>
        </w:rPr>
        <w:t>tradução de Artur Morão. Lisboa: Edições 70, 1995, p.137.</w:t>
      </w:r>
    </w:p>
  </w:footnote>
  <w:footnote w:id="155">
    <w:p w14:paraId="5F5B5459"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Immanuel Kant, </w:t>
      </w:r>
      <w:r w:rsidRPr="00845302">
        <w:rPr>
          <w:rFonts w:ascii="Times New Roman" w:hAnsi="Times New Roman"/>
          <w:i/>
          <w:sz w:val="16"/>
          <w:szCs w:val="16"/>
        </w:rPr>
        <w:t>op. cit.,</w:t>
      </w:r>
      <w:r w:rsidRPr="00845302">
        <w:rPr>
          <w:rFonts w:ascii="Times New Roman" w:hAnsi="Times New Roman"/>
          <w:sz w:val="16"/>
          <w:szCs w:val="16"/>
        </w:rPr>
        <w:t xml:space="preserve"> p. 140.</w:t>
      </w:r>
    </w:p>
  </w:footnote>
  <w:footnote w:id="156">
    <w:p w14:paraId="4DBFB67E" w14:textId="1F3DE8B9"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René Cassin. </w:t>
      </w:r>
      <w:r w:rsidRPr="00845302">
        <w:rPr>
          <w:rFonts w:ascii="Times New Roman" w:hAnsi="Times New Roman"/>
          <w:i/>
          <w:sz w:val="16"/>
          <w:szCs w:val="16"/>
        </w:rPr>
        <w:t xml:space="preserve">La Declaration Universelle et la </w:t>
      </w:r>
      <w:r>
        <w:rPr>
          <w:rFonts w:ascii="Times New Roman" w:hAnsi="Times New Roman"/>
          <w:i/>
          <w:sz w:val="16"/>
          <w:szCs w:val="16"/>
        </w:rPr>
        <w:t>mise em oeuvre des droit´s de l’</w:t>
      </w:r>
      <w:r w:rsidRPr="00845302">
        <w:rPr>
          <w:rFonts w:ascii="Times New Roman" w:hAnsi="Times New Roman"/>
          <w:i/>
          <w:sz w:val="16"/>
          <w:szCs w:val="16"/>
        </w:rPr>
        <w:t xml:space="preserve">homme. </w:t>
      </w:r>
      <w:r w:rsidRPr="00845302">
        <w:rPr>
          <w:rFonts w:ascii="Times New Roman" w:hAnsi="Times New Roman"/>
          <w:sz w:val="16"/>
          <w:szCs w:val="16"/>
        </w:rPr>
        <w:t xml:space="preserve">RCADI, Tome. 79 (II), 1951 pp. 239-367; p. 243. </w:t>
      </w:r>
    </w:p>
  </w:footnote>
  <w:footnote w:id="157">
    <w:p w14:paraId="4EC8E9A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Veja nesse sentido: Gérard Israel, </w:t>
      </w:r>
      <w:r w:rsidRPr="00845302">
        <w:rPr>
          <w:rFonts w:ascii="Times New Roman" w:hAnsi="Times New Roman"/>
          <w:i/>
          <w:sz w:val="16"/>
          <w:szCs w:val="16"/>
        </w:rPr>
        <w:t xml:space="preserve">René Cassin e os Direitos Humanos, </w:t>
      </w:r>
      <w:r w:rsidRPr="00845302">
        <w:rPr>
          <w:rFonts w:ascii="Times New Roman" w:hAnsi="Times New Roman"/>
          <w:sz w:val="16"/>
          <w:szCs w:val="16"/>
        </w:rPr>
        <w:t>tradução Renata Nagamine e Laurent de Saes. São Paulo: EDUSP, 2010 [2007], pp. 161-3.</w:t>
      </w:r>
    </w:p>
  </w:footnote>
  <w:footnote w:id="158">
    <w:p w14:paraId="0CB85209"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Glenda Sluga. </w:t>
      </w:r>
      <w:r w:rsidRPr="00845302">
        <w:rPr>
          <w:rFonts w:ascii="Times New Roman" w:hAnsi="Times New Roman"/>
          <w:i/>
          <w:sz w:val="16"/>
          <w:szCs w:val="16"/>
        </w:rPr>
        <w:t xml:space="preserve">René Cassin: Les Droits de l´homme and the Universality of Human Rights, 1945-1966. </w:t>
      </w:r>
      <w:r w:rsidRPr="00845302">
        <w:rPr>
          <w:rFonts w:ascii="Times New Roman" w:hAnsi="Times New Roman"/>
          <w:sz w:val="16"/>
          <w:szCs w:val="16"/>
        </w:rPr>
        <w:t xml:space="preserve">In: Stefan-Ludwig Hoffmann (editor)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New York: Cambridge University Press, 2011, pp. 107-24; p. 124.</w:t>
      </w:r>
    </w:p>
  </w:footnote>
  <w:footnote w:id="159">
    <w:p w14:paraId="162FD6C0"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Jurgen Habermas. </w:t>
      </w:r>
      <w:r w:rsidRPr="00845302">
        <w:rPr>
          <w:rFonts w:ascii="Times New Roman" w:hAnsi="Times New Roman"/>
          <w:i/>
          <w:sz w:val="16"/>
          <w:szCs w:val="16"/>
        </w:rPr>
        <w:t xml:space="preserve">La Paix Perpétuelle </w:t>
      </w:r>
      <w:r w:rsidRPr="00845302">
        <w:rPr>
          <w:rFonts w:ascii="Times New Roman" w:hAnsi="Times New Roman"/>
          <w:sz w:val="16"/>
          <w:szCs w:val="16"/>
        </w:rPr>
        <w:t>Le bicentenaire d’une idée kantienne, tradução Rainer Rochlitz. Paris: Les Éditions du Cerf, 1996, p. 86.</w:t>
      </w:r>
    </w:p>
  </w:footnote>
  <w:footnote w:id="160">
    <w:p w14:paraId="444E2F0F"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Jurgen Habermas, </w:t>
      </w:r>
      <w:r w:rsidRPr="00845302">
        <w:rPr>
          <w:rFonts w:ascii="Times New Roman" w:hAnsi="Times New Roman"/>
          <w:i/>
          <w:sz w:val="16"/>
          <w:szCs w:val="16"/>
        </w:rPr>
        <w:t xml:space="preserve">op.cit., </w:t>
      </w:r>
      <w:r w:rsidRPr="00845302">
        <w:rPr>
          <w:rFonts w:ascii="Times New Roman" w:hAnsi="Times New Roman"/>
          <w:sz w:val="16"/>
          <w:szCs w:val="16"/>
        </w:rPr>
        <w:t>p. 54</w:t>
      </w:r>
    </w:p>
  </w:footnote>
  <w:footnote w:id="161">
    <w:p w14:paraId="06702BD8" w14:textId="2EB6DE53" w:rsidR="009D7E8B" w:rsidRPr="00845302" w:rsidRDefault="009D7E8B" w:rsidP="003D7DAB">
      <w:pPr>
        <w:autoSpaceDE w:val="0"/>
        <w:autoSpaceDN w:val="0"/>
        <w:adjustRightInd w:val="0"/>
        <w:spacing w:after="0" w:line="240" w:lineRule="auto"/>
        <w:contextualSpacing/>
        <w:rPr>
          <w:rFonts w:ascii="Times New Roman" w:eastAsiaTheme="minorHAnsi" w:hAnsi="Times New Roman"/>
          <w:color w:val="000000"/>
          <w:sz w:val="16"/>
          <w:szCs w:val="16"/>
        </w:rPr>
      </w:pPr>
      <w:r w:rsidRPr="00845302">
        <w:rPr>
          <w:rStyle w:val="Refdenotaderodap"/>
          <w:sz w:val="16"/>
          <w:szCs w:val="16"/>
        </w:rPr>
        <w:footnoteRef/>
      </w:r>
      <w:r w:rsidRPr="00845302">
        <w:rPr>
          <w:sz w:val="16"/>
          <w:szCs w:val="16"/>
        </w:rPr>
        <w:t xml:space="preserve"> </w:t>
      </w:r>
      <w:r w:rsidRPr="00845302">
        <w:rPr>
          <w:rFonts w:ascii="Times New Roman" w:eastAsiaTheme="minorHAnsi" w:hAnsi="Times New Roman"/>
          <w:color w:val="000000"/>
          <w:sz w:val="16"/>
          <w:szCs w:val="16"/>
        </w:rPr>
        <w:t xml:space="preserve">Jens David Ohlin “Is the Concept of the Person Necessary for Human Rights?”  (2005). </w:t>
      </w:r>
      <w:r w:rsidRPr="00845302">
        <w:rPr>
          <w:rFonts w:ascii="Times New Roman" w:eastAsiaTheme="minorHAnsi" w:hAnsi="Times New Roman"/>
          <w:i/>
          <w:iCs/>
          <w:color w:val="000000"/>
          <w:sz w:val="16"/>
          <w:szCs w:val="16"/>
        </w:rPr>
        <w:t>Cornell Law Faculty Publications</w:t>
      </w:r>
      <w:r w:rsidRPr="00845302">
        <w:rPr>
          <w:rFonts w:ascii="Times New Roman" w:eastAsiaTheme="minorHAnsi" w:hAnsi="Times New Roman"/>
          <w:iCs/>
          <w:color w:val="000000"/>
          <w:sz w:val="16"/>
          <w:szCs w:val="16"/>
        </w:rPr>
        <w:t xml:space="preserve">, </w:t>
      </w:r>
      <w:r w:rsidRPr="00845302">
        <w:rPr>
          <w:rFonts w:ascii="Times New Roman" w:eastAsiaTheme="minorHAnsi" w:hAnsi="Times New Roman"/>
          <w:i/>
          <w:iCs/>
          <w:color w:val="000000"/>
          <w:sz w:val="16"/>
          <w:szCs w:val="16"/>
        </w:rPr>
        <w:t xml:space="preserve"> </w:t>
      </w:r>
      <w:r w:rsidRPr="00845302">
        <w:rPr>
          <w:rFonts w:ascii="Times New Roman" w:eastAsiaTheme="minorHAnsi" w:hAnsi="Times New Roman"/>
          <w:iCs/>
          <w:color w:val="000000"/>
          <w:sz w:val="16"/>
          <w:szCs w:val="16"/>
        </w:rPr>
        <w:t>p</w:t>
      </w:r>
      <w:r w:rsidRPr="00845302">
        <w:rPr>
          <w:rFonts w:ascii="Times New Roman" w:eastAsiaTheme="minorHAnsi" w:hAnsi="Times New Roman"/>
          <w:color w:val="000000"/>
          <w:sz w:val="16"/>
          <w:szCs w:val="16"/>
        </w:rPr>
        <w:t>aper 434. &lt;</w:t>
      </w:r>
      <w:r w:rsidRPr="00845302">
        <w:rPr>
          <w:rFonts w:ascii="Times New Roman" w:eastAsiaTheme="minorHAnsi" w:hAnsi="Times New Roman"/>
          <w:color w:val="316192"/>
          <w:sz w:val="16"/>
          <w:szCs w:val="16"/>
        </w:rPr>
        <w:t xml:space="preserve">http://scholarship.law.cornell.edu/facpub/434&gt; p. 22-6. </w:t>
      </w:r>
      <w:r w:rsidRPr="00845302">
        <w:rPr>
          <w:rFonts w:ascii="Times New Roman" w:hAnsi="Times New Roman"/>
          <w:sz w:val="16"/>
          <w:szCs w:val="16"/>
        </w:rPr>
        <w:t>Acesso em 18 set. 2017.</w:t>
      </w:r>
    </w:p>
  </w:footnote>
  <w:footnote w:id="162">
    <w:p w14:paraId="184EA55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Rainer Forst. </w:t>
      </w:r>
      <w:r w:rsidRPr="00845302">
        <w:rPr>
          <w:rFonts w:ascii="Times New Roman" w:hAnsi="Times New Roman"/>
          <w:i/>
          <w:sz w:val="16"/>
          <w:szCs w:val="16"/>
        </w:rPr>
        <w:t xml:space="preserve">Os Contextos da Justiça </w:t>
      </w:r>
      <w:r w:rsidRPr="00845302">
        <w:rPr>
          <w:rFonts w:ascii="Times New Roman" w:hAnsi="Times New Roman"/>
          <w:sz w:val="16"/>
          <w:szCs w:val="16"/>
        </w:rPr>
        <w:t>Filosofia política para além do liberalismo e comunitarismo</w:t>
      </w:r>
      <w:r w:rsidRPr="00845302">
        <w:rPr>
          <w:rFonts w:ascii="Times New Roman" w:hAnsi="Times New Roman"/>
          <w:i/>
          <w:sz w:val="16"/>
          <w:szCs w:val="16"/>
        </w:rPr>
        <w:t xml:space="preserve">, </w:t>
      </w:r>
      <w:r w:rsidRPr="00845302">
        <w:rPr>
          <w:rFonts w:ascii="Times New Roman" w:hAnsi="Times New Roman"/>
          <w:sz w:val="16"/>
          <w:szCs w:val="16"/>
        </w:rPr>
        <w:t>tradução Denilson Luis Werle. São Paulo: Editora Boitempo, 2010 {1994}, p. 341.</w:t>
      </w:r>
    </w:p>
  </w:footnote>
  <w:footnote w:id="163">
    <w:p w14:paraId="1C2979A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Entre eles, Ralph Bunche, ganhador do Nobel da Paz em 1950. Para um aprofundamento dessa questão, veja Paul Gordon Lauren, </w:t>
      </w:r>
      <w:r w:rsidRPr="00845302">
        <w:rPr>
          <w:rFonts w:ascii="Times New Roman" w:hAnsi="Times New Roman"/>
          <w:i/>
          <w:sz w:val="16"/>
          <w:szCs w:val="16"/>
        </w:rPr>
        <w:t xml:space="preserve">The Evolution of International Human Rights </w:t>
      </w:r>
      <w:r w:rsidRPr="00845302">
        <w:rPr>
          <w:rFonts w:ascii="Times New Roman" w:hAnsi="Times New Roman"/>
          <w:sz w:val="16"/>
          <w:szCs w:val="16"/>
        </w:rPr>
        <w:t xml:space="preserve">– </w:t>
      </w:r>
      <w:r w:rsidRPr="00845302">
        <w:rPr>
          <w:rFonts w:ascii="Times New Roman" w:hAnsi="Times New Roman"/>
          <w:i/>
          <w:sz w:val="16"/>
          <w:szCs w:val="16"/>
        </w:rPr>
        <w:t>Visions Seen</w:t>
      </w:r>
      <w:r w:rsidRPr="00845302">
        <w:rPr>
          <w:rFonts w:ascii="Times New Roman" w:hAnsi="Times New Roman"/>
          <w:sz w:val="16"/>
          <w:szCs w:val="16"/>
        </w:rPr>
        <w:t>. Philadelphia: Pennsylvania Studies in Human Rights, 2011, pp. 234-42.</w:t>
      </w:r>
    </w:p>
  </w:footnote>
  <w:footnote w:id="164">
    <w:p w14:paraId="7E2C07D3"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Gordon Lauren, </w:t>
      </w:r>
      <w:r w:rsidRPr="00845302">
        <w:rPr>
          <w:rFonts w:ascii="Times New Roman" w:hAnsi="Times New Roman"/>
          <w:i/>
          <w:sz w:val="16"/>
          <w:szCs w:val="16"/>
        </w:rPr>
        <w:t xml:space="preserve">op. cit., </w:t>
      </w:r>
      <w:r w:rsidRPr="00845302">
        <w:rPr>
          <w:rFonts w:ascii="Times New Roman" w:hAnsi="Times New Roman"/>
          <w:sz w:val="16"/>
          <w:szCs w:val="16"/>
        </w:rPr>
        <w:t>p. 238.</w:t>
      </w:r>
    </w:p>
  </w:footnote>
  <w:footnote w:id="165">
    <w:p w14:paraId="7A3530E5"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Gordon Lauren, </w:t>
      </w:r>
      <w:r w:rsidRPr="00845302">
        <w:rPr>
          <w:rFonts w:ascii="Times New Roman" w:hAnsi="Times New Roman"/>
          <w:i/>
          <w:sz w:val="16"/>
          <w:szCs w:val="16"/>
        </w:rPr>
        <w:t xml:space="preserve">op. cit., </w:t>
      </w:r>
      <w:r w:rsidRPr="00845302">
        <w:rPr>
          <w:rFonts w:ascii="Times New Roman" w:hAnsi="Times New Roman"/>
          <w:sz w:val="16"/>
          <w:szCs w:val="16"/>
        </w:rPr>
        <w:t>p. 231.</w:t>
      </w:r>
    </w:p>
  </w:footnote>
  <w:footnote w:id="166">
    <w:p w14:paraId="65A1BC2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Hans Joas, </w:t>
      </w:r>
      <w:r w:rsidRPr="00845302">
        <w:rPr>
          <w:rFonts w:ascii="Times New Roman" w:hAnsi="Times New Roman"/>
          <w:i/>
          <w:sz w:val="16"/>
          <w:szCs w:val="16"/>
        </w:rPr>
        <w:t xml:space="preserve">op. cit, </w:t>
      </w:r>
      <w:r w:rsidRPr="00845302">
        <w:rPr>
          <w:rFonts w:ascii="Times New Roman" w:hAnsi="Times New Roman"/>
          <w:sz w:val="16"/>
          <w:szCs w:val="16"/>
        </w:rPr>
        <w:t xml:space="preserve">p. 259. </w:t>
      </w:r>
    </w:p>
  </w:footnote>
  <w:footnote w:id="167">
    <w:p w14:paraId="08BBDA7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Celso Lafer. “Reflexões sobre o historicismo axiológico em Miguel Reale e os direitos humanos no plano internacional”.</w:t>
      </w:r>
      <w:r w:rsidRPr="00845302">
        <w:rPr>
          <w:rFonts w:ascii="Times New Roman" w:hAnsi="Times New Roman"/>
          <w:i/>
          <w:sz w:val="16"/>
          <w:szCs w:val="16"/>
        </w:rPr>
        <w:t xml:space="preserve"> </w:t>
      </w:r>
      <w:r w:rsidRPr="00845302">
        <w:rPr>
          <w:rFonts w:ascii="Times New Roman" w:hAnsi="Times New Roman"/>
          <w:sz w:val="16"/>
          <w:szCs w:val="16"/>
        </w:rPr>
        <w:t xml:space="preserve">In: </w:t>
      </w:r>
      <w:r w:rsidRPr="00845302">
        <w:rPr>
          <w:rFonts w:ascii="Times New Roman" w:hAnsi="Times New Roman"/>
          <w:i/>
          <w:sz w:val="16"/>
          <w:szCs w:val="16"/>
        </w:rPr>
        <w:t xml:space="preserve">O Pensamento de Miguel Reale – Actas do IV Colóquio Tobias Barreto. </w:t>
      </w:r>
      <w:r w:rsidRPr="00845302">
        <w:rPr>
          <w:rFonts w:ascii="Times New Roman" w:hAnsi="Times New Roman"/>
          <w:sz w:val="16"/>
          <w:szCs w:val="16"/>
        </w:rPr>
        <w:t xml:space="preserve">Instituto de Filosofia Luso-Brasileira: Viana do Castelo, 1998, pp.167-74. </w:t>
      </w:r>
    </w:p>
  </w:footnote>
  <w:footnote w:id="168">
    <w:p w14:paraId="29B9E1B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Samuel Moyn. “Personalism, Community, and the Origins of Human Rights”. In: Stefan-Ludwig Hoffmann (editor)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 xml:space="preserve">Nova York: Cambridge University Press, 2011, pp. 85-106. </w:t>
      </w:r>
    </w:p>
  </w:footnote>
  <w:footnote w:id="169">
    <w:p w14:paraId="5B146645"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Emmaneul Mounier. </w:t>
      </w:r>
      <w:r w:rsidRPr="00845302">
        <w:rPr>
          <w:rFonts w:ascii="Times New Roman" w:hAnsi="Times New Roman"/>
          <w:i/>
          <w:sz w:val="16"/>
          <w:szCs w:val="16"/>
        </w:rPr>
        <w:t xml:space="preserve">Le Personnalisme. </w:t>
      </w:r>
      <w:r w:rsidRPr="00845302">
        <w:rPr>
          <w:rFonts w:ascii="Times New Roman" w:hAnsi="Times New Roman"/>
          <w:sz w:val="16"/>
          <w:szCs w:val="16"/>
        </w:rPr>
        <w:t>Paris: PUF, 1949, coleção “Que sais Je?”, p. 35. &lt;</w:t>
      </w:r>
      <w:hyperlink r:id="rId8" w:history="1">
        <w:r w:rsidRPr="00845302">
          <w:rPr>
            <w:rStyle w:val="Hyperlink"/>
            <w:rFonts w:ascii="Times New Roman" w:hAnsi="Times New Roman"/>
            <w:sz w:val="16"/>
            <w:szCs w:val="16"/>
          </w:rPr>
          <w:t>http://classiques.uqac.ca/classiques/Mounier_Emmanuel/personnalisme/personnalisme.html</w:t>
        </w:r>
      </w:hyperlink>
      <w:r w:rsidRPr="00845302">
        <w:rPr>
          <w:rStyle w:val="Hyperlink"/>
          <w:rFonts w:ascii="Times New Roman" w:hAnsi="Times New Roman"/>
          <w:sz w:val="16"/>
          <w:szCs w:val="16"/>
        </w:rPr>
        <w:t>&gt;.</w:t>
      </w:r>
      <w:r w:rsidRPr="00845302">
        <w:rPr>
          <w:rFonts w:ascii="Times New Roman" w:hAnsi="Times New Roman"/>
          <w:sz w:val="16"/>
          <w:szCs w:val="16"/>
        </w:rPr>
        <w:t xml:space="preserve"> Acesso em 18 set. 2017.</w:t>
      </w:r>
    </w:p>
  </w:footnote>
  <w:footnote w:id="170">
    <w:p w14:paraId="38A4418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Samuel Moyn. “Personalism, Community, and the Origins of Human Rights”. In: Stefan-Ludwig Hoffmann (editor)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Nova York: Cambridge University Press, 2011, pp. 85-106; p. 99.</w:t>
      </w:r>
    </w:p>
  </w:footnote>
  <w:footnote w:id="171">
    <w:p w14:paraId="1072B76E"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Samuel Moyn. Ibidem. </w:t>
      </w:r>
    </w:p>
  </w:footnote>
  <w:footnote w:id="172">
    <w:p w14:paraId="1BF3B33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Carlos Romulo. </w:t>
      </w:r>
      <w:r w:rsidRPr="00845302">
        <w:rPr>
          <w:rFonts w:ascii="Times New Roman" w:hAnsi="Times New Roman"/>
          <w:i/>
          <w:sz w:val="16"/>
          <w:szCs w:val="16"/>
        </w:rPr>
        <w:t xml:space="preserve">Natural Law and International Law. </w:t>
      </w:r>
      <w:r w:rsidRPr="00845302">
        <w:rPr>
          <w:rFonts w:ascii="Times New Roman" w:hAnsi="Times New Roman"/>
          <w:sz w:val="16"/>
          <w:szCs w:val="16"/>
        </w:rPr>
        <w:t>University of Notre Dame Natural Law Institute Proceedings, 3 (1949), 121, 126.</w:t>
      </w:r>
    </w:p>
  </w:footnote>
  <w:footnote w:id="173">
    <w:p w14:paraId="6F2EAD3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Estou tomando como base o texto em inglês do site da ONU: &lt;</w:t>
      </w:r>
      <w:hyperlink r:id="rId9" w:history="1">
        <w:r w:rsidRPr="00845302">
          <w:rPr>
            <w:rStyle w:val="Hyperlink"/>
            <w:rFonts w:ascii="Times New Roman" w:hAnsi="Times New Roman"/>
            <w:sz w:val="16"/>
            <w:szCs w:val="16"/>
          </w:rPr>
          <w:t>www.un.org</w:t>
        </w:r>
      </w:hyperlink>
      <w:r w:rsidRPr="00845302">
        <w:rPr>
          <w:rStyle w:val="Hyperlink"/>
          <w:rFonts w:ascii="Times New Roman" w:hAnsi="Times New Roman"/>
          <w:sz w:val="16"/>
          <w:szCs w:val="16"/>
        </w:rPr>
        <w:t>&gt;.</w:t>
      </w:r>
      <w:r w:rsidRPr="00845302">
        <w:rPr>
          <w:rFonts w:ascii="Times New Roman" w:hAnsi="Times New Roman"/>
          <w:sz w:val="16"/>
          <w:szCs w:val="16"/>
        </w:rPr>
        <w:t xml:space="preserve"> Acesso em: 7 set. 2017. </w:t>
      </w:r>
    </w:p>
  </w:footnote>
  <w:footnote w:id="174">
    <w:p w14:paraId="6CB87404"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Juan Antonio Carrillo Salcedo. </w:t>
      </w:r>
      <w:r w:rsidRPr="00845302">
        <w:rPr>
          <w:rFonts w:ascii="Times New Roman" w:hAnsi="Times New Roman"/>
          <w:i/>
          <w:sz w:val="16"/>
          <w:szCs w:val="16"/>
        </w:rPr>
        <w:t xml:space="preserve">Soberanía de los estados y derechos humanos em derecho internacional contemporâneo. </w:t>
      </w:r>
      <w:r w:rsidRPr="00845302">
        <w:rPr>
          <w:rFonts w:ascii="Times New Roman" w:hAnsi="Times New Roman"/>
          <w:sz w:val="16"/>
          <w:szCs w:val="16"/>
        </w:rPr>
        <w:t>Madri: Tecnos, 2001, p. 55.</w:t>
      </w:r>
      <w:r w:rsidRPr="00845302">
        <w:rPr>
          <w:rFonts w:ascii="Times New Roman" w:hAnsi="Times New Roman"/>
          <w:i/>
          <w:sz w:val="16"/>
          <w:szCs w:val="16"/>
        </w:rPr>
        <w:t xml:space="preserve"> </w:t>
      </w:r>
    </w:p>
  </w:footnote>
  <w:footnote w:id="175">
    <w:p w14:paraId="7B47B7A8"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Nesse sentido o clássico texto de Rudolf Otto (1869-1937), </w:t>
      </w:r>
      <w:r w:rsidRPr="00845302">
        <w:rPr>
          <w:rFonts w:ascii="Times New Roman" w:hAnsi="Times New Roman"/>
          <w:i/>
          <w:sz w:val="16"/>
          <w:szCs w:val="16"/>
        </w:rPr>
        <w:t xml:space="preserve">O Sagrado </w:t>
      </w:r>
      <w:r w:rsidRPr="00845302">
        <w:rPr>
          <w:rFonts w:ascii="Times New Roman" w:hAnsi="Times New Roman"/>
          <w:sz w:val="16"/>
          <w:szCs w:val="16"/>
        </w:rPr>
        <w:t>(1917).</w:t>
      </w:r>
      <w:r w:rsidRPr="00845302">
        <w:rPr>
          <w:rFonts w:ascii="Times New Roman" w:hAnsi="Times New Roman"/>
          <w:i/>
          <w:sz w:val="16"/>
          <w:szCs w:val="16"/>
        </w:rPr>
        <w:t xml:space="preserve"> </w:t>
      </w:r>
    </w:p>
  </w:footnote>
  <w:footnote w:id="176">
    <w:p w14:paraId="095DB221"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A discussão a respeito do “direito dos animais” propõe a existência de pessoas não humanas.</w:t>
      </w:r>
    </w:p>
  </w:footnote>
  <w:footnote w:id="177">
    <w:p w14:paraId="6A874678" w14:textId="7D462D54"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Jurgen Habermas </w:t>
      </w:r>
      <w:r w:rsidRPr="00845302">
        <w:rPr>
          <w:rFonts w:ascii="Times New Roman" w:hAnsi="Times New Roman"/>
          <w:i/>
          <w:sz w:val="16"/>
          <w:szCs w:val="16"/>
        </w:rPr>
        <w:t xml:space="preserve">O Conceito de dignidade humana e a utopia realista dos direitos humanos </w:t>
      </w:r>
      <w:r w:rsidRPr="00845302">
        <w:rPr>
          <w:rFonts w:ascii="Times New Roman" w:hAnsi="Times New Roman"/>
          <w:sz w:val="16"/>
          <w:szCs w:val="16"/>
        </w:rPr>
        <w:t xml:space="preserve">em </w:t>
      </w:r>
      <w:r w:rsidRPr="00845302">
        <w:rPr>
          <w:rFonts w:ascii="Times New Roman" w:hAnsi="Times New Roman"/>
          <w:i/>
          <w:sz w:val="16"/>
          <w:szCs w:val="16"/>
        </w:rPr>
        <w:t xml:space="preserve">Sobre a Constituição da Europa: </w:t>
      </w:r>
      <w:r w:rsidRPr="00845302">
        <w:rPr>
          <w:rFonts w:ascii="Times New Roman" w:hAnsi="Times New Roman"/>
          <w:sz w:val="16"/>
          <w:szCs w:val="16"/>
        </w:rPr>
        <w:t xml:space="preserve">Um ensaio São Paulo: Editora Unesp, 2012 [2011], tradução de Denilson Luis Werle, Luiz Repa e Rúrion Melo pp. 7-37; pp 36-7. </w:t>
      </w:r>
    </w:p>
  </w:footnote>
  <w:footnote w:id="178">
    <w:p w14:paraId="62A7696B"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w:t>
      </w:r>
      <w:r w:rsidRPr="00845302">
        <w:rPr>
          <w:rFonts w:ascii="Times New Roman" w:hAnsi="Times New Roman"/>
          <w:i/>
          <w:sz w:val="16"/>
          <w:szCs w:val="16"/>
        </w:rPr>
        <w:t>Origens do totalitarismo – Antissemitismo, imperialismo, totalitarismo</w:t>
      </w:r>
      <w:r w:rsidRPr="00845302">
        <w:rPr>
          <w:rFonts w:ascii="Times New Roman" w:hAnsi="Times New Roman"/>
          <w:sz w:val="16"/>
          <w:szCs w:val="16"/>
        </w:rPr>
        <w:t>, tradução de Roberto Raposo. São Paulo: Companhia das Letras,1989 [1949], p. 329.</w:t>
      </w:r>
    </w:p>
  </w:footnote>
  <w:footnote w:id="179">
    <w:p w14:paraId="4B84296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Johannes Morsink. </w:t>
      </w:r>
      <w:r w:rsidRPr="00845302">
        <w:rPr>
          <w:rFonts w:ascii="Times New Roman" w:hAnsi="Times New Roman"/>
          <w:i/>
          <w:sz w:val="16"/>
          <w:szCs w:val="16"/>
        </w:rPr>
        <w:t xml:space="preserve">The Universal Declaration of Human Rights: Origins, Drafting and Intent. </w:t>
      </w:r>
      <w:r w:rsidRPr="00845302">
        <w:rPr>
          <w:rFonts w:ascii="Times New Roman" w:hAnsi="Times New Roman"/>
          <w:sz w:val="16"/>
          <w:szCs w:val="16"/>
        </w:rPr>
        <w:t>Philadelphia: Pennsylvania Studies in Human Rights, 1999, p. 45. Observo que o caso relatado foi apresentado durante as discussões da elaboração do artigo VI.</w:t>
      </w:r>
    </w:p>
  </w:footnote>
  <w:footnote w:id="180">
    <w:p w14:paraId="28362898" w14:textId="47F3A87C"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Juan Antonio Carrillo Salcedo </w:t>
      </w:r>
      <w:r w:rsidRPr="00845302">
        <w:rPr>
          <w:rFonts w:ascii="Times New Roman" w:hAnsi="Times New Roman"/>
          <w:i/>
          <w:sz w:val="16"/>
          <w:szCs w:val="16"/>
        </w:rPr>
        <w:t xml:space="preserve">Derechos Humanos y Derecho Internacional </w:t>
      </w:r>
      <w:r w:rsidRPr="00845302">
        <w:rPr>
          <w:rFonts w:ascii="Times New Roman" w:hAnsi="Times New Roman"/>
          <w:sz w:val="16"/>
          <w:szCs w:val="16"/>
        </w:rPr>
        <w:t>Isegoría / 22 (2000) pp. 69-81; p.73</w:t>
      </w:r>
    </w:p>
  </w:footnote>
  <w:footnote w:id="181">
    <w:p w14:paraId="40C01B92" w14:textId="6DC22CF2"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Hector Gros Espiell </w:t>
      </w:r>
      <w:r w:rsidRPr="00845302">
        <w:rPr>
          <w:rFonts w:ascii="Times New Roman" w:hAnsi="Times New Roman"/>
          <w:i/>
          <w:sz w:val="16"/>
          <w:szCs w:val="16"/>
        </w:rPr>
        <w:t>Derechos Humanos, Derecho Internacional Humanitário e Derecho Internacional de los Refugiados</w:t>
      </w:r>
      <w:r w:rsidRPr="00845302">
        <w:rPr>
          <w:rFonts w:ascii="Times New Roman" w:hAnsi="Times New Roman"/>
          <w:sz w:val="16"/>
          <w:szCs w:val="16"/>
        </w:rPr>
        <w:t xml:space="preserve"> em Études et essais sur le droit international humanitaire et sur les principes de Croix Rouge em l´honneur de Jean Pictet (ed.Christophe Swinarski) Genève, La Haye CICR Nijhoff, 1984 pp. 706-11; p. 708 </w:t>
      </w:r>
    </w:p>
  </w:footnote>
  <w:footnote w:id="182">
    <w:p w14:paraId="24EE8D67" w14:textId="69938711"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Antonio Augusto Cançado Trindade. “Direito Internacional dos Direitos Humanos, Direito Internacional Humanitário, Direito Internacional dos Refugiados </w:t>
      </w:r>
      <w:r w:rsidRPr="00845302">
        <w:rPr>
          <w:rFonts w:ascii="Times New Roman" w:hAnsi="Times New Roman"/>
          <w:i/>
          <w:sz w:val="16"/>
          <w:szCs w:val="16"/>
        </w:rPr>
        <w:t xml:space="preserve">– </w:t>
      </w:r>
      <w:r w:rsidRPr="00845302">
        <w:rPr>
          <w:rFonts w:ascii="Times New Roman" w:hAnsi="Times New Roman"/>
          <w:sz w:val="16"/>
          <w:szCs w:val="16"/>
        </w:rPr>
        <w:t xml:space="preserve">Aproximações ou convergências”. In: </w:t>
      </w:r>
      <w:r w:rsidRPr="00845302">
        <w:rPr>
          <w:rFonts w:ascii="Times New Roman" w:hAnsi="Times New Roman"/>
          <w:i/>
          <w:sz w:val="16"/>
          <w:szCs w:val="16"/>
        </w:rPr>
        <w:t xml:space="preserve">As Três Vertentes da Proteção Internacional dos Direitos da Pessoa Humana – Direitos Humanos, Direito Humanitário, Direito dos Refugiados. </w:t>
      </w:r>
      <w:r w:rsidRPr="00845302">
        <w:rPr>
          <w:rFonts w:ascii="Times New Roman" w:hAnsi="Times New Roman"/>
          <w:sz w:val="16"/>
          <w:szCs w:val="16"/>
        </w:rPr>
        <w:t>San José: IIDH,1996, pp. 29-85; p. 29.</w:t>
      </w:r>
    </w:p>
  </w:footnote>
  <w:footnote w:id="183">
    <w:p w14:paraId="6EB36854" w14:textId="5BB19833"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Cançado Trindade, </w:t>
      </w:r>
      <w:r w:rsidRPr="00845302">
        <w:rPr>
          <w:rFonts w:ascii="Times New Roman" w:hAnsi="Times New Roman"/>
          <w:i/>
          <w:sz w:val="16"/>
          <w:szCs w:val="16"/>
        </w:rPr>
        <w:t xml:space="preserve">op. cit., </w:t>
      </w:r>
      <w:r w:rsidRPr="00845302">
        <w:rPr>
          <w:rFonts w:ascii="Times New Roman" w:hAnsi="Times New Roman"/>
          <w:sz w:val="16"/>
          <w:szCs w:val="16"/>
        </w:rPr>
        <w:t>pp. 31-2.</w:t>
      </w:r>
    </w:p>
  </w:footnote>
  <w:footnote w:id="184">
    <w:p w14:paraId="73B65C64"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Para um texto completo do artigo &lt;</w:t>
      </w:r>
      <w:hyperlink r:id="rId10" w:history="1">
        <w:r w:rsidRPr="00845302">
          <w:rPr>
            <w:rStyle w:val="Hyperlink"/>
            <w:rFonts w:ascii="Times New Roman" w:hAnsi="Times New Roman"/>
            <w:sz w:val="16"/>
            <w:szCs w:val="16"/>
          </w:rPr>
          <w:t>www.icrc.org</w:t>
        </w:r>
      </w:hyperlink>
      <w:r w:rsidRPr="00845302">
        <w:rPr>
          <w:rStyle w:val="Hyperlink"/>
          <w:rFonts w:ascii="Times New Roman" w:hAnsi="Times New Roman"/>
          <w:sz w:val="16"/>
          <w:szCs w:val="16"/>
        </w:rPr>
        <w:t>&gt;.</w:t>
      </w:r>
      <w:r w:rsidRPr="00845302">
        <w:rPr>
          <w:rFonts w:ascii="Times New Roman" w:hAnsi="Times New Roman"/>
          <w:sz w:val="16"/>
          <w:szCs w:val="16"/>
        </w:rPr>
        <w:t xml:space="preserve"> Sérgio Vieira de Mello (1948-2003), em 1999, quando ocupava o posto de secretário de assuntos humanitários da ONU, em palestra apresentada em Brasília, a qual tive a alegria de assistir, afirmou que o respeito aos direitos humanos previstos no artigo 3 comum as quatro Convenções de Genebra deve ser visto como um “divisor de águas” ente civilização e barbárie. </w:t>
      </w:r>
    </w:p>
  </w:footnote>
  <w:footnote w:id="185">
    <w:p w14:paraId="36036E87" w14:textId="2672E27E"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um aprofundamento desse tópico, veja Guilherme Assis de Almeida, </w:t>
      </w:r>
      <w:r w:rsidRPr="00845302">
        <w:rPr>
          <w:rFonts w:ascii="Times New Roman" w:hAnsi="Times New Roman"/>
          <w:i/>
          <w:sz w:val="16"/>
          <w:szCs w:val="16"/>
        </w:rPr>
        <w:t xml:space="preserve">Direitos Humanos e Não Violência. </w:t>
      </w:r>
      <w:r w:rsidRPr="00845302">
        <w:rPr>
          <w:rFonts w:ascii="Times New Roman" w:hAnsi="Times New Roman"/>
          <w:sz w:val="16"/>
          <w:szCs w:val="16"/>
        </w:rPr>
        <w:t>São Paulo: Editora Atlas, 2015, 2ª edição.</w:t>
      </w:r>
    </w:p>
  </w:footnote>
  <w:footnote w:id="186">
    <w:p w14:paraId="3CB3F0CF" w14:textId="2067D564"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bookmarkStart w:id="6" w:name="_Hlk492647686"/>
      <w:r w:rsidRPr="00845302">
        <w:rPr>
          <w:rFonts w:ascii="Times New Roman" w:hAnsi="Times New Roman"/>
          <w:sz w:val="16"/>
          <w:szCs w:val="16"/>
        </w:rPr>
        <w:t xml:space="preserve">François Bugnion. </w:t>
      </w:r>
      <w:bookmarkEnd w:id="6"/>
      <w:r w:rsidRPr="00845302">
        <w:rPr>
          <w:rFonts w:ascii="Times New Roman" w:hAnsi="Times New Roman"/>
          <w:sz w:val="16"/>
          <w:szCs w:val="16"/>
        </w:rPr>
        <w:t xml:space="preserve">“Birth of an idea: the founding of the International Committee of the Red Cross and of the International Red Cross and Red Crescent Movement: from Solferino to the original Geneva Convention (1859-1864)”. In; </w:t>
      </w:r>
      <w:r w:rsidRPr="00845302">
        <w:rPr>
          <w:rFonts w:ascii="Times New Roman" w:hAnsi="Times New Roman"/>
          <w:i/>
          <w:sz w:val="16"/>
          <w:szCs w:val="16"/>
        </w:rPr>
        <w:t xml:space="preserve">Interantional Review of the Red Cross Humanitarian Debate: Law, Policy, Action. </w:t>
      </w:r>
      <w:r w:rsidRPr="00845302">
        <w:rPr>
          <w:rFonts w:ascii="Times New Roman" w:hAnsi="Times New Roman"/>
          <w:sz w:val="16"/>
          <w:szCs w:val="16"/>
        </w:rPr>
        <w:t>vol. 94, nº 888, winter 2012 special number ICRC: 150 Years of Humanitarian Action, pp.1299-338; p. 1301.</w:t>
      </w:r>
    </w:p>
  </w:footnote>
  <w:footnote w:id="187">
    <w:p w14:paraId="5E29FEC7"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pp. 1305-6.</w:t>
      </w:r>
    </w:p>
  </w:footnote>
  <w:footnote w:id="188">
    <w:p w14:paraId="0C20005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Henry Dunant. </w:t>
      </w:r>
      <w:r w:rsidRPr="00845302">
        <w:rPr>
          <w:rFonts w:ascii="Times New Roman" w:hAnsi="Times New Roman"/>
          <w:i/>
          <w:sz w:val="16"/>
          <w:szCs w:val="16"/>
        </w:rPr>
        <w:t xml:space="preserve">Recuerdos de Solferino. </w:t>
      </w:r>
      <w:r w:rsidRPr="00845302">
        <w:rPr>
          <w:rFonts w:ascii="Times New Roman" w:hAnsi="Times New Roman"/>
          <w:sz w:val="16"/>
          <w:szCs w:val="16"/>
        </w:rPr>
        <w:t xml:space="preserve">Genebra: Comitê Internacional da Cruz Vermelha, 1982 [1858], p. 42. </w:t>
      </w:r>
    </w:p>
  </w:footnote>
  <w:footnote w:id="189">
    <w:p w14:paraId="42BAFB74" w14:textId="165FF079"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Gérard Peytrignet. “Sistemas internacionais de proteção da pessoa humana: O Direito Internacional Humanitário”.  In: </w:t>
      </w:r>
      <w:r w:rsidRPr="00845302">
        <w:rPr>
          <w:rFonts w:ascii="Times New Roman" w:hAnsi="Times New Roman"/>
          <w:i/>
          <w:sz w:val="16"/>
          <w:szCs w:val="16"/>
        </w:rPr>
        <w:t xml:space="preserve">As Três Vertentes da Proteção Internacional dos Direitos da Pessoa Humana – Direitos Humanos, Direito Humanitário, Direito dos Refugiados. </w:t>
      </w:r>
      <w:r w:rsidRPr="00845302">
        <w:rPr>
          <w:rFonts w:ascii="Times New Roman" w:hAnsi="Times New Roman"/>
          <w:sz w:val="16"/>
          <w:szCs w:val="16"/>
        </w:rPr>
        <w:t>San José: IIDH,1996 pp. 125-215; pp. 129-30.</w:t>
      </w:r>
    </w:p>
  </w:footnote>
  <w:footnote w:id="190">
    <w:p w14:paraId="1A4D5ACC"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pp. 1308-9.</w:t>
      </w:r>
    </w:p>
  </w:footnote>
  <w:footnote w:id="191">
    <w:p w14:paraId="24A10CC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 1308-9.</w:t>
      </w:r>
    </w:p>
  </w:footnote>
  <w:footnote w:id="192">
    <w:p w14:paraId="51748290"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 1335.</w:t>
      </w:r>
    </w:p>
  </w:footnote>
  <w:footnote w:id="193">
    <w:p w14:paraId="7DC1BEB4"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 1323.</w:t>
      </w:r>
    </w:p>
  </w:footnote>
  <w:footnote w:id="194">
    <w:p w14:paraId="0CBDEAE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 1324.</w:t>
      </w:r>
    </w:p>
  </w:footnote>
  <w:footnote w:id="195">
    <w:p w14:paraId="6CE9DFA8"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As “aspas” no texto referem-se à Convenção.</w:t>
      </w:r>
    </w:p>
  </w:footnote>
  <w:footnote w:id="196">
    <w:p w14:paraId="63362943"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Frits Kalshoven e Liesbeth Zegveld. </w:t>
      </w:r>
      <w:r w:rsidRPr="00845302">
        <w:rPr>
          <w:rFonts w:ascii="Times New Roman" w:hAnsi="Times New Roman"/>
          <w:i/>
          <w:sz w:val="16"/>
          <w:szCs w:val="16"/>
        </w:rPr>
        <w:t xml:space="preserve">Restricciones en la Conducción de la Guerra – Introducción al derecho internacional humanitário, </w:t>
      </w:r>
      <w:r w:rsidRPr="00845302">
        <w:rPr>
          <w:rFonts w:ascii="Times New Roman" w:hAnsi="Times New Roman"/>
          <w:sz w:val="16"/>
          <w:szCs w:val="16"/>
        </w:rPr>
        <w:t>tradução de Margarita Polo. Buenos Aires: Centro de Apoyo em Comunicación para América Latina (CICR), 2005 [1987], p. 30-1.</w:t>
      </w:r>
    </w:p>
  </w:footnote>
  <w:footnote w:id="197">
    <w:p w14:paraId="2FD9EBA6"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Frits Kalshoven e Liesbeth Zegveld, </w:t>
      </w:r>
      <w:r w:rsidRPr="00845302">
        <w:rPr>
          <w:rFonts w:ascii="Times New Roman" w:hAnsi="Times New Roman"/>
          <w:i/>
          <w:sz w:val="16"/>
          <w:szCs w:val="16"/>
        </w:rPr>
        <w:t xml:space="preserve">op. cit, </w:t>
      </w:r>
      <w:r w:rsidRPr="00845302">
        <w:rPr>
          <w:rFonts w:ascii="Times New Roman" w:hAnsi="Times New Roman"/>
          <w:sz w:val="16"/>
          <w:szCs w:val="16"/>
        </w:rPr>
        <w:t>p. 59.</w:t>
      </w:r>
    </w:p>
  </w:footnote>
  <w:footnote w:id="198">
    <w:p w14:paraId="5631FFE4"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Frits Kalshoven e Liesbeth Zegveld, </w:t>
      </w:r>
      <w:r w:rsidRPr="00845302">
        <w:rPr>
          <w:rFonts w:ascii="Times New Roman" w:hAnsi="Times New Roman"/>
          <w:i/>
          <w:sz w:val="16"/>
          <w:szCs w:val="16"/>
        </w:rPr>
        <w:t xml:space="preserve">op. cit, </w:t>
      </w:r>
      <w:r w:rsidRPr="00845302">
        <w:rPr>
          <w:rFonts w:ascii="Times New Roman" w:hAnsi="Times New Roman"/>
          <w:sz w:val="16"/>
          <w:szCs w:val="16"/>
        </w:rPr>
        <w:t>p. 31.</w:t>
      </w:r>
    </w:p>
  </w:footnote>
  <w:footnote w:id="199">
    <w:p w14:paraId="5732BDB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w:hAnsi="Times" w:cs="Times"/>
          <w:sz w:val="16"/>
          <w:szCs w:val="16"/>
        </w:rPr>
        <w:t xml:space="preserve">Jurgen Osterhammel. </w:t>
      </w:r>
      <w:r w:rsidRPr="00845302">
        <w:rPr>
          <w:rFonts w:ascii="Times" w:hAnsi="Times" w:cs="Times"/>
          <w:i/>
          <w:sz w:val="16"/>
          <w:szCs w:val="16"/>
        </w:rPr>
        <w:t>op. cit.</w:t>
      </w:r>
      <w:r w:rsidRPr="00845302">
        <w:rPr>
          <w:rFonts w:ascii="Times" w:hAnsi="Times" w:cs="Times"/>
          <w:sz w:val="16"/>
          <w:szCs w:val="16"/>
        </w:rPr>
        <w:t xml:space="preserve"> pp. 505-6.</w:t>
      </w:r>
    </w:p>
  </w:footnote>
  <w:footnote w:id="200">
    <w:p w14:paraId="50A436C5"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André Durand. “The Role of Gustave Moynier in the Founding of the Institute of International Law (1873)”. </w:t>
      </w:r>
      <w:r w:rsidRPr="00845302">
        <w:rPr>
          <w:rFonts w:ascii="Times New Roman" w:hAnsi="Times New Roman"/>
          <w:i/>
          <w:sz w:val="16"/>
          <w:szCs w:val="16"/>
        </w:rPr>
        <w:t>Interantional Review of the Red Cross</w:t>
      </w:r>
      <w:r w:rsidRPr="00845302">
        <w:rPr>
          <w:rFonts w:ascii="Times New Roman" w:hAnsi="Times New Roman"/>
          <w:sz w:val="16"/>
          <w:szCs w:val="16"/>
        </w:rPr>
        <w:t xml:space="preserve">, vol. 34, 1994, pp. 543-63; p. 544. </w:t>
      </w:r>
    </w:p>
  </w:footnote>
  <w:footnote w:id="201">
    <w:p w14:paraId="46D60CFE"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bookmarkStart w:id="7" w:name="_Hlk492740017"/>
      <w:r w:rsidRPr="00845302">
        <w:rPr>
          <w:rFonts w:ascii="Times New Roman" w:hAnsi="Times New Roman"/>
          <w:sz w:val="16"/>
          <w:szCs w:val="16"/>
        </w:rPr>
        <w:t xml:space="preserve">Martti Koskenniemi. </w:t>
      </w:r>
      <w:bookmarkEnd w:id="7"/>
      <w:r w:rsidRPr="00845302">
        <w:rPr>
          <w:rFonts w:ascii="Times New Roman" w:hAnsi="Times New Roman"/>
          <w:i/>
          <w:sz w:val="16"/>
          <w:szCs w:val="16"/>
        </w:rPr>
        <w:t>The Gentle Civilizer of Nations – The Rise and Fall of International Law 1870-1960</w:t>
      </w:r>
      <w:r w:rsidRPr="00845302">
        <w:rPr>
          <w:rFonts w:ascii="Times New Roman" w:hAnsi="Times New Roman"/>
          <w:sz w:val="16"/>
          <w:szCs w:val="16"/>
        </w:rPr>
        <w:t xml:space="preserve">. “Hersch Lauterpacht Memorial Lectures” Cambridge: Cambridge University Press, 2008 [2001], p. 14. </w:t>
      </w:r>
    </w:p>
  </w:footnote>
  <w:footnote w:id="202">
    <w:p w14:paraId="1CBD358E"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Martti Koskenniemi,</w:t>
      </w:r>
      <w:r w:rsidRPr="00845302">
        <w:rPr>
          <w:rFonts w:ascii="Times New Roman" w:hAnsi="Times New Roman"/>
          <w:i/>
          <w:sz w:val="16"/>
          <w:szCs w:val="16"/>
        </w:rPr>
        <w:t xml:space="preserve"> op. cit.</w:t>
      </w:r>
      <w:r w:rsidRPr="00845302">
        <w:rPr>
          <w:rFonts w:ascii="Times New Roman" w:hAnsi="Times New Roman"/>
          <w:sz w:val="16"/>
          <w:szCs w:val="16"/>
        </w:rPr>
        <w:t xml:space="preserve"> p.42. Trata-se do mesmo Instituto que elaborou a Declaração Internacional dos Direitos do Homem, como visto anteriormente.</w:t>
      </w:r>
    </w:p>
  </w:footnote>
  <w:footnote w:id="203">
    <w:p w14:paraId="21BC54C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 1328.</w:t>
      </w:r>
    </w:p>
  </w:footnote>
  <w:footnote w:id="204">
    <w:p w14:paraId="510D98CE"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François Bugnion, </w:t>
      </w:r>
      <w:r w:rsidRPr="00845302">
        <w:rPr>
          <w:rFonts w:ascii="Times New Roman" w:hAnsi="Times New Roman"/>
          <w:i/>
          <w:sz w:val="16"/>
          <w:szCs w:val="16"/>
        </w:rPr>
        <w:t xml:space="preserve">op. cit, </w:t>
      </w:r>
      <w:r w:rsidRPr="00845302">
        <w:rPr>
          <w:rFonts w:ascii="Times New Roman" w:hAnsi="Times New Roman"/>
          <w:sz w:val="16"/>
          <w:szCs w:val="16"/>
        </w:rPr>
        <w:t>pp. 1308-9.</w:t>
      </w:r>
    </w:p>
  </w:footnote>
  <w:footnote w:id="205">
    <w:p w14:paraId="11AC055C"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Dieter Fleck. </w:t>
      </w:r>
      <w:r w:rsidRPr="00845302">
        <w:rPr>
          <w:rFonts w:ascii="Times New Roman" w:hAnsi="Times New Roman"/>
          <w:i/>
          <w:sz w:val="16"/>
          <w:szCs w:val="16"/>
        </w:rPr>
        <w:t xml:space="preserve">The Handbook of International Humanitarian Law. </w:t>
      </w:r>
      <w:r w:rsidRPr="00845302">
        <w:rPr>
          <w:rFonts w:ascii="Times New Roman" w:hAnsi="Times New Roman"/>
          <w:sz w:val="16"/>
          <w:szCs w:val="16"/>
        </w:rPr>
        <w:t>Oxford: Oxford University Press, 2008, p. 11.</w:t>
      </w:r>
      <w:r w:rsidRPr="00845302">
        <w:rPr>
          <w:rFonts w:ascii="Times New Roman" w:hAnsi="Times New Roman"/>
          <w:i/>
          <w:sz w:val="16"/>
          <w:szCs w:val="16"/>
        </w:rPr>
        <w:t xml:space="preserve"> </w:t>
      </w:r>
    </w:p>
  </w:footnote>
  <w:footnote w:id="206">
    <w:p w14:paraId="0F564AD4" w14:textId="67BFE138"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Christophe Swinarski. </w:t>
      </w:r>
      <w:r w:rsidRPr="00845302">
        <w:rPr>
          <w:rFonts w:ascii="Times New Roman" w:hAnsi="Times New Roman"/>
          <w:i/>
          <w:sz w:val="16"/>
          <w:szCs w:val="16"/>
        </w:rPr>
        <w:t>Direito Internacional Humanitário como Sistema de Proteção Internacional da Pessoa Humana – Principais Noções e Institutos</w:t>
      </w:r>
      <w:r w:rsidRPr="00845302">
        <w:rPr>
          <w:rFonts w:ascii="Times New Roman" w:hAnsi="Times New Roman"/>
          <w:sz w:val="16"/>
          <w:szCs w:val="16"/>
        </w:rPr>
        <w:t>. São Paulo: Editora Revista dos Tribunais, 1990 p. 27.</w:t>
      </w:r>
    </w:p>
  </w:footnote>
  <w:footnote w:id="207">
    <w:p w14:paraId="7C81678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Waldo Villalpando. </w:t>
      </w:r>
      <w:r w:rsidRPr="00845302">
        <w:rPr>
          <w:rFonts w:ascii="Times New Roman" w:hAnsi="Times New Roman"/>
          <w:i/>
          <w:sz w:val="16"/>
          <w:szCs w:val="16"/>
        </w:rPr>
        <w:t xml:space="preserve">ACNUR: Um Instrumento de Paz. </w:t>
      </w:r>
      <w:r w:rsidRPr="00845302">
        <w:rPr>
          <w:rFonts w:ascii="Times New Roman" w:hAnsi="Times New Roman"/>
          <w:sz w:val="16"/>
          <w:szCs w:val="16"/>
        </w:rPr>
        <w:t>Madrid: Governo da Espanha, 1996, p. 10.</w:t>
      </w:r>
    </w:p>
  </w:footnote>
  <w:footnote w:id="208">
    <w:p w14:paraId="0B6D8EF2"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Para um detalhado histórico do trabalho da SDN consulte: James C. Hathaway “The Evolution of Refugee Status in International Law</w:t>
      </w:r>
      <w:r w:rsidRPr="00845302">
        <w:rPr>
          <w:rFonts w:ascii="Times New Roman" w:hAnsi="Times New Roman"/>
          <w:i/>
          <w:sz w:val="16"/>
          <w:szCs w:val="16"/>
        </w:rPr>
        <w:t>:</w:t>
      </w:r>
      <w:r w:rsidRPr="00845302">
        <w:rPr>
          <w:rFonts w:ascii="Times New Roman" w:hAnsi="Times New Roman"/>
          <w:sz w:val="16"/>
          <w:szCs w:val="16"/>
        </w:rPr>
        <w:t xml:space="preserve"> 1920- 1950”. </w:t>
      </w:r>
      <w:r w:rsidRPr="00845302">
        <w:rPr>
          <w:rFonts w:ascii="Times New Roman" w:hAnsi="Times New Roman"/>
          <w:i/>
          <w:sz w:val="16"/>
          <w:szCs w:val="16"/>
        </w:rPr>
        <w:t>The International and Comparative Law Quaterly</w:t>
      </w:r>
      <w:r w:rsidRPr="00845302">
        <w:rPr>
          <w:rFonts w:ascii="Times New Roman" w:hAnsi="Times New Roman"/>
          <w:sz w:val="16"/>
          <w:szCs w:val="16"/>
        </w:rPr>
        <w:t xml:space="preserve">, vol. 33, nº 2 (abril 1984), pp. 348-80. </w:t>
      </w:r>
    </w:p>
  </w:footnote>
  <w:footnote w:id="209">
    <w:p w14:paraId="051198C8"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351.</w:t>
      </w:r>
    </w:p>
  </w:footnote>
  <w:footnote w:id="210">
    <w:p w14:paraId="0F1EF359"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351.</w:t>
      </w:r>
    </w:p>
  </w:footnote>
  <w:footnote w:id="211">
    <w:p w14:paraId="316A43C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bookmarkStart w:id="8" w:name="_Hlk492923811"/>
      <w:r w:rsidRPr="00845302">
        <w:rPr>
          <w:sz w:val="16"/>
          <w:szCs w:val="16"/>
        </w:rPr>
        <w:t xml:space="preserve"> </w:t>
      </w:r>
      <w:r w:rsidRPr="00845302">
        <w:rPr>
          <w:rFonts w:ascii="Times New Roman" w:hAnsi="Times New Roman"/>
          <w:sz w:val="16"/>
          <w:szCs w:val="16"/>
        </w:rPr>
        <w:t xml:space="preserve">Paul Weiss. </w:t>
      </w:r>
      <w:bookmarkEnd w:id="8"/>
      <w:r w:rsidRPr="00845302">
        <w:rPr>
          <w:rFonts w:ascii="Times New Roman" w:hAnsi="Times New Roman"/>
          <w:sz w:val="16"/>
          <w:szCs w:val="16"/>
        </w:rPr>
        <w:t xml:space="preserve">“The International Protection of Refugees”.  </w:t>
      </w:r>
      <w:r w:rsidRPr="00845302">
        <w:rPr>
          <w:rFonts w:ascii="Times New Roman" w:hAnsi="Times New Roman"/>
          <w:i/>
          <w:sz w:val="16"/>
          <w:szCs w:val="16"/>
        </w:rPr>
        <w:t xml:space="preserve">The American Journal of International Law </w:t>
      </w:r>
      <w:r w:rsidRPr="00845302">
        <w:rPr>
          <w:rFonts w:ascii="Times New Roman" w:hAnsi="Times New Roman"/>
          <w:sz w:val="16"/>
          <w:szCs w:val="16"/>
        </w:rPr>
        <w:t xml:space="preserve">vol. 48, nº 2 (abril 1954) pp. 193-221. O autor do artigo era consultor jurídico do Alto-Comissariado das Nações Unidas para Refugiados (ACNUR) à época da redação do artigo. </w:t>
      </w:r>
    </w:p>
  </w:footnote>
  <w:footnote w:id="212">
    <w:p w14:paraId="54B6BD5F"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Paul Weiss,</w:t>
      </w:r>
      <w:r w:rsidRPr="00845302">
        <w:rPr>
          <w:rFonts w:ascii="Times New Roman" w:hAnsi="Times New Roman"/>
          <w:i/>
          <w:sz w:val="16"/>
          <w:szCs w:val="16"/>
        </w:rPr>
        <w:t xml:space="preserve"> op. cit., </w:t>
      </w:r>
      <w:r w:rsidRPr="00845302">
        <w:rPr>
          <w:rFonts w:ascii="Times New Roman" w:hAnsi="Times New Roman"/>
          <w:sz w:val="16"/>
          <w:szCs w:val="16"/>
        </w:rPr>
        <w:t>p. 209.</w:t>
      </w:r>
    </w:p>
  </w:footnote>
  <w:footnote w:id="213">
    <w:p w14:paraId="018BD96E"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353.</w:t>
      </w:r>
    </w:p>
  </w:footnote>
  <w:footnote w:id="214">
    <w:p w14:paraId="6D21045C"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pp. 357-9.</w:t>
      </w:r>
    </w:p>
  </w:footnote>
  <w:footnote w:id="215">
    <w:p w14:paraId="26B12E7E" w14:textId="5F81FF35"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José Henrique Fischel de Andrade. </w:t>
      </w:r>
      <w:r w:rsidRPr="00845302">
        <w:rPr>
          <w:rFonts w:ascii="Times New Roman" w:hAnsi="Times New Roman"/>
          <w:i/>
          <w:sz w:val="16"/>
          <w:szCs w:val="16"/>
        </w:rPr>
        <w:t>Direito Internacional dos Refugiados – Evolução histórica (1921-1952)</w:t>
      </w:r>
      <w:r w:rsidRPr="00845302">
        <w:rPr>
          <w:rFonts w:ascii="Times New Roman" w:hAnsi="Times New Roman"/>
          <w:sz w:val="16"/>
          <w:szCs w:val="16"/>
        </w:rPr>
        <w:t>. Rio de Janeiro: Editora Renovar,1996, pp. 58-9.</w:t>
      </w:r>
    </w:p>
  </w:footnote>
  <w:footnote w:id="216">
    <w:p w14:paraId="76515A88"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361.</w:t>
      </w:r>
    </w:p>
  </w:footnote>
  <w:footnote w:id="217">
    <w:p w14:paraId="2A0B0D8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362.</w:t>
      </w:r>
    </w:p>
  </w:footnote>
  <w:footnote w:id="218">
    <w:p w14:paraId="051343F9"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i/>
          <w:sz w:val="16"/>
          <w:szCs w:val="16"/>
        </w:rPr>
        <w:t>Sir</w:t>
      </w:r>
      <w:r w:rsidRPr="00845302">
        <w:rPr>
          <w:rFonts w:ascii="Times New Roman" w:hAnsi="Times New Roman"/>
          <w:sz w:val="16"/>
          <w:szCs w:val="16"/>
        </w:rPr>
        <w:t xml:space="preserve"> John Hope Simpson. </w:t>
      </w:r>
      <w:r w:rsidRPr="00845302">
        <w:rPr>
          <w:rFonts w:ascii="Times New Roman" w:hAnsi="Times New Roman"/>
          <w:i/>
          <w:sz w:val="16"/>
          <w:szCs w:val="16"/>
        </w:rPr>
        <w:t xml:space="preserve">Refugees: Preliminary Report of a Survey. </w:t>
      </w:r>
      <w:r w:rsidRPr="00845302">
        <w:rPr>
          <w:rFonts w:ascii="Times New Roman" w:hAnsi="Times New Roman"/>
          <w:sz w:val="16"/>
          <w:szCs w:val="16"/>
        </w:rPr>
        <w:t>K.B.E, C.I.E Londres: Oxford University Press, 1938 pp. 59-65.</w:t>
      </w:r>
    </w:p>
  </w:footnote>
  <w:footnote w:id="219">
    <w:p w14:paraId="4F235CF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José Henrique Fischel de Andrade, </w:t>
      </w:r>
      <w:r w:rsidRPr="00845302">
        <w:rPr>
          <w:rFonts w:ascii="Times New Roman" w:hAnsi="Times New Roman"/>
          <w:i/>
          <w:sz w:val="16"/>
          <w:szCs w:val="16"/>
        </w:rPr>
        <w:t xml:space="preserve">op. cit. </w:t>
      </w:r>
      <w:r w:rsidRPr="00845302">
        <w:rPr>
          <w:rFonts w:ascii="Times New Roman" w:hAnsi="Times New Roman"/>
          <w:sz w:val="16"/>
          <w:szCs w:val="16"/>
        </w:rPr>
        <w:t>pp. 64-5.</w:t>
      </w:r>
    </w:p>
  </w:footnote>
  <w:footnote w:id="220">
    <w:p w14:paraId="1AB1F102"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364-5.</w:t>
      </w:r>
    </w:p>
  </w:footnote>
  <w:footnote w:id="221">
    <w:p w14:paraId="37779093"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p. 368-70.</w:t>
      </w:r>
    </w:p>
  </w:footnote>
  <w:footnote w:id="222">
    <w:p w14:paraId="00F22FBF"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Paul Weiss,</w:t>
      </w:r>
      <w:r w:rsidRPr="00845302">
        <w:rPr>
          <w:rFonts w:ascii="Times New Roman" w:hAnsi="Times New Roman"/>
          <w:i/>
          <w:sz w:val="16"/>
          <w:szCs w:val="16"/>
        </w:rPr>
        <w:t xml:space="preserve"> op. cit., </w:t>
      </w:r>
      <w:r w:rsidRPr="00845302">
        <w:rPr>
          <w:rFonts w:ascii="Times New Roman" w:hAnsi="Times New Roman"/>
          <w:sz w:val="16"/>
          <w:szCs w:val="16"/>
        </w:rPr>
        <w:t>p. 209.</w:t>
      </w:r>
    </w:p>
  </w:footnote>
  <w:footnote w:id="223">
    <w:p w14:paraId="661E6BC8"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371.</w:t>
      </w:r>
    </w:p>
  </w:footnote>
  <w:footnote w:id="224">
    <w:p w14:paraId="3819B6BE"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371.</w:t>
      </w:r>
    </w:p>
  </w:footnote>
  <w:footnote w:id="225">
    <w:p w14:paraId="4D846938" w14:textId="77777777" w:rsidR="009D7E8B" w:rsidRPr="00845302" w:rsidRDefault="009D7E8B" w:rsidP="003D7DAB">
      <w:pPr>
        <w:pStyle w:val="Textodenotaderodap"/>
        <w:spacing w:before="240"/>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José Henrique Fischel de Andrade. </w:t>
      </w:r>
      <w:r w:rsidRPr="00845302">
        <w:rPr>
          <w:rFonts w:ascii="Times New Roman" w:hAnsi="Times New Roman"/>
          <w:i/>
          <w:sz w:val="16"/>
          <w:szCs w:val="16"/>
        </w:rPr>
        <w:t xml:space="preserve">Política de Proteção a Refugiados da ONU sua gênese no período pós guerra (1946-1952) </w:t>
      </w:r>
      <w:r w:rsidRPr="00845302">
        <w:rPr>
          <w:rFonts w:ascii="Times New Roman" w:hAnsi="Times New Roman"/>
          <w:sz w:val="16"/>
          <w:szCs w:val="16"/>
        </w:rPr>
        <w:t>Tese de Doutorado, UNB, 2006, p. 49.</w:t>
      </w:r>
    </w:p>
  </w:footnote>
  <w:footnote w:id="226">
    <w:p w14:paraId="6BC56D25"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Ian Buruma. </w:t>
      </w:r>
      <w:r w:rsidRPr="00845302">
        <w:rPr>
          <w:rFonts w:ascii="Times New Roman" w:hAnsi="Times New Roman"/>
          <w:i/>
          <w:sz w:val="16"/>
          <w:szCs w:val="16"/>
        </w:rPr>
        <w:t xml:space="preserve">Ano Zero – Uma história de 1945, </w:t>
      </w:r>
      <w:r w:rsidRPr="00845302">
        <w:rPr>
          <w:rFonts w:ascii="Times New Roman" w:hAnsi="Times New Roman"/>
          <w:sz w:val="16"/>
          <w:szCs w:val="16"/>
        </w:rPr>
        <w:t>tradução Paul Geiger. São Paulo: Companhia das Letras, 2015 [2013], p. 175.</w:t>
      </w:r>
    </w:p>
  </w:footnote>
  <w:footnote w:id="227">
    <w:p w14:paraId="0FF9228D"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Ian Buruma,</w:t>
      </w:r>
      <w:r w:rsidRPr="00845302">
        <w:rPr>
          <w:rFonts w:ascii="Times New Roman" w:hAnsi="Times New Roman"/>
          <w:i/>
          <w:sz w:val="16"/>
          <w:szCs w:val="16"/>
        </w:rPr>
        <w:t xml:space="preserve"> op. cit, </w:t>
      </w:r>
      <w:r w:rsidRPr="00845302">
        <w:rPr>
          <w:rFonts w:ascii="Times New Roman" w:hAnsi="Times New Roman"/>
          <w:sz w:val="16"/>
          <w:szCs w:val="16"/>
        </w:rPr>
        <w:t>p. 177.</w:t>
      </w:r>
    </w:p>
  </w:footnote>
  <w:footnote w:id="228">
    <w:p w14:paraId="63AF234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 Daniel Cohen. “The ‘Human Rights Revolution’ at Work – Displaced Persons in Poswtwar Europe”. In: Stefan-Ludwig Hoffmann (editor)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Nova York: Cambridge University Press, 2011, pp. 45-61; p. 53.</w:t>
      </w:r>
    </w:p>
  </w:footnote>
  <w:footnote w:id="229">
    <w:p w14:paraId="4C987F09" w14:textId="024958C5"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 Daniel Cohen, </w:t>
      </w:r>
      <w:r w:rsidRPr="00845302">
        <w:rPr>
          <w:rFonts w:ascii="Times New Roman" w:hAnsi="Times New Roman"/>
          <w:i/>
          <w:sz w:val="16"/>
          <w:szCs w:val="16"/>
        </w:rPr>
        <w:t xml:space="preserve">op. cit., </w:t>
      </w:r>
      <w:r w:rsidRPr="00845302">
        <w:rPr>
          <w:rFonts w:ascii="Times New Roman" w:hAnsi="Times New Roman"/>
          <w:sz w:val="16"/>
          <w:szCs w:val="16"/>
        </w:rPr>
        <w:t>p. 55.</w:t>
      </w:r>
    </w:p>
  </w:footnote>
  <w:footnote w:id="230">
    <w:p w14:paraId="114E5E47"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Weiss, </w:t>
      </w:r>
      <w:r w:rsidRPr="00845302">
        <w:rPr>
          <w:rFonts w:ascii="Times New Roman" w:hAnsi="Times New Roman"/>
          <w:i/>
          <w:sz w:val="16"/>
          <w:szCs w:val="16"/>
        </w:rPr>
        <w:t xml:space="preserve">op. cit., </w:t>
      </w:r>
      <w:r w:rsidRPr="00845302">
        <w:rPr>
          <w:rFonts w:ascii="Times New Roman" w:hAnsi="Times New Roman"/>
          <w:sz w:val="16"/>
          <w:szCs w:val="16"/>
        </w:rPr>
        <w:t>p. 210.</w:t>
      </w:r>
    </w:p>
  </w:footnote>
  <w:footnote w:id="231">
    <w:p w14:paraId="068393C0"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376.</w:t>
      </w:r>
    </w:p>
  </w:footnote>
  <w:footnote w:id="232">
    <w:p w14:paraId="00C7EAF2"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376.</w:t>
      </w:r>
    </w:p>
  </w:footnote>
  <w:footnote w:id="233">
    <w:p w14:paraId="108CF040"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James C. Hathaway, </w:t>
      </w:r>
      <w:r w:rsidRPr="00845302">
        <w:rPr>
          <w:rFonts w:ascii="Times New Roman" w:hAnsi="Times New Roman"/>
          <w:i/>
          <w:sz w:val="16"/>
          <w:szCs w:val="16"/>
        </w:rPr>
        <w:t xml:space="preserve">op. cit., </w:t>
      </w:r>
      <w:r w:rsidRPr="00845302">
        <w:rPr>
          <w:rFonts w:ascii="Times New Roman" w:hAnsi="Times New Roman"/>
          <w:sz w:val="16"/>
          <w:szCs w:val="16"/>
        </w:rPr>
        <w:t>376.</w:t>
      </w:r>
    </w:p>
  </w:footnote>
  <w:footnote w:id="234">
    <w:p w14:paraId="09E992C8" w14:textId="77777777" w:rsidR="009D7E8B" w:rsidRPr="00845302" w:rsidRDefault="009D7E8B" w:rsidP="003D7DAB">
      <w:pPr>
        <w:autoSpaceDE w:val="0"/>
        <w:autoSpaceDN w:val="0"/>
        <w:adjustRightInd w:val="0"/>
        <w:spacing w:after="0" w:line="240" w:lineRule="auto"/>
        <w:contextualSpacing/>
        <w:rPr>
          <w:rFonts w:ascii="Times New Roman" w:eastAsiaTheme="minorHAnsi"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eastAsia="Times New Roman" w:hAnsi="Times New Roman"/>
          <w:bCs/>
          <w:color w:val="222222"/>
          <w:kern w:val="36"/>
          <w:sz w:val="16"/>
          <w:szCs w:val="16"/>
        </w:rPr>
        <w:t>“Final Act of the United Nations Conference of Plenipotentiaries on the Status of Refugees and Stateless Persons”</w:t>
      </w:r>
      <w:r w:rsidRPr="00845302">
        <w:rPr>
          <w:rFonts w:ascii="Times New Roman" w:eastAsiaTheme="minorHAnsi" w:hAnsi="Times New Roman"/>
          <w:caps/>
          <w:sz w:val="16"/>
          <w:szCs w:val="16"/>
        </w:rPr>
        <w:t xml:space="preserve">. </w:t>
      </w:r>
      <w:r w:rsidRPr="00845302">
        <w:rPr>
          <w:rFonts w:ascii="Times New Roman" w:eastAsiaTheme="minorHAnsi" w:hAnsi="Times New Roman"/>
          <w:sz w:val="16"/>
          <w:szCs w:val="16"/>
        </w:rPr>
        <w:t xml:space="preserve">realizada em Genebra de 2 a 25 de julho de </w:t>
      </w:r>
      <w:r w:rsidRPr="00845302">
        <w:rPr>
          <w:rFonts w:ascii="Times New Roman" w:eastAsiaTheme="minorHAnsi" w:hAnsi="Times New Roman"/>
          <w:caps/>
          <w:sz w:val="16"/>
          <w:szCs w:val="16"/>
        </w:rPr>
        <w:t xml:space="preserve">1951 </w:t>
      </w:r>
      <w:r w:rsidRPr="00845302">
        <w:rPr>
          <w:rFonts w:ascii="Times New Roman" w:eastAsiaTheme="minorHAnsi" w:hAnsi="Times New Roman"/>
          <w:sz w:val="16"/>
          <w:szCs w:val="16"/>
        </w:rPr>
        <w:t xml:space="preserve">[138 </w:t>
      </w:r>
      <w:r w:rsidRPr="00845302">
        <w:rPr>
          <w:rFonts w:ascii="Times New Roman" w:eastAsiaTheme="minorHAnsi" w:hAnsi="Times New Roman"/>
          <w:i/>
          <w:iCs/>
          <w:sz w:val="16"/>
          <w:szCs w:val="16"/>
        </w:rPr>
        <w:t xml:space="preserve">United Nations Treaty Series </w:t>
      </w:r>
      <w:r w:rsidRPr="00845302">
        <w:rPr>
          <w:rFonts w:ascii="Times New Roman" w:eastAsiaTheme="minorHAnsi" w:hAnsi="Times New Roman"/>
          <w:sz w:val="16"/>
          <w:szCs w:val="16"/>
        </w:rPr>
        <w:t>1954] &lt;</w:t>
      </w:r>
      <w:hyperlink r:id="rId11" w:history="1">
        <w:r w:rsidRPr="00845302">
          <w:rPr>
            <w:rStyle w:val="Hyperlink"/>
            <w:rFonts w:ascii="Times New Roman" w:eastAsiaTheme="minorHAnsi" w:hAnsi="Times New Roman"/>
            <w:sz w:val="16"/>
            <w:szCs w:val="16"/>
          </w:rPr>
          <w:t>http://www.unhcr.org/protection/travaux/40a8a7394/final-act-united-nations-conference-plenipotentiaries-status-refugees-stateless.html</w:t>
        </w:r>
      </w:hyperlink>
      <w:r w:rsidRPr="00845302">
        <w:rPr>
          <w:rStyle w:val="Hyperlink"/>
          <w:rFonts w:ascii="Times New Roman" w:eastAsiaTheme="minorHAnsi" w:hAnsi="Times New Roman"/>
          <w:sz w:val="16"/>
          <w:szCs w:val="16"/>
        </w:rPr>
        <w:t>&gt;.</w:t>
      </w:r>
      <w:r w:rsidRPr="00845302">
        <w:rPr>
          <w:rFonts w:ascii="Times New Roman" w:eastAsiaTheme="minorHAnsi" w:hAnsi="Times New Roman"/>
          <w:sz w:val="16"/>
          <w:szCs w:val="16"/>
        </w:rPr>
        <w:t xml:space="preserve"> Acesso em 19 set. 2017.</w:t>
      </w:r>
    </w:p>
  </w:footnote>
  <w:footnote w:id="235">
    <w:p w14:paraId="60B0C53A"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Weis, </w:t>
      </w:r>
      <w:r w:rsidRPr="00845302">
        <w:rPr>
          <w:rFonts w:ascii="Times New Roman" w:hAnsi="Times New Roman"/>
          <w:i/>
          <w:sz w:val="16"/>
          <w:szCs w:val="16"/>
        </w:rPr>
        <w:t xml:space="preserve">op. cit., </w:t>
      </w:r>
      <w:r w:rsidRPr="00845302">
        <w:rPr>
          <w:rFonts w:ascii="Times New Roman" w:hAnsi="Times New Roman"/>
          <w:sz w:val="16"/>
          <w:szCs w:val="16"/>
        </w:rPr>
        <w:t>p. 966.</w:t>
      </w:r>
    </w:p>
  </w:footnote>
  <w:footnote w:id="236">
    <w:p w14:paraId="788B3DF6"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Weis, </w:t>
      </w:r>
      <w:r w:rsidRPr="00845302">
        <w:rPr>
          <w:rFonts w:ascii="Times New Roman" w:hAnsi="Times New Roman"/>
          <w:i/>
          <w:sz w:val="16"/>
          <w:szCs w:val="16"/>
        </w:rPr>
        <w:t xml:space="preserve">op. cit., </w:t>
      </w:r>
      <w:r w:rsidRPr="00845302">
        <w:rPr>
          <w:rFonts w:ascii="Times New Roman" w:hAnsi="Times New Roman"/>
          <w:sz w:val="16"/>
          <w:szCs w:val="16"/>
        </w:rPr>
        <w:t>p. 970.</w:t>
      </w:r>
    </w:p>
  </w:footnote>
  <w:footnote w:id="237">
    <w:p w14:paraId="10D50081"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G. Daniel Cohen, </w:t>
      </w:r>
      <w:r w:rsidRPr="00845302">
        <w:rPr>
          <w:rFonts w:ascii="Times New Roman" w:hAnsi="Times New Roman"/>
          <w:i/>
          <w:sz w:val="16"/>
          <w:szCs w:val="16"/>
        </w:rPr>
        <w:t xml:space="preserve">op. cit., </w:t>
      </w:r>
      <w:r w:rsidRPr="00845302">
        <w:rPr>
          <w:rFonts w:ascii="Times New Roman" w:hAnsi="Times New Roman"/>
          <w:sz w:val="16"/>
          <w:szCs w:val="16"/>
        </w:rPr>
        <w:t>pp. 55-6.</w:t>
      </w:r>
    </w:p>
  </w:footnote>
  <w:footnote w:id="238">
    <w:p w14:paraId="56810B56"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Rossana Rocha Reis e Thais Silva Menezes. “Direitos Humanos e Refúgio </w:t>
      </w:r>
      <w:r w:rsidRPr="00845302">
        <w:rPr>
          <w:rFonts w:ascii="Times New Roman" w:hAnsi="Times New Roman"/>
          <w:i/>
          <w:sz w:val="16"/>
          <w:szCs w:val="16"/>
        </w:rPr>
        <w:t xml:space="preserve">– </w:t>
      </w:r>
      <w:r w:rsidRPr="00845302">
        <w:rPr>
          <w:rFonts w:ascii="Times New Roman" w:hAnsi="Times New Roman"/>
          <w:sz w:val="16"/>
          <w:szCs w:val="16"/>
        </w:rPr>
        <w:t xml:space="preserve">Uma análise sobre o momento pós-determinação do status de refugiado”. </w:t>
      </w:r>
      <w:r w:rsidRPr="00845302">
        <w:rPr>
          <w:rFonts w:ascii="Times New Roman" w:hAnsi="Times New Roman"/>
          <w:i/>
          <w:sz w:val="16"/>
          <w:szCs w:val="16"/>
        </w:rPr>
        <w:t xml:space="preserve">Revista Brasileira de Política Internacional </w:t>
      </w:r>
      <w:r w:rsidRPr="00845302">
        <w:rPr>
          <w:rFonts w:ascii="Times New Roman" w:hAnsi="Times New Roman"/>
          <w:sz w:val="16"/>
          <w:szCs w:val="16"/>
        </w:rPr>
        <w:t>vol. 56 (1), pp. 144-62; p. 162, 2013.</w:t>
      </w:r>
    </w:p>
  </w:footnote>
  <w:footnote w:id="239">
    <w:p w14:paraId="2F9CBE1B"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Robert M. Cover </w:t>
      </w:r>
      <w:r w:rsidRPr="00845302">
        <w:rPr>
          <w:rFonts w:ascii="Times New Roman" w:hAnsi="Times New Roman"/>
          <w:i/>
          <w:sz w:val="16"/>
          <w:szCs w:val="16"/>
        </w:rPr>
        <w:t xml:space="preserve">op. cit. </w:t>
      </w:r>
      <w:r w:rsidRPr="00845302">
        <w:rPr>
          <w:rFonts w:ascii="Times New Roman" w:hAnsi="Times New Roman"/>
          <w:sz w:val="16"/>
          <w:szCs w:val="16"/>
        </w:rPr>
        <w:t>p. 205</w:t>
      </w:r>
    </w:p>
  </w:footnote>
  <w:footnote w:id="240">
    <w:p w14:paraId="2B35DFC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Paul Gordon Lauren, </w:t>
      </w:r>
      <w:r w:rsidRPr="00845302">
        <w:rPr>
          <w:rFonts w:ascii="Times New Roman" w:hAnsi="Times New Roman"/>
          <w:i/>
          <w:sz w:val="16"/>
          <w:szCs w:val="16"/>
        </w:rPr>
        <w:t xml:space="preserve">op. cit., </w:t>
      </w:r>
      <w:r w:rsidRPr="00845302">
        <w:rPr>
          <w:rFonts w:ascii="Times New Roman" w:hAnsi="Times New Roman"/>
          <w:sz w:val="16"/>
          <w:szCs w:val="16"/>
        </w:rPr>
        <w:t>pp. 125-7.</w:t>
      </w:r>
    </w:p>
  </w:footnote>
  <w:footnote w:id="241">
    <w:p w14:paraId="4CD7E569"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C. Jansen e Jurgen Osterhammel. </w:t>
      </w:r>
      <w:r w:rsidRPr="00845302">
        <w:rPr>
          <w:rFonts w:ascii="Times New Roman" w:hAnsi="Times New Roman"/>
          <w:i/>
          <w:sz w:val="16"/>
          <w:szCs w:val="16"/>
        </w:rPr>
        <w:t xml:space="preserve">Decolonization – A Short History, </w:t>
      </w:r>
      <w:r w:rsidRPr="00845302">
        <w:rPr>
          <w:rFonts w:ascii="Times New Roman" w:hAnsi="Times New Roman"/>
          <w:sz w:val="16"/>
          <w:szCs w:val="16"/>
        </w:rPr>
        <w:t xml:space="preserve">tradução de Jeremiah Riemer. Princeton: Princeton University Press, 2017 [2013], p. 6. </w:t>
      </w:r>
    </w:p>
  </w:footnote>
  <w:footnote w:id="242">
    <w:p w14:paraId="1188C57D"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Para mais informações do trabalho da ONU no processo de descolonização, consulte: &lt;</w:t>
      </w:r>
      <w:hyperlink r:id="rId12" w:history="1">
        <w:r w:rsidRPr="00845302">
          <w:rPr>
            <w:rStyle w:val="Hyperlink"/>
            <w:rFonts w:ascii="Times New Roman" w:hAnsi="Times New Roman"/>
            <w:sz w:val="16"/>
            <w:szCs w:val="16"/>
          </w:rPr>
          <w:t>http://www.un.org/en/sections/issues-depth/decolonization/</w:t>
        </w:r>
      </w:hyperlink>
      <w:r w:rsidRPr="00845302">
        <w:rPr>
          <w:rStyle w:val="Hyperlink"/>
          <w:rFonts w:ascii="Times New Roman" w:hAnsi="Times New Roman"/>
          <w:sz w:val="16"/>
          <w:szCs w:val="16"/>
        </w:rPr>
        <w:t>&gt;.</w:t>
      </w:r>
      <w:r w:rsidRPr="00845302">
        <w:rPr>
          <w:rFonts w:ascii="Times New Roman" w:hAnsi="Times New Roman"/>
          <w:sz w:val="16"/>
          <w:szCs w:val="16"/>
        </w:rPr>
        <w:t xml:space="preserve"> Acesso em 15 set. 2017.</w:t>
      </w:r>
    </w:p>
  </w:footnote>
  <w:footnote w:id="243">
    <w:p w14:paraId="470D05CE"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Emmanuelle Jouanet. “Le Droit International de la Reconnaissance” </w:t>
      </w:r>
      <w:r w:rsidRPr="00845302">
        <w:rPr>
          <w:rFonts w:ascii="Times New Roman" w:hAnsi="Times New Roman"/>
          <w:i/>
          <w:sz w:val="16"/>
          <w:szCs w:val="16"/>
        </w:rPr>
        <w:t xml:space="preserve">Revue de Droit International Public </w:t>
      </w:r>
      <w:r w:rsidRPr="00845302">
        <w:rPr>
          <w:rFonts w:ascii="Times New Roman" w:hAnsi="Times New Roman"/>
          <w:sz w:val="16"/>
          <w:szCs w:val="16"/>
        </w:rPr>
        <w:t xml:space="preserve">(out-dez 2012), tomo CXVI nº 4, pp. 769-800; p. 771. </w:t>
      </w:r>
    </w:p>
  </w:footnote>
  <w:footnote w:id="244">
    <w:p w14:paraId="59A48EE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C. Jansen e Jurgen Osterhammel. </w:t>
      </w:r>
      <w:r w:rsidRPr="00845302">
        <w:rPr>
          <w:rFonts w:ascii="Times New Roman" w:hAnsi="Times New Roman"/>
          <w:i/>
          <w:sz w:val="16"/>
          <w:szCs w:val="16"/>
        </w:rPr>
        <w:t>Decolonization – A Short History</w:t>
      </w:r>
      <w:r w:rsidRPr="00845302">
        <w:rPr>
          <w:rFonts w:ascii="Times New Roman" w:hAnsi="Times New Roman"/>
          <w:sz w:val="16"/>
          <w:szCs w:val="16"/>
        </w:rPr>
        <w:t>. Princeton: Princeton University Press, 2017 [2013],</w:t>
      </w:r>
      <w:r w:rsidRPr="00845302">
        <w:rPr>
          <w:rFonts w:ascii="Times New Roman" w:hAnsi="Times New Roman"/>
          <w:i/>
          <w:sz w:val="16"/>
          <w:szCs w:val="16"/>
        </w:rPr>
        <w:t xml:space="preserve"> </w:t>
      </w:r>
      <w:r w:rsidRPr="00845302">
        <w:rPr>
          <w:rFonts w:ascii="Times New Roman" w:hAnsi="Times New Roman"/>
          <w:sz w:val="16"/>
          <w:szCs w:val="16"/>
        </w:rPr>
        <w:t>p. 2.</w:t>
      </w:r>
    </w:p>
  </w:footnote>
  <w:footnote w:id="245">
    <w:p w14:paraId="190BBA78"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C. Jansen e Jurgen Osterhammel, </w:t>
      </w:r>
      <w:r w:rsidRPr="00845302">
        <w:rPr>
          <w:rFonts w:ascii="Times New Roman" w:hAnsi="Times New Roman"/>
          <w:i/>
          <w:sz w:val="16"/>
          <w:szCs w:val="16"/>
        </w:rPr>
        <w:t>op.cit.,</w:t>
      </w:r>
      <w:r w:rsidRPr="00845302">
        <w:rPr>
          <w:rFonts w:ascii="Times New Roman" w:hAnsi="Times New Roman"/>
          <w:sz w:val="16"/>
          <w:szCs w:val="16"/>
        </w:rPr>
        <w:t xml:space="preserve"> p. 1.</w:t>
      </w:r>
    </w:p>
  </w:footnote>
  <w:footnote w:id="246">
    <w:p w14:paraId="71FD530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Johannes Morsink </w:t>
      </w:r>
      <w:r w:rsidRPr="00845302">
        <w:rPr>
          <w:rFonts w:ascii="Times New Roman" w:hAnsi="Times New Roman"/>
          <w:i/>
          <w:sz w:val="16"/>
          <w:szCs w:val="16"/>
        </w:rPr>
        <w:t>op. cit.</w:t>
      </w:r>
      <w:r w:rsidRPr="00845302">
        <w:rPr>
          <w:rFonts w:ascii="Times New Roman" w:hAnsi="Times New Roman"/>
          <w:sz w:val="16"/>
          <w:szCs w:val="16"/>
        </w:rPr>
        <w:t xml:space="preserve"> p.93</w:t>
      </w:r>
    </w:p>
  </w:footnote>
  <w:footnote w:id="247">
    <w:p w14:paraId="1E68022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Johannes Morsink, </w:t>
      </w:r>
      <w:r w:rsidRPr="00845302">
        <w:rPr>
          <w:rFonts w:ascii="Times New Roman" w:hAnsi="Times New Roman"/>
          <w:i/>
          <w:sz w:val="16"/>
          <w:szCs w:val="16"/>
        </w:rPr>
        <w:t>op. cit.,</w:t>
      </w:r>
      <w:r w:rsidRPr="00845302">
        <w:rPr>
          <w:rFonts w:ascii="Times New Roman" w:hAnsi="Times New Roman"/>
          <w:sz w:val="16"/>
          <w:szCs w:val="16"/>
        </w:rPr>
        <w:t xml:space="preserve"> p. 95. Para um estudo aprofundado da participação da URSS na DUDH, veja Jennifer Amos, </w:t>
      </w:r>
      <w:r w:rsidRPr="00845302">
        <w:rPr>
          <w:rFonts w:ascii="Times New Roman" w:hAnsi="Times New Roman"/>
          <w:i/>
          <w:sz w:val="16"/>
          <w:szCs w:val="16"/>
        </w:rPr>
        <w:t>Embrancing and Contesting: The Soviet Union and the Universal Declaration of Human Rights, 1948-1958.</w:t>
      </w:r>
      <w:r w:rsidRPr="00845302">
        <w:rPr>
          <w:rFonts w:ascii="Times New Roman" w:hAnsi="Times New Roman"/>
          <w:sz w:val="16"/>
          <w:szCs w:val="16"/>
        </w:rPr>
        <w:t xml:space="preserve"> In: Stefan-Ludwig Hoffmann (editor) </w:t>
      </w:r>
      <w:r w:rsidRPr="00845302">
        <w:rPr>
          <w:rFonts w:ascii="Times New Roman" w:hAnsi="Times New Roman"/>
          <w:i/>
          <w:sz w:val="16"/>
          <w:szCs w:val="16"/>
        </w:rPr>
        <w:t xml:space="preserve">Human Rights in the Twentieth Century. </w:t>
      </w:r>
      <w:r w:rsidRPr="00845302">
        <w:rPr>
          <w:rFonts w:ascii="Times New Roman" w:hAnsi="Times New Roman"/>
          <w:sz w:val="16"/>
          <w:szCs w:val="16"/>
        </w:rPr>
        <w:t>Nova York: Cambridge University Press, 2011, pp. 147-65.</w:t>
      </w:r>
    </w:p>
  </w:footnote>
  <w:footnote w:id="248">
    <w:p w14:paraId="172833EB" w14:textId="77777777" w:rsidR="009D7E8B" w:rsidRPr="00845302" w:rsidRDefault="009D7E8B" w:rsidP="003D7DAB">
      <w:pPr>
        <w:pStyle w:val="Textodenotaderodap"/>
        <w:contextualSpacing/>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Roland Burke </w:t>
      </w:r>
      <w:r w:rsidRPr="00845302">
        <w:rPr>
          <w:rFonts w:ascii="Times New Roman" w:hAnsi="Times New Roman"/>
          <w:i/>
          <w:sz w:val="16"/>
          <w:szCs w:val="16"/>
        </w:rPr>
        <w:t xml:space="preserve">Decolonization and the Evolution of International Human Rights </w:t>
      </w:r>
      <w:r w:rsidRPr="00845302">
        <w:rPr>
          <w:rFonts w:ascii="Times New Roman" w:hAnsi="Times New Roman"/>
          <w:sz w:val="16"/>
          <w:szCs w:val="16"/>
        </w:rPr>
        <w:t>(Pennsylvania Studies in Human Rights). Philadelphia: University of Pennsylvania Press, 2010, p. 48.</w:t>
      </w:r>
      <w:r w:rsidRPr="00845302">
        <w:rPr>
          <w:rFonts w:ascii="Times New Roman" w:hAnsi="Times New Roman"/>
          <w:i/>
          <w:sz w:val="16"/>
          <w:szCs w:val="16"/>
        </w:rPr>
        <w:t xml:space="preserve"> </w:t>
      </w:r>
    </w:p>
  </w:footnote>
  <w:footnote w:id="249">
    <w:p w14:paraId="7C5C815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Jan C. Jansen e Jurgen Osterhammel, </w:t>
      </w:r>
      <w:r w:rsidRPr="00845302">
        <w:rPr>
          <w:rFonts w:ascii="Times New Roman" w:hAnsi="Times New Roman"/>
          <w:i/>
          <w:sz w:val="16"/>
          <w:szCs w:val="16"/>
        </w:rPr>
        <w:t xml:space="preserve">op. cit.. </w:t>
      </w:r>
      <w:r w:rsidRPr="00845302">
        <w:rPr>
          <w:rFonts w:ascii="Times New Roman" w:hAnsi="Times New Roman"/>
          <w:sz w:val="16"/>
          <w:szCs w:val="16"/>
        </w:rPr>
        <w:t>p. 71. Para uma análise aprofundada da independência colonial, veja em especial o capítulo 3 “Paths to Sovereignty” (pp. 71-118).</w:t>
      </w:r>
    </w:p>
  </w:footnote>
  <w:footnote w:id="250">
    <w:p w14:paraId="03DB68B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The Making of International Human Rights – The 1960’s, Decolonization, and the Reconstruction of Global Values. </w:t>
      </w:r>
      <w:r w:rsidRPr="00845302">
        <w:rPr>
          <w:rFonts w:ascii="Times New Roman" w:hAnsi="Times New Roman"/>
          <w:sz w:val="16"/>
          <w:szCs w:val="16"/>
        </w:rPr>
        <w:t xml:space="preserve">Nova York: Cambridge University Press, 2016, p. 7. </w:t>
      </w:r>
    </w:p>
  </w:footnote>
  <w:footnote w:id="251">
    <w:p w14:paraId="134DC4B3"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op.cit, </w:t>
      </w:r>
      <w:r w:rsidRPr="00845302">
        <w:rPr>
          <w:rFonts w:ascii="Times New Roman" w:hAnsi="Times New Roman"/>
          <w:sz w:val="16"/>
          <w:szCs w:val="16"/>
        </w:rPr>
        <w:t>p. 40.</w:t>
      </w:r>
    </w:p>
  </w:footnote>
  <w:footnote w:id="252">
    <w:p w14:paraId="297FB6AF"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maiores informações da Conferência de Bandung, consulte: Roland Burke, “The Compeling Dialogue of Freedom”. </w:t>
      </w:r>
      <w:r w:rsidRPr="00845302">
        <w:rPr>
          <w:rFonts w:ascii="Times New Roman" w:hAnsi="Times New Roman"/>
          <w:i/>
          <w:sz w:val="16"/>
          <w:szCs w:val="16"/>
        </w:rPr>
        <w:t xml:space="preserve">Human Rights at the Bandung Conference, </w:t>
      </w:r>
      <w:r w:rsidRPr="00845302">
        <w:rPr>
          <w:rFonts w:ascii="Times New Roman" w:hAnsi="Times New Roman"/>
          <w:sz w:val="16"/>
          <w:szCs w:val="16"/>
        </w:rPr>
        <w:t xml:space="preserve">vol.28, nº 4, pp. 947-65. </w:t>
      </w:r>
    </w:p>
  </w:footnote>
  <w:footnote w:id="253">
    <w:p w14:paraId="23901F22"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op.cit, </w:t>
      </w:r>
      <w:r w:rsidRPr="00845302">
        <w:rPr>
          <w:rFonts w:ascii="Times New Roman" w:hAnsi="Times New Roman"/>
          <w:sz w:val="16"/>
          <w:szCs w:val="16"/>
        </w:rPr>
        <w:t>p. 55.</w:t>
      </w:r>
    </w:p>
  </w:footnote>
  <w:footnote w:id="254">
    <w:p w14:paraId="6B0720BC"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op.cit, </w:t>
      </w:r>
      <w:r w:rsidRPr="00845302">
        <w:rPr>
          <w:rFonts w:ascii="Times New Roman" w:hAnsi="Times New Roman"/>
          <w:sz w:val="16"/>
          <w:szCs w:val="16"/>
        </w:rPr>
        <w:t>p. 63.</w:t>
      </w:r>
    </w:p>
  </w:footnote>
  <w:footnote w:id="255">
    <w:p w14:paraId="0B7FADC8"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Hugh Foot. </w:t>
      </w:r>
      <w:r w:rsidRPr="00845302">
        <w:rPr>
          <w:rFonts w:ascii="Times New Roman" w:hAnsi="Times New Roman"/>
          <w:i/>
          <w:sz w:val="16"/>
          <w:szCs w:val="16"/>
        </w:rPr>
        <w:t xml:space="preserve">A Start in Freedom. </w:t>
      </w:r>
      <w:r w:rsidRPr="00845302">
        <w:rPr>
          <w:rFonts w:ascii="Times New Roman" w:hAnsi="Times New Roman"/>
          <w:sz w:val="16"/>
          <w:szCs w:val="16"/>
        </w:rPr>
        <w:t>Londres: Hodder &amp; Stoughton, 1964, p. 231-2.</w:t>
      </w:r>
    </w:p>
  </w:footnote>
  <w:footnote w:id="256">
    <w:p w14:paraId="3C3A9145" w14:textId="7F65F8F4"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Alex Quaison-Sackey</w:t>
      </w:r>
      <w:r w:rsidR="00DC6D1D">
        <w:rPr>
          <w:rFonts w:ascii="Times New Roman" w:hAnsi="Times New Roman"/>
          <w:sz w:val="16"/>
          <w:szCs w:val="16"/>
        </w:rPr>
        <w:t>,</w:t>
      </w:r>
      <w:r w:rsidRPr="00845302">
        <w:rPr>
          <w:rFonts w:ascii="Times New Roman" w:hAnsi="Times New Roman"/>
          <w:sz w:val="16"/>
          <w:szCs w:val="16"/>
        </w:rPr>
        <w:t xml:space="preserve"> </w:t>
      </w:r>
      <w:r w:rsidRPr="00845302">
        <w:rPr>
          <w:rFonts w:ascii="Times New Roman" w:hAnsi="Times New Roman"/>
          <w:i/>
          <w:sz w:val="16"/>
          <w:szCs w:val="16"/>
        </w:rPr>
        <w:t xml:space="preserve">Africa Unbound: </w:t>
      </w:r>
      <w:r w:rsidRPr="00845302">
        <w:rPr>
          <w:rFonts w:ascii="Times New Roman" w:hAnsi="Times New Roman"/>
          <w:sz w:val="16"/>
          <w:szCs w:val="16"/>
        </w:rPr>
        <w:t>Reflections of na Africa Statesman New York: Frederick A. Praeger, 1963</w:t>
      </w:r>
    </w:p>
  </w:footnote>
  <w:footnote w:id="257">
    <w:p w14:paraId="65BB1C9C" w14:textId="060CAC38" w:rsidR="00306BD4" w:rsidRPr="00306BD4" w:rsidRDefault="00306BD4">
      <w:pPr>
        <w:pStyle w:val="Textodenotaderodap"/>
        <w:rPr>
          <w:lang w:val="en-US"/>
        </w:rPr>
      </w:pPr>
      <w:r>
        <w:rPr>
          <w:rStyle w:val="Refdenotaderodap"/>
        </w:rPr>
        <w:footnoteRef/>
      </w:r>
      <w:r>
        <w:t xml:space="preserve"> </w:t>
      </w:r>
      <w:r w:rsidRPr="004961B1">
        <w:rPr>
          <w:rFonts w:ascii="Times New Roman" w:hAnsi="Times New Roman"/>
          <w:sz w:val="18"/>
          <w:szCs w:val="18"/>
        </w:rPr>
        <w:t>Alex Quaison-Sackey</w:t>
      </w:r>
      <w:r w:rsidR="00DC6D1D">
        <w:rPr>
          <w:rFonts w:ascii="Times New Roman" w:hAnsi="Times New Roman"/>
          <w:sz w:val="18"/>
          <w:szCs w:val="18"/>
        </w:rPr>
        <w:t>,</w:t>
      </w:r>
      <w:r>
        <w:rPr>
          <w:rFonts w:ascii="Times New Roman" w:hAnsi="Times New Roman"/>
          <w:sz w:val="18"/>
          <w:szCs w:val="18"/>
        </w:rPr>
        <w:t xml:space="preserve"> </w:t>
      </w:r>
      <w:r>
        <w:rPr>
          <w:rFonts w:ascii="Times New Roman" w:hAnsi="Times New Roman"/>
          <w:i/>
          <w:sz w:val="18"/>
          <w:szCs w:val="18"/>
        </w:rPr>
        <w:t>op.cit</w:t>
      </w:r>
      <w:r w:rsidR="00DC6D1D">
        <w:rPr>
          <w:rFonts w:ascii="Times New Roman" w:hAnsi="Times New Roman"/>
          <w:i/>
          <w:sz w:val="18"/>
          <w:szCs w:val="18"/>
        </w:rPr>
        <w:t>,</w:t>
      </w:r>
      <w:r>
        <w:rPr>
          <w:rFonts w:ascii="Times New Roman" w:hAnsi="Times New Roman"/>
          <w:i/>
          <w:sz w:val="18"/>
          <w:szCs w:val="18"/>
        </w:rPr>
        <w:t xml:space="preserve"> </w:t>
      </w:r>
      <w:r>
        <w:rPr>
          <w:rFonts w:ascii="Times New Roman" w:hAnsi="Times New Roman"/>
          <w:sz w:val="18"/>
          <w:szCs w:val="18"/>
        </w:rPr>
        <w:t>p.146.</w:t>
      </w:r>
    </w:p>
  </w:footnote>
  <w:footnote w:id="258">
    <w:p w14:paraId="2DE3E613"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op.cit, </w:t>
      </w:r>
      <w:r w:rsidRPr="00845302">
        <w:rPr>
          <w:rFonts w:ascii="Times New Roman" w:hAnsi="Times New Roman"/>
          <w:sz w:val="16"/>
          <w:szCs w:val="16"/>
        </w:rPr>
        <w:t>p. 110-1.</w:t>
      </w:r>
    </w:p>
  </w:footnote>
  <w:footnote w:id="259">
    <w:p w14:paraId="1AFE30DC"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op.cit, </w:t>
      </w:r>
      <w:r w:rsidRPr="00845302">
        <w:rPr>
          <w:rFonts w:ascii="Times New Roman" w:hAnsi="Times New Roman"/>
          <w:sz w:val="16"/>
          <w:szCs w:val="16"/>
        </w:rPr>
        <w:t>p. 119.</w:t>
      </w:r>
    </w:p>
  </w:footnote>
  <w:footnote w:id="260">
    <w:p w14:paraId="24A5261D"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Celso Lafer. “Parecer. O caso Ellwanger: Antissemitismo como crime da prática do racismo”. In: </w:t>
      </w:r>
      <w:r w:rsidRPr="00845302">
        <w:rPr>
          <w:rFonts w:ascii="Times New Roman" w:hAnsi="Times New Roman"/>
          <w:i/>
          <w:sz w:val="16"/>
          <w:szCs w:val="16"/>
        </w:rPr>
        <w:t xml:space="preserve">A internacionalização dos Direitos Humanos: Constituição, Racismo e Relações Internacionais. </w:t>
      </w:r>
      <w:r w:rsidRPr="00845302">
        <w:rPr>
          <w:rFonts w:ascii="Times New Roman" w:hAnsi="Times New Roman"/>
          <w:sz w:val="16"/>
          <w:szCs w:val="16"/>
        </w:rPr>
        <w:t>São Paulo: Editora Manole, 2005, pp. 33-120; p. 102.</w:t>
      </w:r>
    </w:p>
  </w:footnote>
  <w:footnote w:id="261">
    <w:p w14:paraId="6EB3F73B"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Roland Burke, </w:t>
      </w:r>
      <w:r w:rsidRPr="00845302">
        <w:rPr>
          <w:rFonts w:ascii="Times New Roman" w:hAnsi="Times New Roman"/>
          <w:i/>
          <w:sz w:val="16"/>
          <w:szCs w:val="16"/>
        </w:rPr>
        <w:t xml:space="preserve">op. cit., </w:t>
      </w:r>
      <w:r w:rsidRPr="00845302">
        <w:rPr>
          <w:rFonts w:ascii="Times New Roman" w:hAnsi="Times New Roman"/>
          <w:sz w:val="16"/>
          <w:szCs w:val="16"/>
        </w:rPr>
        <w:t>posição 1352 [edição kindle].</w:t>
      </w:r>
    </w:p>
  </w:footnote>
  <w:footnote w:id="262">
    <w:p w14:paraId="09208454" w14:textId="77777777" w:rsidR="009D7E8B" w:rsidRPr="00845302" w:rsidRDefault="009D7E8B" w:rsidP="003D7DAB">
      <w:pPr>
        <w:pStyle w:val="Textodenotaderodap"/>
        <w:contextualSpacing/>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um detalhado histórico do direito de petição no âmbito da ONU, veja Roland Burke, </w:t>
      </w:r>
      <w:r w:rsidRPr="00845302">
        <w:rPr>
          <w:rFonts w:ascii="Times New Roman" w:hAnsi="Times New Roman"/>
          <w:i/>
          <w:sz w:val="16"/>
          <w:szCs w:val="16"/>
        </w:rPr>
        <w:t xml:space="preserve">op. cit., </w:t>
      </w:r>
      <w:r w:rsidRPr="00845302">
        <w:rPr>
          <w:rFonts w:ascii="Times New Roman" w:hAnsi="Times New Roman"/>
          <w:sz w:val="16"/>
          <w:szCs w:val="16"/>
        </w:rPr>
        <w:t>em especial capítulo 3, “Putting the Stamps Back On: Apartheid, Anticolonialism, and the Accidental Birth of a Universal Right to Petition”, posição 1331 a 2079 [edição kindle].</w:t>
      </w:r>
    </w:p>
  </w:footnote>
  <w:footnote w:id="263">
    <w:p w14:paraId="3F814197" w14:textId="77777777" w:rsidR="009D7E8B" w:rsidRPr="00845302" w:rsidRDefault="009D7E8B" w:rsidP="003D7DAB">
      <w:pPr>
        <w:pStyle w:val="Textodenotaderodap"/>
        <w:contextualSpacing/>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Steven L.B. Jansen, </w:t>
      </w:r>
      <w:r w:rsidRPr="00845302">
        <w:rPr>
          <w:rFonts w:ascii="Times New Roman" w:hAnsi="Times New Roman"/>
          <w:i/>
          <w:sz w:val="16"/>
          <w:szCs w:val="16"/>
        </w:rPr>
        <w:t xml:space="preserve">op.cit, </w:t>
      </w:r>
      <w:r w:rsidRPr="00845302">
        <w:rPr>
          <w:rFonts w:ascii="Times New Roman" w:hAnsi="Times New Roman"/>
          <w:sz w:val="16"/>
          <w:szCs w:val="16"/>
        </w:rPr>
        <w:t>p. 124-5.</w:t>
      </w:r>
    </w:p>
  </w:footnote>
  <w:footnote w:id="264">
    <w:p w14:paraId="6F856719" w14:textId="77777777" w:rsidR="009D7E8B" w:rsidRPr="00845302" w:rsidRDefault="009D7E8B" w:rsidP="003D7DAB">
      <w:pPr>
        <w:pStyle w:val="Textodenotaderodap"/>
        <w:rPr>
          <w:rFonts w:ascii="Times New Roman" w:hAnsi="Times New Roman"/>
          <w:i/>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Para uma reflexão a respeito deste tema, veja: Guilherme Assis de Almeida, </w:t>
      </w:r>
      <w:r w:rsidRPr="00845302">
        <w:rPr>
          <w:rFonts w:ascii="Times New Roman" w:hAnsi="Times New Roman"/>
          <w:i/>
          <w:sz w:val="16"/>
          <w:szCs w:val="16"/>
        </w:rPr>
        <w:t xml:space="preserve">Direitos Humanos e Não Violência. </w:t>
      </w:r>
      <w:r w:rsidRPr="00845302">
        <w:rPr>
          <w:rFonts w:ascii="Times New Roman" w:hAnsi="Times New Roman"/>
          <w:sz w:val="16"/>
          <w:szCs w:val="16"/>
        </w:rPr>
        <w:t>São Paulo: Editora Atlas, 2015 (2 edição).</w:t>
      </w:r>
      <w:r w:rsidRPr="00845302">
        <w:rPr>
          <w:rFonts w:ascii="Times New Roman" w:hAnsi="Times New Roman"/>
          <w:i/>
          <w:sz w:val="16"/>
          <w:szCs w:val="16"/>
        </w:rPr>
        <w:t xml:space="preserve"> </w:t>
      </w:r>
    </w:p>
  </w:footnote>
  <w:footnote w:id="265">
    <w:p w14:paraId="6BD10C03"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Hans Kelsen. </w:t>
      </w:r>
      <w:r w:rsidRPr="00845302">
        <w:rPr>
          <w:rFonts w:ascii="Times New Roman" w:hAnsi="Times New Roman"/>
          <w:i/>
          <w:sz w:val="16"/>
          <w:szCs w:val="16"/>
        </w:rPr>
        <w:t xml:space="preserve">Principles of International Law </w:t>
      </w:r>
      <w:r w:rsidRPr="00845302">
        <w:rPr>
          <w:rFonts w:ascii="Times New Roman" w:hAnsi="Times New Roman"/>
          <w:sz w:val="16"/>
          <w:szCs w:val="16"/>
        </w:rPr>
        <w:t xml:space="preserve">New York: Rinehart&amp;Company, 1952 </w:t>
      </w:r>
      <w:hyperlink r:id="rId13" w:history="1">
        <w:r w:rsidRPr="00845302">
          <w:rPr>
            <w:rStyle w:val="Hyperlink"/>
            <w:rFonts w:ascii="Times New Roman" w:hAnsi="Times New Roman"/>
            <w:sz w:val="16"/>
            <w:szCs w:val="16"/>
          </w:rPr>
          <w:t>https://babel.hathitrust.org/cgi/pt?id=mdp.39015021919280;view=1up;seq=1</w:t>
        </w:r>
      </w:hyperlink>
      <w:r w:rsidRPr="00845302">
        <w:rPr>
          <w:rFonts w:ascii="Times New Roman" w:hAnsi="Times New Roman"/>
          <w:sz w:val="16"/>
          <w:szCs w:val="16"/>
        </w:rPr>
        <w:t xml:space="preserve">  Acesso em 26 de setembro de 2017</w:t>
      </w:r>
    </w:p>
  </w:footnote>
  <w:footnote w:id="266">
    <w:p w14:paraId="4DC6B883" w14:textId="77777777" w:rsidR="009D7E8B" w:rsidRPr="00845302" w:rsidRDefault="009D7E8B" w:rsidP="003D7DAB">
      <w:pPr>
        <w:pStyle w:val="Textodenotaderodap"/>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Roland Portmann, </w:t>
      </w:r>
      <w:r w:rsidRPr="00845302">
        <w:rPr>
          <w:rFonts w:ascii="Times New Roman" w:hAnsi="Times New Roman"/>
          <w:i/>
          <w:sz w:val="16"/>
          <w:szCs w:val="16"/>
        </w:rPr>
        <w:t xml:space="preserve">op. cit. </w:t>
      </w:r>
      <w:r w:rsidRPr="00845302">
        <w:rPr>
          <w:rFonts w:ascii="Times New Roman" w:hAnsi="Times New Roman"/>
          <w:sz w:val="16"/>
          <w:szCs w:val="16"/>
        </w:rPr>
        <w:t xml:space="preserve">capítulo 11, p. 271-81. </w:t>
      </w:r>
    </w:p>
  </w:footnote>
  <w:footnote w:id="267">
    <w:p w14:paraId="5BA1694E" w14:textId="77777777" w:rsidR="009D7E8B" w:rsidRPr="00845302" w:rsidRDefault="009D7E8B" w:rsidP="003D7DAB">
      <w:pPr>
        <w:pStyle w:val="Textodenotaderodap"/>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Roland Portmann, </w:t>
      </w:r>
      <w:r w:rsidRPr="00845302">
        <w:rPr>
          <w:rFonts w:ascii="Times New Roman" w:hAnsi="Times New Roman"/>
          <w:i/>
          <w:sz w:val="16"/>
          <w:szCs w:val="16"/>
        </w:rPr>
        <w:t xml:space="preserve">op. cit., </w:t>
      </w:r>
      <w:r w:rsidRPr="00845302">
        <w:rPr>
          <w:rFonts w:ascii="Times New Roman" w:hAnsi="Times New Roman"/>
          <w:sz w:val="16"/>
          <w:szCs w:val="16"/>
        </w:rPr>
        <w:t>p. 276.</w:t>
      </w:r>
    </w:p>
  </w:footnote>
  <w:footnote w:id="268">
    <w:p w14:paraId="5A51CEDE" w14:textId="77777777" w:rsidR="009D7E8B" w:rsidRPr="00845302" w:rsidRDefault="009D7E8B" w:rsidP="003D7DAB">
      <w:pPr>
        <w:pStyle w:val="Textodenotaderodap"/>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Roland Portmann, </w:t>
      </w:r>
      <w:r w:rsidRPr="00845302">
        <w:rPr>
          <w:rFonts w:ascii="Times New Roman" w:hAnsi="Times New Roman"/>
          <w:i/>
          <w:sz w:val="16"/>
          <w:szCs w:val="16"/>
        </w:rPr>
        <w:t xml:space="preserve">op. cit., </w:t>
      </w:r>
      <w:r w:rsidRPr="00845302">
        <w:rPr>
          <w:rFonts w:ascii="Times New Roman" w:hAnsi="Times New Roman"/>
          <w:sz w:val="16"/>
          <w:szCs w:val="16"/>
        </w:rPr>
        <w:t>p. 277.</w:t>
      </w:r>
    </w:p>
  </w:footnote>
  <w:footnote w:id="269">
    <w:p w14:paraId="0F7A0C51"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&lt;</w:t>
      </w:r>
      <w:hyperlink r:id="rId14" w:history="1">
        <w:r w:rsidRPr="00845302">
          <w:rPr>
            <w:rStyle w:val="Hyperlink"/>
            <w:rFonts w:ascii="Times New Roman" w:hAnsi="Times New Roman"/>
            <w:sz w:val="16"/>
            <w:szCs w:val="16"/>
          </w:rPr>
          <w:t>http://www.acnur.org/t3/fileadmin/scripts/doc.php?file=biblioteca/pdf/3391</w:t>
        </w:r>
      </w:hyperlink>
      <w:r w:rsidRPr="00845302">
        <w:rPr>
          <w:rStyle w:val="Hyperlink"/>
          <w:rFonts w:ascii="Times New Roman" w:hAnsi="Times New Roman"/>
          <w:sz w:val="16"/>
          <w:szCs w:val="16"/>
        </w:rPr>
        <w:t>&gt;</w:t>
      </w:r>
      <w:r w:rsidRPr="00845302">
        <w:rPr>
          <w:rFonts w:ascii="Times New Roman" w:hAnsi="Times New Roman"/>
          <w:sz w:val="16"/>
          <w:szCs w:val="16"/>
        </w:rPr>
        <w:t xml:space="preserve"> Acesso em: 21 set. 2017. </w:t>
      </w:r>
    </w:p>
  </w:footnote>
  <w:footnote w:id="270">
    <w:p w14:paraId="583747F5" w14:textId="1FB13685"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Emma Haddad. </w:t>
      </w:r>
      <w:r w:rsidRPr="00845302">
        <w:rPr>
          <w:rFonts w:ascii="Times New Roman" w:hAnsi="Times New Roman"/>
          <w:i/>
          <w:sz w:val="16"/>
          <w:szCs w:val="16"/>
        </w:rPr>
        <w:t xml:space="preserve">The Refugee in International Society: Between Sovereigns. </w:t>
      </w:r>
      <w:r w:rsidRPr="00845302">
        <w:rPr>
          <w:rFonts w:ascii="Times New Roman" w:hAnsi="Times New Roman"/>
          <w:sz w:val="16"/>
          <w:szCs w:val="16"/>
        </w:rPr>
        <w:t>Cambridge Studies in International Relations nº 106. Cambridge: Cambridge University Press, 2008, p. 42.</w:t>
      </w:r>
    </w:p>
  </w:footnote>
  <w:footnote w:id="271">
    <w:p w14:paraId="5BD0553F"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Roger Zetter. “Labelling Refugees: Forming and Transforming a Bureaucratic Identity”. </w:t>
      </w:r>
      <w:r w:rsidRPr="00845302">
        <w:rPr>
          <w:rFonts w:ascii="Times New Roman" w:hAnsi="Times New Roman"/>
          <w:i/>
          <w:sz w:val="16"/>
          <w:szCs w:val="16"/>
        </w:rPr>
        <w:t xml:space="preserve">Journal of Refugee Studies </w:t>
      </w:r>
      <w:r w:rsidRPr="00845302">
        <w:rPr>
          <w:rFonts w:ascii="Times New Roman" w:hAnsi="Times New Roman"/>
          <w:sz w:val="16"/>
          <w:szCs w:val="16"/>
        </w:rPr>
        <w:t>vol. 4, nº 1, 1991, pp. 39-63.</w:t>
      </w:r>
    </w:p>
  </w:footnote>
  <w:footnote w:id="272">
    <w:p w14:paraId="62634A85"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“Nós, Refugiados”. In: Jerome Kohn e Ron H. Feldman (org.) </w:t>
      </w:r>
      <w:r w:rsidRPr="00845302">
        <w:rPr>
          <w:rFonts w:ascii="Times New Roman" w:hAnsi="Times New Roman"/>
          <w:i/>
          <w:sz w:val="16"/>
          <w:szCs w:val="16"/>
        </w:rPr>
        <w:t>Escritos Judaicos</w:t>
      </w:r>
      <w:r w:rsidRPr="00845302">
        <w:rPr>
          <w:rFonts w:ascii="Times New Roman" w:hAnsi="Times New Roman"/>
          <w:sz w:val="16"/>
          <w:szCs w:val="16"/>
        </w:rPr>
        <w:t>, tradução de Laura Degaspare Monte Mascaro, Luciana Garcia de Oliveira e Thiago Dias da Silva. Barueri: Editora Manole 2016 [2007] pp. 477-92; p. 477.</w:t>
      </w:r>
    </w:p>
  </w:footnote>
  <w:footnote w:id="273">
    <w:p w14:paraId="162EBB18"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Nando Sigona. </w:t>
      </w:r>
      <w:r w:rsidRPr="00845302">
        <w:rPr>
          <w:rFonts w:ascii="Times New Roman" w:hAnsi="Times New Roman"/>
          <w:i/>
          <w:sz w:val="16"/>
          <w:szCs w:val="16"/>
        </w:rPr>
        <w:t xml:space="preserve">The Politics of Refugee Voices – Representations, Narratives and Memories. </w:t>
      </w:r>
      <w:r w:rsidRPr="00845302">
        <w:rPr>
          <w:rFonts w:ascii="Times New Roman" w:hAnsi="Times New Roman"/>
          <w:sz w:val="16"/>
          <w:szCs w:val="16"/>
        </w:rPr>
        <w:t>pp. 369-82.</w:t>
      </w:r>
    </w:p>
  </w:footnote>
  <w:footnote w:id="274">
    <w:p w14:paraId="19CC34FA"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Antônio Augusto Cançado Trindade, </w:t>
      </w:r>
      <w:r w:rsidRPr="00845302">
        <w:rPr>
          <w:rFonts w:ascii="Times New Roman" w:hAnsi="Times New Roman"/>
          <w:i/>
          <w:sz w:val="16"/>
          <w:szCs w:val="16"/>
        </w:rPr>
        <w:t xml:space="preserve">op. cit., </w:t>
      </w:r>
      <w:r w:rsidRPr="00845302">
        <w:rPr>
          <w:rFonts w:ascii="Times New Roman" w:hAnsi="Times New Roman"/>
          <w:sz w:val="16"/>
          <w:szCs w:val="16"/>
        </w:rPr>
        <w:t xml:space="preserve">pp. 434-5. </w:t>
      </w:r>
    </w:p>
  </w:footnote>
  <w:footnote w:id="275">
    <w:p w14:paraId="4A192992" w14:textId="77777777" w:rsidR="009D7E8B" w:rsidRPr="00845302" w:rsidRDefault="009D7E8B" w:rsidP="003D7DAB">
      <w:pPr>
        <w:pStyle w:val="Textodenotaderodap"/>
        <w:rPr>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Immanuel Kant, </w:t>
      </w:r>
      <w:r w:rsidRPr="00845302">
        <w:rPr>
          <w:rFonts w:ascii="Times New Roman" w:hAnsi="Times New Roman"/>
          <w:i/>
          <w:sz w:val="16"/>
          <w:szCs w:val="16"/>
        </w:rPr>
        <w:t>op. cit.,</w:t>
      </w:r>
      <w:r w:rsidRPr="00845302">
        <w:rPr>
          <w:rFonts w:ascii="Times New Roman" w:hAnsi="Times New Roman"/>
          <w:sz w:val="16"/>
          <w:szCs w:val="16"/>
        </w:rPr>
        <w:t xml:space="preserve"> p. 140.</w:t>
      </w:r>
    </w:p>
  </w:footnote>
  <w:footnote w:id="276">
    <w:p w14:paraId="425C9C35" w14:textId="77777777" w:rsidR="009D7E8B" w:rsidRPr="00845302" w:rsidRDefault="009D7E8B" w:rsidP="003D7DAB">
      <w:pPr>
        <w:pStyle w:val="Textodenotaderodap"/>
        <w:rPr>
          <w:rFonts w:ascii="Times New Roman" w:hAnsi="Times New Roman"/>
          <w:sz w:val="16"/>
          <w:szCs w:val="16"/>
        </w:rPr>
      </w:pPr>
      <w:r w:rsidRPr="00845302">
        <w:rPr>
          <w:rStyle w:val="Refdenotaderodap"/>
          <w:sz w:val="16"/>
          <w:szCs w:val="16"/>
        </w:rPr>
        <w:footnoteRef/>
      </w:r>
      <w:r w:rsidRPr="00845302">
        <w:rPr>
          <w:sz w:val="16"/>
          <w:szCs w:val="16"/>
        </w:rPr>
        <w:t xml:space="preserve"> </w:t>
      </w:r>
      <w:r w:rsidRPr="00845302">
        <w:rPr>
          <w:rFonts w:ascii="Times New Roman" w:hAnsi="Times New Roman"/>
          <w:sz w:val="16"/>
          <w:szCs w:val="16"/>
        </w:rPr>
        <w:t xml:space="preserve">Hannah Arendt. </w:t>
      </w:r>
      <w:r w:rsidRPr="00845302">
        <w:rPr>
          <w:rFonts w:ascii="Times New Roman" w:hAnsi="Times New Roman"/>
          <w:i/>
          <w:sz w:val="16"/>
          <w:szCs w:val="16"/>
        </w:rPr>
        <w:t>Origens do Totalitarismo –</w:t>
      </w:r>
      <w:r w:rsidRPr="00845302">
        <w:rPr>
          <w:rFonts w:ascii="Times New Roman" w:hAnsi="Times New Roman"/>
          <w:sz w:val="16"/>
          <w:szCs w:val="16"/>
        </w:rPr>
        <w:t xml:space="preserve"> </w:t>
      </w:r>
      <w:r w:rsidRPr="00845302">
        <w:rPr>
          <w:rFonts w:ascii="Times New Roman" w:hAnsi="Times New Roman"/>
          <w:i/>
          <w:sz w:val="16"/>
          <w:szCs w:val="16"/>
        </w:rPr>
        <w:t xml:space="preserve">Antissemitismo, Imperialismo, Totalitarismo, </w:t>
      </w:r>
      <w:r w:rsidRPr="00845302">
        <w:rPr>
          <w:rFonts w:ascii="Times New Roman" w:hAnsi="Times New Roman"/>
          <w:sz w:val="16"/>
          <w:szCs w:val="16"/>
        </w:rPr>
        <w:t>tradução de Roberto Raposo. São Paulo: Companhia das Letras, 1989 [1949], p. 331.</w:t>
      </w:r>
    </w:p>
    <w:p w14:paraId="75E172BE" w14:textId="77777777" w:rsidR="009D7E8B" w:rsidRPr="00845302" w:rsidRDefault="009D7E8B" w:rsidP="003D7DAB">
      <w:pPr>
        <w:pStyle w:val="Textodenotaderodap"/>
        <w:rPr>
          <w:rFonts w:ascii="Times New Roman" w:hAnsi="Times New Roman"/>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051228"/>
      <w:docPartObj>
        <w:docPartGallery w:val="Page Numbers (Top of Page)"/>
        <w:docPartUnique/>
      </w:docPartObj>
    </w:sdtPr>
    <w:sdtEndPr/>
    <w:sdtContent>
      <w:p w14:paraId="4C3A46DA" w14:textId="63FC58AD" w:rsidR="009D7E8B" w:rsidRDefault="009D7E8B">
        <w:pPr>
          <w:pStyle w:val="Cabealho"/>
          <w:jc w:val="right"/>
        </w:pPr>
        <w:r>
          <w:fldChar w:fldCharType="begin"/>
        </w:r>
        <w:r>
          <w:instrText>PAGE   \* MERGEFORMAT</w:instrText>
        </w:r>
        <w:r>
          <w:fldChar w:fldCharType="separate"/>
        </w:r>
        <w:r w:rsidR="00892F89">
          <w:rPr>
            <w:noProof/>
          </w:rPr>
          <w:t>7</w:t>
        </w:r>
        <w:r>
          <w:fldChar w:fldCharType="end"/>
        </w:r>
      </w:p>
    </w:sdtContent>
  </w:sdt>
  <w:p w14:paraId="0968027F" w14:textId="77777777" w:rsidR="009D7E8B" w:rsidRDefault="009D7E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3C4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6861"/>
    <w:multiLevelType w:val="multilevel"/>
    <w:tmpl w:val="46EAD67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2AB7A3A"/>
    <w:multiLevelType w:val="multilevel"/>
    <w:tmpl w:val="CA048CE6"/>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8FD0387"/>
    <w:multiLevelType w:val="hybridMultilevel"/>
    <w:tmpl w:val="D5DE2BE4"/>
    <w:lvl w:ilvl="0" w:tplc="4802CBB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A6332DD"/>
    <w:multiLevelType w:val="multilevel"/>
    <w:tmpl w:val="2C9A651E"/>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27B360E"/>
    <w:multiLevelType w:val="multilevel"/>
    <w:tmpl w:val="CBE8009C"/>
    <w:lvl w:ilvl="0">
      <w:start w:val="1"/>
      <w:numFmt w:val="decimal"/>
      <w:lvlText w:val="%1."/>
      <w:lvlJc w:val="left"/>
      <w:pPr>
        <w:ind w:left="465" w:hanging="465"/>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4DC726D"/>
    <w:multiLevelType w:val="hybridMultilevel"/>
    <w:tmpl w:val="34F03B2A"/>
    <w:lvl w:ilvl="0" w:tplc="976EFFFC">
      <w:start w:val="1"/>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7" w15:restartNumberingAfterBreak="0">
    <w:nsid w:val="169459AB"/>
    <w:multiLevelType w:val="multilevel"/>
    <w:tmpl w:val="5838D1EC"/>
    <w:lvl w:ilvl="0">
      <w:start w:val="2"/>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6A622F9"/>
    <w:multiLevelType w:val="multilevel"/>
    <w:tmpl w:val="EAA42852"/>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83B4521"/>
    <w:multiLevelType w:val="multilevel"/>
    <w:tmpl w:val="BDA637C0"/>
    <w:lvl w:ilvl="0">
      <w:start w:val="1"/>
      <w:numFmt w:val="decimal"/>
      <w:lvlText w:val="%1."/>
      <w:lvlJc w:val="left"/>
      <w:pPr>
        <w:ind w:left="465" w:hanging="465"/>
      </w:pPr>
      <w:rPr>
        <w:rFonts w:hint="default"/>
        <w:b w:val="0"/>
      </w:rPr>
    </w:lvl>
    <w:lvl w:ilvl="1">
      <w:start w:val="1"/>
      <w:numFmt w:val="decimal"/>
      <w:lvlText w:val="%1.%2)"/>
      <w:lvlJc w:val="left"/>
      <w:pPr>
        <w:ind w:left="2148" w:hanging="720"/>
      </w:pPr>
      <w:rPr>
        <w:rFonts w:hint="default"/>
        <w:b w:val="0"/>
      </w:rPr>
    </w:lvl>
    <w:lvl w:ilvl="2">
      <w:start w:val="1"/>
      <w:numFmt w:val="decimal"/>
      <w:lvlText w:val="%1.%2)%3."/>
      <w:lvlJc w:val="left"/>
      <w:pPr>
        <w:ind w:left="3576" w:hanging="720"/>
      </w:pPr>
      <w:rPr>
        <w:rFonts w:hint="default"/>
        <w:b w:val="0"/>
      </w:rPr>
    </w:lvl>
    <w:lvl w:ilvl="3">
      <w:start w:val="1"/>
      <w:numFmt w:val="decimal"/>
      <w:lvlText w:val="%1.%2)%3.%4."/>
      <w:lvlJc w:val="left"/>
      <w:pPr>
        <w:ind w:left="5364" w:hanging="1080"/>
      </w:pPr>
      <w:rPr>
        <w:rFonts w:hint="default"/>
        <w:b w:val="0"/>
      </w:rPr>
    </w:lvl>
    <w:lvl w:ilvl="4">
      <w:start w:val="1"/>
      <w:numFmt w:val="decimal"/>
      <w:lvlText w:val="%1.%2)%3.%4.%5."/>
      <w:lvlJc w:val="left"/>
      <w:pPr>
        <w:ind w:left="6792" w:hanging="1080"/>
      </w:pPr>
      <w:rPr>
        <w:rFonts w:hint="default"/>
        <w:b w:val="0"/>
      </w:rPr>
    </w:lvl>
    <w:lvl w:ilvl="5">
      <w:start w:val="1"/>
      <w:numFmt w:val="decimal"/>
      <w:lvlText w:val="%1.%2)%3.%4.%5.%6."/>
      <w:lvlJc w:val="left"/>
      <w:pPr>
        <w:ind w:left="8580" w:hanging="1440"/>
      </w:pPr>
      <w:rPr>
        <w:rFonts w:hint="default"/>
        <w:b w:val="0"/>
      </w:rPr>
    </w:lvl>
    <w:lvl w:ilvl="6">
      <w:start w:val="1"/>
      <w:numFmt w:val="decimal"/>
      <w:lvlText w:val="%1.%2)%3.%4.%5.%6.%7."/>
      <w:lvlJc w:val="left"/>
      <w:pPr>
        <w:ind w:left="10368" w:hanging="1800"/>
      </w:pPr>
      <w:rPr>
        <w:rFonts w:hint="default"/>
        <w:b w:val="0"/>
      </w:rPr>
    </w:lvl>
    <w:lvl w:ilvl="7">
      <w:start w:val="1"/>
      <w:numFmt w:val="decimal"/>
      <w:lvlText w:val="%1.%2)%3.%4.%5.%6.%7.%8."/>
      <w:lvlJc w:val="left"/>
      <w:pPr>
        <w:ind w:left="11796" w:hanging="1800"/>
      </w:pPr>
      <w:rPr>
        <w:rFonts w:hint="default"/>
        <w:b w:val="0"/>
      </w:rPr>
    </w:lvl>
    <w:lvl w:ilvl="8">
      <w:start w:val="1"/>
      <w:numFmt w:val="decimal"/>
      <w:lvlText w:val="%1.%2)%3.%4.%5.%6.%7.%8.%9."/>
      <w:lvlJc w:val="left"/>
      <w:pPr>
        <w:ind w:left="13584" w:hanging="2160"/>
      </w:pPr>
      <w:rPr>
        <w:rFonts w:hint="default"/>
        <w:b w:val="0"/>
      </w:rPr>
    </w:lvl>
  </w:abstractNum>
  <w:abstractNum w:abstractNumId="10" w15:restartNumberingAfterBreak="0">
    <w:nsid w:val="1BC05545"/>
    <w:multiLevelType w:val="multilevel"/>
    <w:tmpl w:val="1890A28C"/>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F602D72"/>
    <w:multiLevelType w:val="hybridMultilevel"/>
    <w:tmpl w:val="A4864A92"/>
    <w:lvl w:ilvl="0" w:tplc="D556DB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0D17ABE"/>
    <w:multiLevelType w:val="hybridMultilevel"/>
    <w:tmpl w:val="9386137E"/>
    <w:lvl w:ilvl="0" w:tplc="54141296">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1CA512E"/>
    <w:multiLevelType w:val="hybridMultilevel"/>
    <w:tmpl w:val="BE3699C6"/>
    <w:lvl w:ilvl="0" w:tplc="76EE1E2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34D579C"/>
    <w:multiLevelType w:val="hybridMultilevel"/>
    <w:tmpl w:val="3CEEEBF6"/>
    <w:lvl w:ilvl="0" w:tplc="1AEACB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363B357B"/>
    <w:multiLevelType w:val="multilevel"/>
    <w:tmpl w:val="D7C4343C"/>
    <w:lvl w:ilvl="0">
      <w:start w:val="1"/>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99F49FC"/>
    <w:multiLevelType w:val="hybridMultilevel"/>
    <w:tmpl w:val="0834F50E"/>
    <w:lvl w:ilvl="0" w:tplc="FF587C6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C426400"/>
    <w:multiLevelType w:val="multilevel"/>
    <w:tmpl w:val="24506D2A"/>
    <w:lvl w:ilvl="0">
      <w:start w:val="1"/>
      <w:numFmt w:val="decimal"/>
      <w:lvlText w:val="%1."/>
      <w:lvlJc w:val="left"/>
      <w:pPr>
        <w:ind w:left="735" w:hanging="735"/>
      </w:pPr>
      <w:rPr>
        <w:rFonts w:hint="default"/>
      </w:rPr>
    </w:lvl>
    <w:lvl w:ilvl="1">
      <w:start w:val="1"/>
      <w:numFmt w:val="decimal"/>
      <w:lvlText w:val="%1.%2."/>
      <w:lvlJc w:val="left"/>
      <w:pPr>
        <w:ind w:left="1449" w:hanging="735"/>
      </w:pPr>
      <w:rPr>
        <w:rFonts w:hint="default"/>
      </w:rPr>
    </w:lvl>
    <w:lvl w:ilvl="2">
      <w:start w:val="1"/>
      <w:numFmt w:val="decimal"/>
      <w:lvlText w:val="%1.%2.%3)"/>
      <w:lvlJc w:val="left"/>
      <w:pPr>
        <w:ind w:left="2163" w:hanging="735"/>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41285817"/>
    <w:multiLevelType w:val="hybridMultilevel"/>
    <w:tmpl w:val="3B56D9BC"/>
    <w:lvl w:ilvl="0" w:tplc="DFFC571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4A2957F1"/>
    <w:multiLevelType w:val="multilevel"/>
    <w:tmpl w:val="7204629A"/>
    <w:lvl w:ilvl="0">
      <w:start w:val="1"/>
      <w:numFmt w:val="decimal"/>
      <w:lvlText w:val="%1."/>
      <w:lvlJc w:val="left"/>
      <w:pPr>
        <w:ind w:left="465" w:hanging="465"/>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0" w15:restartNumberingAfterBreak="0">
    <w:nsid w:val="50FA407E"/>
    <w:multiLevelType w:val="hybridMultilevel"/>
    <w:tmpl w:val="DB3E6BE4"/>
    <w:lvl w:ilvl="0" w:tplc="2618EC9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5D91AE5"/>
    <w:multiLevelType w:val="multilevel"/>
    <w:tmpl w:val="D9DEC694"/>
    <w:lvl w:ilvl="0">
      <w:start w:val="1"/>
      <w:numFmt w:val="decimal"/>
      <w:lvlText w:val="%1."/>
      <w:lvlJc w:val="left"/>
      <w:pPr>
        <w:ind w:left="465" w:hanging="46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2" w15:restartNumberingAfterBreak="0">
    <w:nsid w:val="590A1EA5"/>
    <w:multiLevelType w:val="multilevel"/>
    <w:tmpl w:val="94643EE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A2867C5"/>
    <w:multiLevelType w:val="hybridMultilevel"/>
    <w:tmpl w:val="9098A8C2"/>
    <w:lvl w:ilvl="0" w:tplc="E8AEF20E">
      <w:start w:val="6"/>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D317141"/>
    <w:multiLevelType w:val="multilevel"/>
    <w:tmpl w:val="339402B4"/>
    <w:lvl w:ilvl="0">
      <w:start w:val="1"/>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ED3185E"/>
    <w:multiLevelType w:val="hybridMultilevel"/>
    <w:tmpl w:val="A5564A40"/>
    <w:lvl w:ilvl="0" w:tplc="358A6E4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667B4A57"/>
    <w:multiLevelType w:val="multilevel"/>
    <w:tmpl w:val="BDEEF1E0"/>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6F2418EC"/>
    <w:multiLevelType w:val="multilevel"/>
    <w:tmpl w:val="672C59DC"/>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39619C3"/>
    <w:multiLevelType w:val="multilevel"/>
    <w:tmpl w:val="0EB4712A"/>
    <w:lvl w:ilvl="0">
      <w:start w:val="1"/>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A346A49"/>
    <w:multiLevelType w:val="hybridMultilevel"/>
    <w:tmpl w:val="E5F6D570"/>
    <w:lvl w:ilvl="0" w:tplc="F8C898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7B496F3C"/>
    <w:multiLevelType w:val="multilevel"/>
    <w:tmpl w:val="77A0BD0E"/>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7"/>
  </w:num>
  <w:num w:numId="2">
    <w:abstractNumId w:val="6"/>
  </w:num>
  <w:num w:numId="3">
    <w:abstractNumId w:val="12"/>
  </w:num>
  <w:num w:numId="4">
    <w:abstractNumId w:val="25"/>
  </w:num>
  <w:num w:numId="5">
    <w:abstractNumId w:val="3"/>
  </w:num>
  <w:num w:numId="6">
    <w:abstractNumId w:val="5"/>
  </w:num>
  <w:num w:numId="7">
    <w:abstractNumId w:val="13"/>
  </w:num>
  <w:num w:numId="8">
    <w:abstractNumId w:val="21"/>
  </w:num>
  <w:num w:numId="9">
    <w:abstractNumId w:val="22"/>
  </w:num>
  <w:num w:numId="10">
    <w:abstractNumId w:val="8"/>
  </w:num>
  <w:num w:numId="11">
    <w:abstractNumId w:val="4"/>
  </w:num>
  <w:num w:numId="12">
    <w:abstractNumId w:val="19"/>
  </w:num>
  <w:num w:numId="13">
    <w:abstractNumId w:val="2"/>
  </w:num>
  <w:num w:numId="14">
    <w:abstractNumId w:val="30"/>
  </w:num>
  <w:num w:numId="15">
    <w:abstractNumId w:val="17"/>
  </w:num>
  <w:num w:numId="16">
    <w:abstractNumId w:val="1"/>
  </w:num>
  <w:num w:numId="17">
    <w:abstractNumId w:val="10"/>
  </w:num>
  <w:num w:numId="18">
    <w:abstractNumId w:val="26"/>
  </w:num>
  <w:num w:numId="19">
    <w:abstractNumId w:val="9"/>
  </w:num>
  <w:num w:numId="20">
    <w:abstractNumId w:val="29"/>
  </w:num>
  <w:num w:numId="21">
    <w:abstractNumId w:val="23"/>
  </w:num>
  <w:num w:numId="22">
    <w:abstractNumId w:val="20"/>
  </w:num>
  <w:num w:numId="23">
    <w:abstractNumId w:val="0"/>
  </w:num>
  <w:num w:numId="24">
    <w:abstractNumId w:val="24"/>
  </w:num>
  <w:num w:numId="25">
    <w:abstractNumId w:val="15"/>
  </w:num>
  <w:num w:numId="26">
    <w:abstractNumId w:val="28"/>
  </w:num>
  <w:num w:numId="27">
    <w:abstractNumId w:val="7"/>
  </w:num>
  <w:num w:numId="28">
    <w:abstractNumId w:val="18"/>
  </w:num>
  <w:num w:numId="29">
    <w:abstractNumId w:val="11"/>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FA"/>
    <w:rsid w:val="00032C94"/>
    <w:rsid w:val="000344F6"/>
    <w:rsid w:val="00043345"/>
    <w:rsid w:val="00061F9A"/>
    <w:rsid w:val="000C5C6B"/>
    <w:rsid w:val="000D71D1"/>
    <w:rsid w:val="000F4DDA"/>
    <w:rsid w:val="001348A4"/>
    <w:rsid w:val="00156CFA"/>
    <w:rsid w:val="001847DF"/>
    <w:rsid w:val="001D40F4"/>
    <w:rsid w:val="001E79B6"/>
    <w:rsid w:val="00201C57"/>
    <w:rsid w:val="00204620"/>
    <w:rsid w:val="00220533"/>
    <w:rsid w:val="00221151"/>
    <w:rsid w:val="002308F6"/>
    <w:rsid w:val="00265580"/>
    <w:rsid w:val="00292934"/>
    <w:rsid w:val="002C1356"/>
    <w:rsid w:val="002C1F28"/>
    <w:rsid w:val="00306BD4"/>
    <w:rsid w:val="003302FF"/>
    <w:rsid w:val="00340DD8"/>
    <w:rsid w:val="003425ED"/>
    <w:rsid w:val="00350D33"/>
    <w:rsid w:val="003533FA"/>
    <w:rsid w:val="00364E34"/>
    <w:rsid w:val="003837CE"/>
    <w:rsid w:val="003D7DAB"/>
    <w:rsid w:val="003E0342"/>
    <w:rsid w:val="00437473"/>
    <w:rsid w:val="004830BB"/>
    <w:rsid w:val="00493262"/>
    <w:rsid w:val="005067DB"/>
    <w:rsid w:val="00515857"/>
    <w:rsid w:val="0052064B"/>
    <w:rsid w:val="00523BAA"/>
    <w:rsid w:val="00527810"/>
    <w:rsid w:val="0053398B"/>
    <w:rsid w:val="0054308A"/>
    <w:rsid w:val="00583A23"/>
    <w:rsid w:val="00586C20"/>
    <w:rsid w:val="005B476A"/>
    <w:rsid w:val="005C030A"/>
    <w:rsid w:val="005C6848"/>
    <w:rsid w:val="005E1206"/>
    <w:rsid w:val="005F1552"/>
    <w:rsid w:val="006052DF"/>
    <w:rsid w:val="00615C35"/>
    <w:rsid w:val="00647ACF"/>
    <w:rsid w:val="0066647E"/>
    <w:rsid w:val="00677ADF"/>
    <w:rsid w:val="0069203B"/>
    <w:rsid w:val="006B7157"/>
    <w:rsid w:val="006E61C7"/>
    <w:rsid w:val="006F5097"/>
    <w:rsid w:val="00742302"/>
    <w:rsid w:val="00746A6E"/>
    <w:rsid w:val="0075735E"/>
    <w:rsid w:val="00772B62"/>
    <w:rsid w:val="00796F9A"/>
    <w:rsid w:val="007B1127"/>
    <w:rsid w:val="008117C9"/>
    <w:rsid w:val="00820024"/>
    <w:rsid w:val="008301C5"/>
    <w:rsid w:val="00841221"/>
    <w:rsid w:val="00842E9F"/>
    <w:rsid w:val="008450B4"/>
    <w:rsid w:val="00845302"/>
    <w:rsid w:val="00863B52"/>
    <w:rsid w:val="0086711A"/>
    <w:rsid w:val="00867343"/>
    <w:rsid w:val="008675A3"/>
    <w:rsid w:val="00891172"/>
    <w:rsid w:val="00892A20"/>
    <w:rsid w:val="00892F89"/>
    <w:rsid w:val="008B1C0F"/>
    <w:rsid w:val="008D6FA6"/>
    <w:rsid w:val="008E3218"/>
    <w:rsid w:val="008E6AB9"/>
    <w:rsid w:val="008F7CC2"/>
    <w:rsid w:val="0090547E"/>
    <w:rsid w:val="00923490"/>
    <w:rsid w:val="00933436"/>
    <w:rsid w:val="00953F1C"/>
    <w:rsid w:val="009903A6"/>
    <w:rsid w:val="00992918"/>
    <w:rsid w:val="009A5AC3"/>
    <w:rsid w:val="009D7E8B"/>
    <w:rsid w:val="009E3506"/>
    <w:rsid w:val="00A1179E"/>
    <w:rsid w:val="00A20E3F"/>
    <w:rsid w:val="00A23E7D"/>
    <w:rsid w:val="00A24AED"/>
    <w:rsid w:val="00A931C3"/>
    <w:rsid w:val="00AA0EF9"/>
    <w:rsid w:val="00AA324E"/>
    <w:rsid w:val="00AB1CD5"/>
    <w:rsid w:val="00AC16F9"/>
    <w:rsid w:val="00AD7D01"/>
    <w:rsid w:val="00B045A3"/>
    <w:rsid w:val="00B05CCC"/>
    <w:rsid w:val="00B226E2"/>
    <w:rsid w:val="00B45E15"/>
    <w:rsid w:val="00B6101B"/>
    <w:rsid w:val="00B72221"/>
    <w:rsid w:val="00B76A96"/>
    <w:rsid w:val="00BB6C33"/>
    <w:rsid w:val="00BD3282"/>
    <w:rsid w:val="00BE512A"/>
    <w:rsid w:val="00C13EE1"/>
    <w:rsid w:val="00C147DF"/>
    <w:rsid w:val="00C2146E"/>
    <w:rsid w:val="00C30895"/>
    <w:rsid w:val="00C3106C"/>
    <w:rsid w:val="00C442F0"/>
    <w:rsid w:val="00C44339"/>
    <w:rsid w:val="00C5249E"/>
    <w:rsid w:val="00C619DE"/>
    <w:rsid w:val="00CA3A5F"/>
    <w:rsid w:val="00CC14FF"/>
    <w:rsid w:val="00CC42EE"/>
    <w:rsid w:val="00CD2551"/>
    <w:rsid w:val="00CD5839"/>
    <w:rsid w:val="00CD6D0E"/>
    <w:rsid w:val="00CD7A92"/>
    <w:rsid w:val="00CE7477"/>
    <w:rsid w:val="00D11E5C"/>
    <w:rsid w:val="00D2186E"/>
    <w:rsid w:val="00D24797"/>
    <w:rsid w:val="00D30D96"/>
    <w:rsid w:val="00D45BEE"/>
    <w:rsid w:val="00D45E2F"/>
    <w:rsid w:val="00DA5DA9"/>
    <w:rsid w:val="00DB56D2"/>
    <w:rsid w:val="00DC139C"/>
    <w:rsid w:val="00DC6D1D"/>
    <w:rsid w:val="00DD7FD7"/>
    <w:rsid w:val="00DF25F0"/>
    <w:rsid w:val="00E76E4A"/>
    <w:rsid w:val="00E82448"/>
    <w:rsid w:val="00E93970"/>
    <w:rsid w:val="00EA7770"/>
    <w:rsid w:val="00EC4B6F"/>
    <w:rsid w:val="00EC5C94"/>
    <w:rsid w:val="00EC60BF"/>
    <w:rsid w:val="00ED2EBF"/>
    <w:rsid w:val="00EE6EF5"/>
    <w:rsid w:val="00EF5119"/>
    <w:rsid w:val="00F053EE"/>
    <w:rsid w:val="00F73E90"/>
    <w:rsid w:val="00F753A2"/>
    <w:rsid w:val="00F76777"/>
    <w:rsid w:val="00F816DE"/>
    <w:rsid w:val="00F83E80"/>
    <w:rsid w:val="00F87ECF"/>
    <w:rsid w:val="00F91B1D"/>
    <w:rsid w:val="00FF2D35"/>
    <w:rsid w:val="00FF307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283B6"/>
  <w15:docId w15:val="{65150044-BE87-4E74-9E21-7C82C801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F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56CF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56CFA"/>
    <w:rPr>
      <w:rFonts w:ascii="Calibri" w:eastAsia="Calibri" w:hAnsi="Calibri" w:cs="Times New Roman"/>
      <w:sz w:val="20"/>
      <w:szCs w:val="20"/>
    </w:rPr>
  </w:style>
  <w:style w:type="character" w:styleId="Refdenotaderodap">
    <w:name w:val="footnote reference"/>
    <w:uiPriority w:val="99"/>
    <w:unhideWhenUsed/>
    <w:rsid w:val="00156CFA"/>
    <w:rPr>
      <w:vertAlign w:val="superscript"/>
    </w:rPr>
  </w:style>
  <w:style w:type="paragraph" w:styleId="PargrafodaLista">
    <w:name w:val="List Paragraph"/>
    <w:basedOn w:val="Normal"/>
    <w:uiPriority w:val="34"/>
    <w:qFormat/>
    <w:rsid w:val="00156CFA"/>
    <w:pPr>
      <w:ind w:left="720"/>
      <w:contextualSpacing/>
    </w:pPr>
  </w:style>
  <w:style w:type="paragraph" w:styleId="Textodebalo">
    <w:name w:val="Balloon Text"/>
    <w:basedOn w:val="Normal"/>
    <w:link w:val="TextodebaloChar"/>
    <w:uiPriority w:val="99"/>
    <w:semiHidden/>
    <w:unhideWhenUsed/>
    <w:rsid w:val="00523B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3BAA"/>
    <w:rPr>
      <w:rFonts w:ascii="Segoe UI" w:eastAsia="Calibri" w:hAnsi="Segoe UI" w:cs="Segoe UI"/>
      <w:sz w:val="18"/>
      <w:szCs w:val="18"/>
    </w:rPr>
  </w:style>
  <w:style w:type="character" w:styleId="Hyperlink">
    <w:name w:val="Hyperlink"/>
    <w:basedOn w:val="Fontepargpadro"/>
    <w:uiPriority w:val="99"/>
    <w:unhideWhenUsed/>
    <w:rsid w:val="00842E9F"/>
    <w:rPr>
      <w:color w:val="0563C1" w:themeColor="hyperlink"/>
      <w:u w:val="single"/>
    </w:rPr>
  </w:style>
  <w:style w:type="character" w:customStyle="1" w:styleId="MenoPendente1">
    <w:name w:val="Menção Pendente1"/>
    <w:basedOn w:val="Fontepargpadro"/>
    <w:uiPriority w:val="99"/>
    <w:semiHidden/>
    <w:unhideWhenUsed/>
    <w:rsid w:val="00842E9F"/>
    <w:rPr>
      <w:color w:val="808080"/>
      <w:shd w:val="clear" w:color="auto" w:fill="E6E6E6"/>
    </w:rPr>
  </w:style>
  <w:style w:type="paragraph" w:customStyle="1" w:styleId="Style1">
    <w:name w:val="Style1"/>
    <w:basedOn w:val="Textodenotaderodap"/>
    <w:link w:val="Style1Char"/>
    <w:qFormat/>
    <w:rsid w:val="00F91B1D"/>
    <w:pPr>
      <w:ind w:left="2124"/>
    </w:pPr>
    <w:rPr>
      <w:rFonts w:ascii="Times New Roman" w:hAnsi="Times New Roman"/>
      <w:sz w:val="24"/>
      <w:szCs w:val="24"/>
    </w:rPr>
  </w:style>
  <w:style w:type="character" w:customStyle="1" w:styleId="Style1Char">
    <w:name w:val="Style1 Char"/>
    <w:basedOn w:val="TextodenotaderodapChar"/>
    <w:link w:val="Style1"/>
    <w:rsid w:val="00F91B1D"/>
    <w:rPr>
      <w:rFonts w:ascii="Times New Roman" w:eastAsia="Calibri" w:hAnsi="Times New Roman" w:cs="Times New Roman"/>
      <w:sz w:val="24"/>
      <w:szCs w:val="24"/>
    </w:rPr>
  </w:style>
  <w:style w:type="paragraph" w:customStyle="1" w:styleId="citao">
    <w:name w:val="citação"/>
    <w:basedOn w:val="Style1"/>
    <w:link w:val="citaoChar"/>
    <w:qFormat/>
    <w:rsid w:val="0090547E"/>
    <w:pPr>
      <w:spacing w:before="120" w:after="120"/>
    </w:pPr>
    <w:rPr>
      <w:sz w:val="22"/>
    </w:rPr>
  </w:style>
  <w:style w:type="character" w:customStyle="1" w:styleId="citaoChar">
    <w:name w:val="citação Char"/>
    <w:basedOn w:val="Style1Char"/>
    <w:link w:val="citao"/>
    <w:rsid w:val="0090547E"/>
    <w:rPr>
      <w:rFonts w:ascii="Times New Roman" w:eastAsia="Calibri" w:hAnsi="Times New Roman" w:cs="Times New Roman"/>
      <w:sz w:val="24"/>
      <w:szCs w:val="24"/>
    </w:rPr>
  </w:style>
  <w:style w:type="paragraph" w:styleId="Cabealho">
    <w:name w:val="header"/>
    <w:basedOn w:val="Normal"/>
    <w:link w:val="CabealhoChar"/>
    <w:uiPriority w:val="99"/>
    <w:unhideWhenUsed/>
    <w:rsid w:val="003D7D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7DAB"/>
    <w:rPr>
      <w:rFonts w:ascii="Calibri" w:eastAsia="Calibri" w:hAnsi="Calibri" w:cs="Times New Roman"/>
    </w:rPr>
  </w:style>
  <w:style w:type="paragraph" w:styleId="Rodap">
    <w:name w:val="footer"/>
    <w:basedOn w:val="Normal"/>
    <w:link w:val="RodapChar"/>
    <w:uiPriority w:val="99"/>
    <w:unhideWhenUsed/>
    <w:rsid w:val="003D7DAB"/>
    <w:pPr>
      <w:tabs>
        <w:tab w:val="center" w:pos="4252"/>
        <w:tab w:val="right" w:pos="8504"/>
      </w:tabs>
      <w:spacing w:after="0" w:line="240" w:lineRule="auto"/>
    </w:pPr>
  </w:style>
  <w:style w:type="character" w:customStyle="1" w:styleId="RodapChar">
    <w:name w:val="Rodapé Char"/>
    <w:basedOn w:val="Fontepargpadro"/>
    <w:link w:val="Rodap"/>
    <w:uiPriority w:val="99"/>
    <w:rsid w:val="003D7DAB"/>
    <w:rPr>
      <w:rFonts w:ascii="Calibri" w:eastAsia="Calibri" w:hAnsi="Calibri" w:cs="Times New Roman"/>
    </w:rPr>
  </w:style>
  <w:style w:type="character" w:customStyle="1" w:styleId="MenoPendente10">
    <w:name w:val="Menção Pendente1"/>
    <w:uiPriority w:val="99"/>
    <w:semiHidden/>
    <w:unhideWhenUsed/>
    <w:rsid w:val="003D7DAB"/>
    <w:rPr>
      <w:color w:val="808080"/>
      <w:shd w:val="clear" w:color="auto" w:fill="E6E6E6"/>
    </w:rPr>
  </w:style>
  <w:style w:type="paragraph" w:customStyle="1" w:styleId="Citao1">
    <w:name w:val="Citação1"/>
    <w:basedOn w:val="Normal"/>
    <w:qFormat/>
    <w:rsid w:val="003D7DAB"/>
    <w:pPr>
      <w:spacing w:after="0" w:line="360" w:lineRule="auto"/>
      <w:ind w:left="2124" w:firstLine="708"/>
      <w:jc w:val="both"/>
    </w:pPr>
    <w:rPr>
      <w:rFonts w:ascii="Times New Roman" w:hAnsi="Times New Roman"/>
      <w:szCs w:val="24"/>
    </w:rPr>
  </w:style>
  <w:style w:type="character" w:styleId="HiperlinkVisitado">
    <w:name w:val="FollowedHyperlink"/>
    <w:basedOn w:val="Fontepargpadro"/>
    <w:uiPriority w:val="99"/>
    <w:semiHidden/>
    <w:unhideWhenUsed/>
    <w:rsid w:val="003D7DAB"/>
    <w:rPr>
      <w:color w:val="954F72" w:themeColor="followedHyperlink"/>
      <w:u w:val="single"/>
    </w:rPr>
  </w:style>
  <w:style w:type="paragraph" w:customStyle="1" w:styleId="Citao2">
    <w:name w:val="Citação2"/>
    <w:basedOn w:val="Normal"/>
    <w:qFormat/>
    <w:rsid w:val="003D7DAB"/>
    <w:pPr>
      <w:spacing w:after="0" w:line="360" w:lineRule="auto"/>
      <w:ind w:left="2124" w:firstLine="709"/>
      <w:jc w:val="both"/>
    </w:pPr>
    <w:rPr>
      <w:rFonts w:ascii="Times New Roman" w:eastAsiaTheme="minorHAnsi" w:hAnsi="Times New Roman" w:cstheme="minorBidi"/>
      <w:szCs w:val="24"/>
    </w:rPr>
  </w:style>
  <w:style w:type="character" w:customStyle="1" w:styleId="txtarial8ptblack1">
    <w:name w:val="txt_arial_8pt_black1"/>
    <w:rsid w:val="00204620"/>
    <w:rPr>
      <w:rFonts w:ascii="Verdana" w:hAnsi="Verdana" w:hint="default"/>
      <w:color w:val="000000"/>
      <w:sz w:val="16"/>
      <w:szCs w:val="16"/>
    </w:rPr>
  </w:style>
  <w:style w:type="character" w:customStyle="1" w:styleId="apple-style-span">
    <w:name w:val="apple-style-span"/>
    <w:basedOn w:val="Fontepargpadro"/>
    <w:rsid w:val="00204620"/>
  </w:style>
  <w:style w:type="paragraph" w:customStyle="1" w:styleId="TextodoEspaoReservado1">
    <w:name w:val="Texto do Espaço Reservado1"/>
    <w:basedOn w:val="Normal"/>
    <w:uiPriority w:val="99"/>
    <w:semiHidden/>
    <w:rsid w:val="00204620"/>
    <w:pPr>
      <w:keepNext/>
      <w:spacing w:after="0" w:line="480" w:lineRule="auto"/>
      <w:contextualSpacing/>
      <w:jc w:val="both"/>
      <w:outlineLvl w:val="0"/>
    </w:pPr>
    <w:rPr>
      <w:rFonts w:ascii="Verdana" w:eastAsia="MS Gothic"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9909">
      <w:bodyDiv w:val="1"/>
      <w:marLeft w:val="0"/>
      <w:marRight w:val="0"/>
      <w:marTop w:val="0"/>
      <w:marBottom w:val="0"/>
      <w:divBdr>
        <w:top w:val="none" w:sz="0" w:space="0" w:color="auto"/>
        <w:left w:val="none" w:sz="0" w:space="0" w:color="auto"/>
        <w:bottom w:val="none" w:sz="0" w:space="0" w:color="auto"/>
        <w:right w:val="none" w:sz="0" w:space="0" w:color="auto"/>
      </w:divBdr>
      <w:divsChild>
        <w:div w:id="1828091308">
          <w:marLeft w:val="0"/>
          <w:marRight w:val="0"/>
          <w:marTop w:val="0"/>
          <w:marBottom w:val="0"/>
          <w:divBdr>
            <w:top w:val="none" w:sz="0" w:space="0" w:color="auto"/>
            <w:left w:val="none" w:sz="0" w:space="0" w:color="auto"/>
            <w:bottom w:val="none" w:sz="0" w:space="0" w:color="auto"/>
            <w:right w:val="none" w:sz="0" w:space="0" w:color="auto"/>
          </w:divBdr>
        </w:div>
        <w:div w:id="1750618213">
          <w:marLeft w:val="0"/>
          <w:marRight w:val="0"/>
          <w:marTop w:val="0"/>
          <w:marBottom w:val="0"/>
          <w:divBdr>
            <w:top w:val="none" w:sz="0" w:space="0" w:color="auto"/>
            <w:left w:val="none" w:sz="0" w:space="0" w:color="auto"/>
            <w:bottom w:val="none" w:sz="0" w:space="0" w:color="auto"/>
            <w:right w:val="none" w:sz="0" w:space="0" w:color="auto"/>
          </w:divBdr>
        </w:div>
        <w:div w:id="117349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ataloguebnf.fr/ark:/12148/bpt6k5432857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lassiques/Mounier_Emmanuel/personnalisme/personnalisme.html" TargetMode="External"/><Relationship Id="rId13" Type="http://schemas.openxmlformats.org/officeDocument/2006/relationships/hyperlink" Target="https://babel.hathitrust.org/cgi/pt?id=mdp.39015021919280;view=1up;seq=1" TargetMode="External"/><Relationship Id="rId3" Type="http://schemas.openxmlformats.org/officeDocument/2006/relationships/hyperlink" Target="http://www.jstor.org/stable/412299106" TargetMode="External"/><Relationship Id="rId7" Type="http://schemas.openxmlformats.org/officeDocument/2006/relationships/hyperlink" Target="http://cataloguebnf.fr/ark:/12148/bpt6k5432857z" TargetMode="External"/><Relationship Id="rId12" Type="http://schemas.openxmlformats.org/officeDocument/2006/relationships/hyperlink" Target="http://www.un.org/en/sections/issues-depth/decolonization/" TargetMode="External"/><Relationship Id="rId2" Type="http://schemas.openxmlformats.org/officeDocument/2006/relationships/hyperlink" Target="http://www.jstor.org/stable/24068767" TargetMode="External"/><Relationship Id="rId1" Type="http://schemas.openxmlformats.org/officeDocument/2006/relationships/hyperlink" Target="http://therefugeenation.org" TargetMode="External"/><Relationship Id="rId6" Type="http://schemas.openxmlformats.org/officeDocument/2006/relationships/hyperlink" Target="http://cataloguebnf.fr/ark:/12148/bpt6k5432857z" TargetMode="External"/><Relationship Id="rId11" Type="http://schemas.openxmlformats.org/officeDocument/2006/relationships/hyperlink" Target="http://www.unhcr.org/protection/travaux/40a8a7394/final-act-united-nations-conference-plenipotentiaries-status-refugees-stateless.html" TargetMode="External"/><Relationship Id="rId5" Type="http://schemas.openxmlformats.org/officeDocument/2006/relationships/hyperlink" Target="http://cataloguebnf.fr/ark:/12148/bpt6k5432857z" TargetMode="External"/><Relationship Id="rId10" Type="http://schemas.openxmlformats.org/officeDocument/2006/relationships/hyperlink" Target="http://www.icrc.org" TargetMode="External"/><Relationship Id="rId4" Type="http://schemas.openxmlformats.org/officeDocument/2006/relationships/hyperlink" Target="http://www.jstor.org/stable/30114715" TargetMode="External"/><Relationship Id="rId9" Type="http://schemas.openxmlformats.org/officeDocument/2006/relationships/hyperlink" Target="http://www.un.org" TargetMode="External"/><Relationship Id="rId14" Type="http://schemas.openxmlformats.org/officeDocument/2006/relationships/hyperlink" Target="http://www.acnur.org/t3/fileadmin/scripts/doc.php?file=biblioteca/pdf/339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84F7-97C8-4140-B733-E4CDA3B6A96A}">
  <ds:schemaRefs>
    <ds:schemaRef ds:uri="http://schemas.openxmlformats.org/officeDocument/2006/bibliography"/>
  </ds:schemaRefs>
</ds:datastoreItem>
</file>

<file path=customXml/itemProps2.xml><?xml version="1.0" encoding="utf-8"?>
<ds:datastoreItem xmlns:ds="http://schemas.openxmlformats.org/officeDocument/2006/customXml" ds:itemID="{79317EEC-23D2-D04A-9798-2F9C372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33479</Words>
  <Characters>180792</Characters>
  <Application>Microsoft Office Word</Application>
  <DocSecurity>0</DocSecurity>
  <Lines>1506</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Vinícius Abdala</cp:lastModifiedBy>
  <cp:revision>2</cp:revision>
  <cp:lastPrinted>2017-10-01T13:52:00Z</cp:lastPrinted>
  <dcterms:created xsi:type="dcterms:W3CDTF">2020-04-17T15:23:00Z</dcterms:created>
  <dcterms:modified xsi:type="dcterms:W3CDTF">2020-04-17T15:23:00Z</dcterms:modified>
</cp:coreProperties>
</file>