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D0B4" w14:textId="19A027FB" w:rsidR="006337A9" w:rsidRPr="006B0A34" w:rsidRDefault="006337A9" w:rsidP="006B0A34">
      <w:pPr>
        <w:spacing w:line="360" w:lineRule="auto"/>
        <w:jc w:val="both"/>
        <w:rPr>
          <w:rFonts w:ascii="Palatino Linotype" w:hAnsi="Palatino Linotype"/>
          <w:b/>
          <w:bCs/>
        </w:rPr>
      </w:pPr>
      <w:proofErr w:type="spellStart"/>
      <w:r w:rsidRPr="006B0A34">
        <w:rPr>
          <w:rFonts w:ascii="Palatino Linotype" w:hAnsi="Palatino Linotype"/>
          <w:b/>
          <w:bCs/>
        </w:rPr>
        <w:t>Questions</w:t>
      </w:r>
      <w:proofErr w:type="spellEnd"/>
      <w:r w:rsidRPr="006B0A34">
        <w:rPr>
          <w:rFonts w:ascii="Palatino Linotype" w:hAnsi="Palatino Linotype"/>
          <w:b/>
          <w:bCs/>
        </w:rPr>
        <w:t xml:space="preserve"> – </w:t>
      </w:r>
      <w:proofErr w:type="spellStart"/>
      <w:r w:rsidRPr="006B0A34">
        <w:rPr>
          <w:rFonts w:ascii="Palatino Linotype" w:hAnsi="Palatino Linotype"/>
          <w:b/>
          <w:bCs/>
        </w:rPr>
        <w:t>Class</w:t>
      </w:r>
      <w:proofErr w:type="spellEnd"/>
      <w:r w:rsidRPr="006B0A34">
        <w:rPr>
          <w:rFonts w:ascii="Palatino Linotype" w:hAnsi="Palatino Linotype"/>
          <w:b/>
          <w:bCs/>
        </w:rPr>
        <w:t xml:space="preserve"> 17th </w:t>
      </w:r>
      <w:proofErr w:type="spellStart"/>
      <w:r w:rsidRPr="006B0A34">
        <w:rPr>
          <w:rFonts w:ascii="Palatino Linotype" w:hAnsi="Palatino Linotype"/>
          <w:b/>
          <w:bCs/>
        </w:rPr>
        <w:t>April</w:t>
      </w:r>
      <w:proofErr w:type="spellEnd"/>
      <w:r w:rsidRPr="006B0A34">
        <w:rPr>
          <w:rFonts w:ascii="Palatino Linotype" w:hAnsi="Palatino Linotype"/>
          <w:b/>
          <w:bCs/>
        </w:rPr>
        <w:t xml:space="preserve"> </w:t>
      </w:r>
    </w:p>
    <w:p w14:paraId="3C517807" w14:textId="4E2E0CD0" w:rsidR="00F66AAF" w:rsidRDefault="00F66AAF" w:rsidP="006B0A34">
      <w:pPr>
        <w:pStyle w:val="ListParagraph"/>
        <w:numPr>
          <w:ilvl w:val="0"/>
          <w:numId w:val="1"/>
        </w:numPr>
        <w:spacing w:line="360" w:lineRule="auto"/>
        <w:jc w:val="both"/>
        <w:rPr>
          <w:rFonts w:ascii="Palatino Linotype" w:hAnsi="Palatino Linotype"/>
          <w:lang w:val="en-US"/>
        </w:rPr>
      </w:pPr>
      <w:r w:rsidRPr="00F66AAF">
        <w:rPr>
          <w:rFonts w:ascii="Palatino Linotype" w:hAnsi="Palatino Linotype"/>
          <w:lang w:val="en-US"/>
        </w:rPr>
        <w:t xml:space="preserve">In </w:t>
      </w:r>
      <w:r w:rsidRPr="00F66AAF">
        <w:rPr>
          <w:rFonts w:ascii="Palatino Linotype" w:hAnsi="Palatino Linotype"/>
          <w:lang w:val="en-US"/>
        </w:rPr>
        <w:t>Waheguru Pal Singh Sidhu</w:t>
      </w:r>
      <w:r>
        <w:rPr>
          <w:rFonts w:ascii="Palatino Linotype" w:hAnsi="Palatino Linotype"/>
          <w:lang w:val="en-US"/>
        </w:rPr>
        <w:t>’s exposition regarding the non-proliferation and disarmament of nuclear weapons, the author comments on the different mechanisms for verification and compliance set up in the various treaties related to weapons of mass destruction. How does the Non-Proliferation Treaty (NPT) compare to the Chemical Weapons Convention (CWC)</w:t>
      </w:r>
      <w:r w:rsidR="005E718F">
        <w:rPr>
          <w:rFonts w:ascii="Palatino Linotype" w:hAnsi="Palatino Linotype"/>
          <w:lang w:val="en-US"/>
        </w:rPr>
        <w:t>, in respect to the verification and compliance</w:t>
      </w:r>
      <w:r>
        <w:rPr>
          <w:rFonts w:ascii="Palatino Linotype" w:hAnsi="Palatino Linotype"/>
          <w:lang w:val="en-US"/>
        </w:rPr>
        <w:t xml:space="preserve"> mechanism</w:t>
      </w:r>
      <w:r w:rsidR="005E718F">
        <w:rPr>
          <w:rFonts w:ascii="Palatino Linotype" w:hAnsi="Palatino Linotype"/>
          <w:lang w:val="en-US"/>
        </w:rPr>
        <w:t>s</w:t>
      </w:r>
      <w:r>
        <w:rPr>
          <w:rFonts w:ascii="Palatino Linotype" w:hAnsi="Palatino Linotype"/>
          <w:lang w:val="en-US"/>
        </w:rPr>
        <w:t xml:space="preserve">? </w:t>
      </w:r>
      <w:r w:rsidR="005E718F">
        <w:rPr>
          <w:rFonts w:ascii="Palatino Linotype" w:hAnsi="Palatino Linotype"/>
          <w:lang w:val="en-US"/>
        </w:rPr>
        <w:t>Additionally, what is the role played by the International Atomic Energy Agency (IEAE) and the United Nations Security Council (UNSC) in this context?</w:t>
      </w:r>
    </w:p>
    <w:p w14:paraId="6E6765CD" w14:textId="7B66F329" w:rsidR="00F66AAF" w:rsidRDefault="005E718F" w:rsidP="006B0A34">
      <w:pPr>
        <w:pStyle w:val="ListParagraph"/>
        <w:numPr>
          <w:ilvl w:val="0"/>
          <w:numId w:val="1"/>
        </w:numPr>
        <w:spacing w:line="360" w:lineRule="auto"/>
        <w:jc w:val="both"/>
        <w:rPr>
          <w:rFonts w:ascii="Palatino Linotype" w:hAnsi="Palatino Linotype"/>
          <w:lang w:val="en-US"/>
        </w:rPr>
      </w:pPr>
      <w:r>
        <w:rPr>
          <w:rFonts w:ascii="Palatino Linotype" w:hAnsi="Palatino Linotype"/>
          <w:lang w:val="en-US"/>
        </w:rPr>
        <w:t xml:space="preserve">Contrast the implementation of the International Criminal Tribunal for the former Yugoslavia (ICTY) and </w:t>
      </w:r>
      <w:r>
        <w:rPr>
          <w:rFonts w:ascii="Palatino Linotype" w:hAnsi="Palatino Linotype"/>
          <w:lang w:val="en-US"/>
        </w:rPr>
        <w:t>International Criminal Tribunal</w:t>
      </w:r>
      <w:r>
        <w:rPr>
          <w:rFonts w:ascii="Palatino Linotype" w:hAnsi="Palatino Linotype"/>
          <w:lang w:val="en-US"/>
        </w:rPr>
        <w:t xml:space="preserve"> for Rwanda (ICTR) with the implementation of the Special Court for Sierra Leone (SCSL) and the </w:t>
      </w:r>
      <w:r w:rsidRPr="005E718F">
        <w:rPr>
          <w:rFonts w:ascii="Palatino Linotype" w:hAnsi="Palatino Linotype"/>
          <w:lang w:val="en-US"/>
        </w:rPr>
        <w:t>Extraordinary Chambers in the Courts of Cambodia (ECCC)</w:t>
      </w:r>
      <w:r>
        <w:rPr>
          <w:rFonts w:ascii="Palatino Linotype" w:hAnsi="Palatino Linotype"/>
          <w:lang w:val="en-US"/>
        </w:rPr>
        <w:t xml:space="preserve">, regarding specifically the role played by the United Nations in its creation and the dynamic between domestic and international law in these different contexts. </w:t>
      </w:r>
    </w:p>
    <w:p w14:paraId="378B60B5" w14:textId="7D924CCB" w:rsidR="005E718F" w:rsidRDefault="005E718F" w:rsidP="006B0A34">
      <w:pPr>
        <w:pStyle w:val="ListParagraph"/>
        <w:numPr>
          <w:ilvl w:val="0"/>
          <w:numId w:val="1"/>
        </w:numPr>
        <w:spacing w:line="360" w:lineRule="auto"/>
        <w:contextualSpacing w:val="0"/>
        <w:jc w:val="both"/>
        <w:rPr>
          <w:rFonts w:ascii="Palatino Linotype" w:hAnsi="Palatino Linotype"/>
          <w:lang w:val="en-US"/>
        </w:rPr>
      </w:pPr>
      <w:r>
        <w:rPr>
          <w:rFonts w:ascii="Palatino Linotype" w:hAnsi="Palatino Linotype"/>
          <w:lang w:val="en-US"/>
        </w:rPr>
        <w:t xml:space="preserve">In the ICJ’s Advisory Opinion regarding the Legality of the Threat or Use of Nuclear Weapons, how does the court assess the condition of proportionality, </w:t>
      </w:r>
      <w:r w:rsidR="00855B03">
        <w:rPr>
          <w:rFonts w:ascii="Palatino Linotype" w:hAnsi="Palatino Linotype"/>
          <w:lang w:val="en-US"/>
        </w:rPr>
        <w:t>considering</w:t>
      </w:r>
      <w:r>
        <w:rPr>
          <w:rFonts w:ascii="Palatino Linotype" w:hAnsi="Palatino Linotype"/>
          <w:lang w:val="en-US"/>
        </w:rPr>
        <w:t xml:space="preserve"> the </w:t>
      </w:r>
      <w:r w:rsidR="00855B03">
        <w:rPr>
          <w:rFonts w:ascii="Palatino Linotype" w:hAnsi="Palatino Linotype"/>
          <w:lang w:val="en-US"/>
        </w:rPr>
        <w:t xml:space="preserve">right to </w:t>
      </w:r>
      <w:r>
        <w:rPr>
          <w:rFonts w:ascii="Palatino Linotype" w:hAnsi="Palatino Linotype"/>
          <w:lang w:val="en-US"/>
        </w:rPr>
        <w:t>self-defense and concerns regarding environmental protection</w:t>
      </w:r>
      <w:r w:rsidR="00855B03">
        <w:rPr>
          <w:rFonts w:ascii="Palatino Linotype" w:hAnsi="Palatino Linotype"/>
          <w:lang w:val="en-US"/>
        </w:rPr>
        <w:t>?</w:t>
      </w:r>
    </w:p>
    <w:p w14:paraId="5549EB65" w14:textId="2E103300" w:rsidR="00855B03" w:rsidRPr="00F66AAF" w:rsidRDefault="00855B03" w:rsidP="006B0A34">
      <w:pPr>
        <w:pStyle w:val="ListParagraph"/>
        <w:numPr>
          <w:ilvl w:val="0"/>
          <w:numId w:val="1"/>
        </w:numPr>
        <w:spacing w:line="360" w:lineRule="auto"/>
        <w:jc w:val="both"/>
        <w:rPr>
          <w:rFonts w:ascii="Palatino Linotype" w:hAnsi="Palatino Linotype"/>
          <w:lang w:val="en-US"/>
        </w:rPr>
      </w:pPr>
      <w:r>
        <w:rPr>
          <w:rFonts w:ascii="Palatino Linotype" w:hAnsi="Palatino Linotype"/>
          <w:lang w:val="en-US"/>
        </w:rPr>
        <w:t xml:space="preserve">In the Advisory Opinion, does the Court understand that it is possible to utilize nuclear weapons to achieve </w:t>
      </w:r>
      <w:r w:rsidRPr="00855B03">
        <w:rPr>
          <w:rFonts w:ascii="Palatino Linotype" w:hAnsi="Palatino Linotype"/>
          <w:lang w:val="en-US"/>
        </w:rPr>
        <w:t>legitimate military objectives</w:t>
      </w:r>
      <w:r>
        <w:rPr>
          <w:rFonts w:ascii="Palatino Linotype" w:hAnsi="Palatino Linotype"/>
          <w:lang w:val="en-US"/>
        </w:rPr>
        <w:t xml:space="preserve">? </w:t>
      </w:r>
    </w:p>
    <w:p w14:paraId="21C768BB" w14:textId="3E815A19" w:rsidR="007579FC" w:rsidRPr="006337A9" w:rsidRDefault="007579FC" w:rsidP="006B0A34">
      <w:pPr>
        <w:spacing w:line="360" w:lineRule="auto"/>
        <w:jc w:val="both"/>
        <w:rPr>
          <w:rFonts w:ascii="Palatino Linotype" w:hAnsi="Palatino Linotype"/>
        </w:rPr>
      </w:pPr>
      <w:r w:rsidRPr="006337A9">
        <w:rPr>
          <w:rFonts w:ascii="Palatino Linotype" w:hAnsi="Palatino Linotype"/>
        </w:rPr>
        <w:t xml:space="preserve"> </w:t>
      </w:r>
    </w:p>
    <w:sectPr w:rsidR="007579FC" w:rsidRPr="0063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A35E0"/>
    <w:multiLevelType w:val="hybridMultilevel"/>
    <w:tmpl w:val="B204B214"/>
    <w:lvl w:ilvl="0" w:tplc="2A8ED09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23"/>
    <w:rsid w:val="001F5C1B"/>
    <w:rsid w:val="00214050"/>
    <w:rsid w:val="00477B0D"/>
    <w:rsid w:val="005E718F"/>
    <w:rsid w:val="006337A9"/>
    <w:rsid w:val="006B0A34"/>
    <w:rsid w:val="007579FC"/>
    <w:rsid w:val="00855B03"/>
    <w:rsid w:val="00960D23"/>
    <w:rsid w:val="00F66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F369"/>
  <w15:chartTrackingRefBased/>
  <w15:docId w15:val="{E55EE0C5-20B4-48CD-B649-5777016A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223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Fontenelle-Weber</dc:creator>
  <cp:keywords/>
  <dc:description/>
  <cp:lastModifiedBy>Alexandre Fontenelle-Weber</cp:lastModifiedBy>
  <cp:revision>5</cp:revision>
  <dcterms:created xsi:type="dcterms:W3CDTF">2020-04-10T21:40:00Z</dcterms:created>
  <dcterms:modified xsi:type="dcterms:W3CDTF">2020-04-11T13:45:00Z</dcterms:modified>
</cp:coreProperties>
</file>