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5D830" w14:textId="77777777" w:rsidR="001D00EE" w:rsidRPr="00925209" w:rsidRDefault="001D00EE" w:rsidP="001D00EE">
      <w:pPr>
        <w:pStyle w:val="NoteLevel1"/>
        <w:spacing w:line="240" w:lineRule="auto"/>
        <w:jc w:val="both"/>
        <w:rPr>
          <w:rFonts w:ascii="Calibri" w:hAnsi="Calibri"/>
          <w:b/>
        </w:rPr>
      </w:pPr>
      <w:r w:rsidRPr="00925209">
        <w:rPr>
          <w:rFonts w:ascii="Calibri" w:hAnsi="Calibri"/>
          <w:b/>
        </w:rPr>
        <w:t>7. A atividade jornalística e suas relações com o sistema de direitos e deveres da comunicação social</w:t>
      </w:r>
    </w:p>
    <w:p w14:paraId="48936574" w14:textId="77777777" w:rsidR="001D00EE" w:rsidRPr="00925209" w:rsidRDefault="001D00EE" w:rsidP="001D00EE">
      <w:pPr>
        <w:pStyle w:val="NoteLevel1"/>
        <w:spacing w:line="240" w:lineRule="auto"/>
        <w:jc w:val="both"/>
        <w:rPr>
          <w:rFonts w:ascii="Calibri" w:hAnsi="Calibri"/>
          <w:b/>
        </w:rPr>
      </w:pPr>
    </w:p>
    <w:p w14:paraId="59A7FFEF" w14:textId="77777777" w:rsidR="001D00EE" w:rsidRPr="00925209" w:rsidRDefault="001D00EE" w:rsidP="001D00EE">
      <w:pPr>
        <w:pStyle w:val="NoteLevel1"/>
        <w:spacing w:line="240" w:lineRule="auto"/>
        <w:jc w:val="both"/>
        <w:rPr>
          <w:rFonts w:ascii="Calibri" w:hAnsi="Calibri"/>
          <w:b/>
        </w:rPr>
      </w:pPr>
      <w:r w:rsidRPr="00925209">
        <w:rPr>
          <w:rFonts w:ascii="Calibri" w:hAnsi="Calibri"/>
          <w:b/>
        </w:rPr>
        <w:t>Bibliografia obrigatória</w:t>
      </w:r>
    </w:p>
    <w:p w14:paraId="1D126A23" w14:textId="77777777" w:rsidR="001D00EE" w:rsidRPr="00925209" w:rsidRDefault="001D00EE" w:rsidP="001D00EE">
      <w:pPr>
        <w:pStyle w:val="NoteLevel1"/>
        <w:spacing w:line="240" w:lineRule="auto"/>
        <w:jc w:val="both"/>
        <w:rPr>
          <w:rFonts w:ascii="Calibri" w:hAnsi="Calibri"/>
          <w:lang w:val="en-US"/>
        </w:rPr>
      </w:pPr>
      <w:r w:rsidRPr="00925209">
        <w:rPr>
          <w:rFonts w:ascii="Calibri" w:hAnsi="Calibri"/>
          <w:lang w:val="en-US"/>
        </w:rPr>
        <w:t xml:space="preserve">Lima, V. A. de. </w:t>
      </w:r>
      <w:r w:rsidRPr="00925209">
        <w:rPr>
          <w:rFonts w:ascii="Calibri" w:hAnsi="Calibri"/>
          <w:i/>
          <w:lang w:val="en-US"/>
        </w:rPr>
        <w:t>Regulação das Comunicações: História, Poder e Direitos</w:t>
      </w:r>
      <w:r w:rsidRPr="00925209">
        <w:rPr>
          <w:rFonts w:ascii="Calibri" w:hAnsi="Calibri"/>
          <w:lang w:val="en-US"/>
        </w:rPr>
        <w:t>. São Paulo: Paulus, 2012, 81-91. (Cap. Concessões de Rádio e TV: serviço publico vs. interesse privado).</w:t>
      </w:r>
    </w:p>
    <w:p w14:paraId="667E9349" w14:textId="77777777" w:rsidR="001D00EE" w:rsidRPr="00925209" w:rsidRDefault="001D00EE" w:rsidP="001D00EE">
      <w:pPr>
        <w:pStyle w:val="NoteLevel1"/>
        <w:spacing w:line="240" w:lineRule="auto"/>
        <w:jc w:val="both"/>
        <w:rPr>
          <w:rFonts w:ascii="Calibri" w:hAnsi="Calibri"/>
          <w:lang w:val="en-US"/>
        </w:rPr>
      </w:pPr>
      <w:r w:rsidRPr="00925209">
        <w:rPr>
          <w:rFonts w:ascii="Calibri" w:hAnsi="Calibri"/>
          <w:lang w:val="en-US"/>
        </w:rPr>
        <w:t xml:space="preserve">Constituição Federal de 1988, arts. </w:t>
      </w:r>
      <w:r w:rsidRPr="00925209">
        <w:rPr>
          <w:rFonts w:ascii="Calibri" w:hAnsi="Calibri"/>
        </w:rPr>
        <w:t>22, IV e 220 a 224</w:t>
      </w:r>
    </w:p>
    <w:p w14:paraId="20E537CE" w14:textId="77777777" w:rsidR="001D00EE" w:rsidRPr="00925209" w:rsidRDefault="001D00EE" w:rsidP="001D00EE">
      <w:pPr>
        <w:pStyle w:val="NoteLevel1"/>
        <w:spacing w:line="240" w:lineRule="auto"/>
        <w:jc w:val="both"/>
        <w:rPr>
          <w:rFonts w:ascii="Calibri" w:hAnsi="Calibri"/>
          <w:lang w:val="en-US"/>
        </w:rPr>
      </w:pPr>
      <w:r w:rsidRPr="00925209">
        <w:rPr>
          <w:rFonts w:ascii="Calibri" w:hAnsi="Calibri"/>
        </w:rPr>
        <w:t xml:space="preserve">Lei do Direito de Resposta. Lei 13.188/2015. </w:t>
      </w:r>
      <w:hyperlink r:id="rId6" w:history="1">
        <w:r w:rsidRPr="00925209">
          <w:rPr>
            <w:rStyle w:val="Hyperlink"/>
            <w:rFonts w:ascii="Calibri" w:hAnsi="Calibri"/>
          </w:rPr>
          <w:t>http://www.planalto.gov.br/ccivil_03/_Ato2015-2018/2015/Lei/L13188.htm</w:t>
        </w:r>
      </w:hyperlink>
      <w:r w:rsidRPr="00925209">
        <w:rPr>
          <w:rFonts w:ascii="Calibri" w:hAnsi="Calibri"/>
        </w:rPr>
        <w:t xml:space="preserve"> </w:t>
      </w:r>
    </w:p>
    <w:p w14:paraId="149A9CFA" w14:textId="77777777" w:rsidR="001D00EE" w:rsidRPr="00925209" w:rsidRDefault="001D00EE" w:rsidP="001D00EE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</w:rPr>
      </w:pPr>
    </w:p>
    <w:p w14:paraId="0A84CCB5" w14:textId="77777777" w:rsidR="001D00EE" w:rsidRPr="00925209" w:rsidRDefault="001D00EE" w:rsidP="001D00EE">
      <w:pPr>
        <w:pStyle w:val="NoteLevel1"/>
        <w:spacing w:line="240" w:lineRule="auto"/>
        <w:jc w:val="both"/>
        <w:rPr>
          <w:rFonts w:ascii="Calibri" w:hAnsi="Calibri"/>
          <w:b/>
        </w:rPr>
      </w:pPr>
      <w:r w:rsidRPr="00925209">
        <w:rPr>
          <w:rFonts w:ascii="Calibri" w:hAnsi="Calibri"/>
          <w:b/>
        </w:rPr>
        <w:t>Bibliografia complementar</w:t>
      </w:r>
    </w:p>
    <w:p w14:paraId="23AE03D6" w14:textId="77777777" w:rsidR="001D00EE" w:rsidRPr="00925209" w:rsidRDefault="001D00EE" w:rsidP="001D00EE">
      <w:pPr>
        <w:pStyle w:val="NoteLevel1"/>
        <w:rPr>
          <w:rFonts w:ascii="Calibri" w:hAnsi="Calibri"/>
        </w:rPr>
      </w:pPr>
      <w:r w:rsidRPr="00925209">
        <w:rPr>
          <w:rFonts w:ascii="Calibri" w:hAnsi="Calibri"/>
        </w:rPr>
        <w:t xml:space="preserve">Mendel, T. Salomon, E. Liberdade de Expressão e Regulação da Radiodifusão. UNESCO. 2011. </w:t>
      </w:r>
      <w:hyperlink r:id="rId7" w:history="1">
        <w:r w:rsidRPr="00925209">
          <w:rPr>
            <w:rStyle w:val="Hyperlink"/>
            <w:rFonts w:ascii="Calibri" w:hAnsi="Calibri"/>
          </w:rPr>
          <w:t>http://unesdoc.unesco.org/images/0019/001916/191623por.pdf</w:t>
        </w:r>
      </w:hyperlink>
      <w:r w:rsidRPr="00925209">
        <w:rPr>
          <w:rFonts w:ascii="Calibri" w:hAnsi="Calibri"/>
        </w:rPr>
        <w:t xml:space="preserve"> </w:t>
      </w:r>
    </w:p>
    <w:p w14:paraId="65D5F88A" w14:textId="77777777" w:rsidR="001D00EE" w:rsidRPr="00925209" w:rsidRDefault="001D00EE" w:rsidP="001D00EE">
      <w:pPr>
        <w:pStyle w:val="NoteLevel1"/>
        <w:spacing w:line="240" w:lineRule="auto"/>
        <w:jc w:val="both"/>
        <w:rPr>
          <w:rFonts w:ascii="Calibri" w:hAnsi="Calibri"/>
        </w:rPr>
      </w:pPr>
      <w:r w:rsidRPr="00925209">
        <w:rPr>
          <w:rFonts w:ascii="Calibri" w:hAnsi="Calibri"/>
        </w:rPr>
        <w:t xml:space="preserve">Vannuchi, C. A regulação dos meios de comunicação no discurso dos jornais. Revista Alterjor. V. 1. N. 17, 2018. </w:t>
      </w:r>
      <w:hyperlink r:id="rId8" w:history="1">
        <w:r w:rsidRPr="00925209">
          <w:rPr>
            <w:rStyle w:val="Hyperlink"/>
            <w:rFonts w:ascii="Calibri" w:hAnsi="Calibri"/>
          </w:rPr>
          <w:t>https://www.revistas.usp.br/alterjor/article/view/137227/0</w:t>
        </w:r>
      </w:hyperlink>
      <w:r w:rsidRPr="00925209">
        <w:rPr>
          <w:rFonts w:ascii="Calibri" w:hAnsi="Calibri"/>
        </w:rPr>
        <w:t xml:space="preserve">  </w:t>
      </w:r>
    </w:p>
    <w:p w14:paraId="5CACB121" w14:textId="77777777" w:rsidR="001D00EE" w:rsidRDefault="001D00EE" w:rsidP="001D00EE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</w:rPr>
      </w:pPr>
    </w:p>
    <w:p w14:paraId="68142783" w14:textId="77777777" w:rsidR="001D00EE" w:rsidRPr="00925209" w:rsidRDefault="001D00EE" w:rsidP="001D00EE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</w:rPr>
      </w:pPr>
    </w:p>
    <w:p w14:paraId="683CB556" w14:textId="77777777" w:rsidR="001D00EE" w:rsidRDefault="001D00EE" w:rsidP="001D00EE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</w:rPr>
      </w:pPr>
    </w:p>
    <w:p w14:paraId="7C05A1E5" w14:textId="77777777" w:rsidR="001D00EE" w:rsidRPr="001D00EE" w:rsidRDefault="001D00EE" w:rsidP="001D00EE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  <w:b/>
        </w:rPr>
      </w:pPr>
      <w:r w:rsidRPr="001D00EE">
        <w:rPr>
          <w:rFonts w:ascii="Calibri" w:hAnsi="Calibri"/>
          <w:b/>
        </w:rPr>
        <w:t>Parte I – Sistema de direitos e deveres da comunicação social</w:t>
      </w:r>
    </w:p>
    <w:p w14:paraId="7F20BF7B" w14:textId="77777777" w:rsidR="001D00EE" w:rsidRPr="001D00EE" w:rsidRDefault="001D00EE" w:rsidP="001D00EE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  <w:b/>
        </w:rPr>
      </w:pPr>
    </w:p>
    <w:p w14:paraId="265EC41A" w14:textId="77777777" w:rsidR="001D00EE" w:rsidRDefault="001D00EE" w:rsidP="001D00EE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  <w:b/>
        </w:rPr>
      </w:pPr>
    </w:p>
    <w:p w14:paraId="0AB1779D" w14:textId="77777777" w:rsidR="008A39CD" w:rsidRPr="004B5120" w:rsidRDefault="008A39CD" w:rsidP="008A39CD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</w:rPr>
      </w:pPr>
      <w:r w:rsidRPr="004B5120">
        <w:rPr>
          <w:rFonts w:ascii="Calibri" w:hAnsi="Calibri"/>
        </w:rPr>
        <w:t xml:space="preserve">Direito </w:t>
      </w:r>
      <w:r w:rsidRPr="004B5120">
        <w:rPr>
          <w:rFonts w:ascii="Calibri" w:hAnsi="Calibri"/>
          <w:i/>
        </w:rPr>
        <w:t>da</w:t>
      </w:r>
      <w:r w:rsidRPr="004B5120">
        <w:rPr>
          <w:rFonts w:ascii="Calibri" w:hAnsi="Calibri"/>
        </w:rPr>
        <w:t xml:space="preserve"> Comunicação como direitos e deveres para garantir esfera pública política – proteção constitucional da autonomia privada e da autonomia pública </w:t>
      </w:r>
    </w:p>
    <w:p w14:paraId="55468971" w14:textId="77777777" w:rsidR="008A39CD" w:rsidRPr="004B5120" w:rsidRDefault="008A39CD" w:rsidP="008A39CD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</w:rPr>
      </w:pPr>
    </w:p>
    <w:p w14:paraId="0E13A03E" w14:textId="77777777" w:rsidR="008A39CD" w:rsidRPr="004B5120" w:rsidRDefault="008A39CD" w:rsidP="008A39CD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</w:rPr>
      </w:pPr>
      <w:r w:rsidRPr="004B5120">
        <w:rPr>
          <w:rFonts w:ascii="Calibri" w:hAnsi="Calibri"/>
        </w:rPr>
        <w:t>Direitos de comunicação – liberdade de expressão e direito à comunicação</w:t>
      </w:r>
    </w:p>
    <w:p w14:paraId="21F719CE" w14:textId="77777777" w:rsidR="008A39CD" w:rsidRPr="004B5120" w:rsidRDefault="008A39CD" w:rsidP="008A39CD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</w:rPr>
      </w:pPr>
    </w:p>
    <w:p w14:paraId="1FA5BEEB" w14:textId="77777777" w:rsidR="008A39CD" w:rsidRPr="004B5120" w:rsidRDefault="008A39CD" w:rsidP="008A39CD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</w:rPr>
      </w:pPr>
      <w:r w:rsidRPr="004B5120">
        <w:rPr>
          <w:rFonts w:ascii="Calibri" w:hAnsi="Calibri"/>
        </w:rPr>
        <w:t xml:space="preserve">Comunicação dos direitos – publicidade crítica e transparência dos poderes sociais e estatais – jornalismo, comunicação pública, estatal e governamental - </w:t>
      </w:r>
    </w:p>
    <w:p w14:paraId="3499F0FF" w14:textId="77777777" w:rsidR="008A39CD" w:rsidRDefault="008A39CD" w:rsidP="001D00EE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</w:rPr>
      </w:pPr>
    </w:p>
    <w:p w14:paraId="10BF4640" w14:textId="77777777" w:rsidR="008A39CD" w:rsidRDefault="008A39CD" w:rsidP="001D00EE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</w:rPr>
      </w:pPr>
    </w:p>
    <w:p w14:paraId="1C95DB03" w14:textId="77777777" w:rsidR="001D00EE" w:rsidRPr="008A39CD" w:rsidRDefault="001D00EE" w:rsidP="001D00EE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  <w:b/>
        </w:rPr>
      </w:pPr>
      <w:r w:rsidRPr="008A39CD">
        <w:rPr>
          <w:rFonts w:ascii="Calibri" w:hAnsi="Calibri"/>
          <w:b/>
        </w:rPr>
        <w:t xml:space="preserve">Sistema de comunicação social </w:t>
      </w:r>
    </w:p>
    <w:p w14:paraId="3BFFB318" w14:textId="77777777" w:rsidR="001D00EE" w:rsidRPr="004B5120" w:rsidRDefault="001D00EE" w:rsidP="001D00EE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</w:rPr>
      </w:pPr>
    </w:p>
    <w:p w14:paraId="44A56FDA" w14:textId="77777777" w:rsidR="008A39CD" w:rsidRPr="008C7CDE" w:rsidRDefault="008A39CD" w:rsidP="008A39CD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  <w:b/>
        </w:rPr>
      </w:pPr>
      <w:r w:rsidRPr="008C7CDE">
        <w:rPr>
          <w:rFonts w:ascii="Calibri" w:hAnsi="Calibri"/>
          <w:b/>
        </w:rPr>
        <w:t xml:space="preserve">Comunicação Social </w:t>
      </w:r>
      <w:r>
        <w:rPr>
          <w:rFonts w:ascii="Calibri" w:hAnsi="Calibri"/>
          <w:b/>
        </w:rPr>
        <w:t xml:space="preserve"> - veículos independentes e veículos de radiodifusão públicos, privados e estatais</w:t>
      </w:r>
    </w:p>
    <w:p w14:paraId="19C0D1E5" w14:textId="77777777" w:rsidR="008A39CD" w:rsidRDefault="008A39CD" w:rsidP="008A39CD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  <w:b/>
        </w:rPr>
      </w:pPr>
    </w:p>
    <w:p w14:paraId="1540ED8D" w14:textId="77777777" w:rsidR="008A39CD" w:rsidRPr="008C7CDE" w:rsidRDefault="008A39CD" w:rsidP="008A39C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16"/>
          <w:szCs w:val="16"/>
        </w:rPr>
      </w:pPr>
      <w:r w:rsidRPr="008C7CDE">
        <w:rPr>
          <w:rFonts w:ascii="Calibri" w:hAnsi="Calibri" w:cs="Arial"/>
          <w:b/>
          <w:color w:val="000000"/>
          <w:sz w:val="16"/>
          <w:szCs w:val="16"/>
        </w:rPr>
        <w:t>CAPÍTULO V</w:t>
      </w:r>
    </w:p>
    <w:p w14:paraId="76E5E5E7" w14:textId="77777777" w:rsidR="008A39CD" w:rsidRPr="008C7CDE" w:rsidRDefault="008A39CD" w:rsidP="008A39C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16"/>
          <w:szCs w:val="16"/>
        </w:rPr>
      </w:pPr>
      <w:r w:rsidRPr="008C7CDE">
        <w:rPr>
          <w:rFonts w:ascii="Calibri" w:hAnsi="Calibri" w:cs="Arial"/>
          <w:b/>
          <w:color w:val="000000"/>
          <w:sz w:val="16"/>
          <w:szCs w:val="16"/>
        </w:rPr>
        <w:t>DA COMUNICAÇÃO SOCIAL</w:t>
      </w:r>
    </w:p>
    <w:p w14:paraId="6CB1CB26" w14:textId="77777777" w:rsidR="008A39CD" w:rsidRPr="00FC41C7" w:rsidRDefault="008A39CD" w:rsidP="008A39CD">
      <w:pPr>
        <w:pStyle w:val="NormalWeb"/>
        <w:ind w:firstLine="525"/>
        <w:rPr>
          <w:rFonts w:ascii="Calibri" w:hAnsi="Calibri"/>
          <w:color w:val="000000"/>
          <w:sz w:val="16"/>
          <w:szCs w:val="16"/>
        </w:rPr>
      </w:pPr>
      <w:r w:rsidRPr="00FC41C7">
        <w:rPr>
          <w:rFonts w:ascii="Calibri" w:hAnsi="Calibri" w:cs="Arial"/>
          <w:color w:val="000000"/>
          <w:sz w:val="16"/>
          <w:szCs w:val="16"/>
          <w:highlight w:val="cyan"/>
        </w:rPr>
        <w:t>Art. 220. A manifestação do pensamento, a criação, a expressão e a informação, sob qualquer forma, processo ou veículo não sofrerão qualquer restrição, observado o disposto nesta Constituição.</w:t>
      </w:r>
    </w:p>
    <w:p w14:paraId="7BCB50EF" w14:textId="77777777" w:rsidR="008A39CD" w:rsidRPr="00FC41C7" w:rsidRDefault="008A39CD" w:rsidP="008A39CD">
      <w:pPr>
        <w:pStyle w:val="NormalWeb"/>
        <w:ind w:firstLine="525"/>
        <w:rPr>
          <w:rFonts w:ascii="Calibri" w:hAnsi="Calibri"/>
          <w:color w:val="000000"/>
          <w:sz w:val="16"/>
          <w:szCs w:val="16"/>
        </w:rPr>
      </w:pPr>
      <w:r w:rsidRPr="00FC41C7">
        <w:rPr>
          <w:rFonts w:ascii="Calibri" w:hAnsi="Calibri" w:cs="Arial"/>
          <w:color w:val="000000"/>
          <w:sz w:val="16"/>
          <w:szCs w:val="16"/>
        </w:rPr>
        <w:t>§ 1º Nenhuma lei conterá dispositivo que possa constituir embaraço à plena liberdade de informação jornalística em qualquer veículo de comunicação social, observado o disposto no art. 5º, IV, V, X, XIII e XIV.</w:t>
      </w:r>
    </w:p>
    <w:p w14:paraId="41ECE2D3" w14:textId="77777777" w:rsidR="008A39CD" w:rsidRPr="00FC41C7" w:rsidRDefault="008A39CD" w:rsidP="008A39CD">
      <w:pPr>
        <w:pStyle w:val="NormalWeb"/>
        <w:ind w:firstLine="525"/>
        <w:rPr>
          <w:rFonts w:ascii="Calibri" w:hAnsi="Calibri"/>
          <w:color w:val="000000"/>
          <w:sz w:val="16"/>
          <w:szCs w:val="16"/>
        </w:rPr>
      </w:pPr>
      <w:r w:rsidRPr="00FC41C7">
        <w:rPr>
          <w:rFonts w:ascii="Calibri" w:hAnsi="Calibri" w:cs="Arial"/>
          <w:color w:val="000000"/>
          <w:sz w:val="16"/>
          <w:szCs w:val="16"/>
        </w:rPr>
        <w:t>§ 2º É vedada toda e qualquer censura de natureza política, ideológica e artística.</w:t>
      </w:r>
    </w:p>
    <w:p w14:paraId="37C69830" w14:textId="77777777" w:rsidR="008A39CD" w:rsidRPr="00FC41C7" w:rsidRDefault="008A39CD" w:rsidP="008A39CD">
      <w:pPr>
        <w:pStyle w:val="NormalWeb"/>
        <w:ind w:firstLine="525"/>
        <w:rPr>
          <w:rFonts w:ascii="Calibri" w:hAnsi="Calibri"/>
          <w:color w:val="000000"/>
          <w:sz w:val="16"/>
          <w:szCs w:val="16"/>
        </w:rPr>
      </w:pPr>
      <w:r w:rsidRPr="00FC41C7">
        <w:rPr>
          <w:rFonts w:ascii="Calibri" w:hAnsi="Calibri" w:cs="Arial"/>
          <w:color w:val="000000"/>
          <w:sz w:val="16"/>
          <w:szCs w:val="16"/>
          <w:highlight w:val="yellow"/>
        </w:rPr>
        <w:t>§ 3º Compete à lei federal:</w:t>
      </w:r>
    </w:p>
    <w:p w14:paraId="58C9339E" w14:textId="77777777" w:rsidR="008A39CD" w:rsidRPr="00FC41C7" w:rsidRDefault="008A39CD" w:rsidP="008A39CD">
      <w:pPr>
        <w:pStyle w:val="NormalWeb"/>
        <w:ind w:firstLine="525"/>
        <w:rPr>
          <w:rFonts w:ascii="Calibri" w:hAnsi="Calibri"/>
          <w:color w:val="000000"/>
          <w:sz w:val="16"/>
          <w:szCs w:val="16"/>
        </w:rPr>
      </w:pPr>
      <w:r w:rsidRPr="00FC41C7">
        <w:rPr>
          <w:rFonts w:ascii="Calibri" w:hAnsi="Calibri" w:cs="Arial"/>
          <w:color w:val="000000"/>
          <w:sz w:val="16"/>
          <w:szCs w:val="16"/>
        </w:rPr>
        <w:t>I - regular as diversões e espetáculos públicos, cabendo ao Poder Público informar sobre a natureza deles, as faixas etárias a que não se recomendem, locais e horários em que sua apresentação se mostre inadequada;</w:t>
      </w:r>
    </w:p>
    <w:p w14:paraId="39CE077F" w14:textId="77777777" w:rsidR="008A39CD" w:rsidRPr="00FC41C7" w:rsidRDefault="008A39CD" w:rsidP="008A39CD">
      <w:pPr>
        <w:pStyle w:val="NormalWeb"/>
        <w:ind w:firstLine="525"/>
        <w:rPr>
          <w:rFonts w:ascii="Calibri" w:hAnsi="Calibri"/>
          <w:color w:val="000000"/>
          <w:sz w:val="16"/>
          <w:szCs w:val="16"/>
        </w:rPr>
      </w:pPr>
      <w:r w:rsidRPr="00FC41C7">
        <w:rPr>
          <w:rFonts w:ascii="Calibri" w:hAnsi="Calibri" w:cs="Arial"/>
          <w:color w:val="000000"/>
          <w:sz w:val="16"/>
          <w:szCs w:val="16"/>
          <w:highlight w:val="yellow"/>
        </w:rPr>
        <w:t>II - estabelecer os meios legais que garantam à pessoa e à família a possibilidade de se defenderem de programas ou programações de rádio e televisão que contrariem o disposto no art. 221, bem como da propaganda de produtos, práticas e serviços que possam ser nocivos à saúde e ao meio ambiente.</w:t>
      </w:r>
    </w:p>
    <w:p w14:paraId="30025779" w14:textId="77777777" w:rsidR="008A39CD" w:rsidRPr="00FC41C7" w:rsidRDefault="008A39CD" w:rsidP="008A39CD">
      <w:pPr>
        <w:pStyle w:val="NormalWeb"/>
        <w:ind w:firstLine="525"/>
        <w:rPr>
          <w:rFonts w:ascii="Calibri" w:hAnsi="Calibri"/>
          <w:color w:val="000000"/>
          <w:sz w:val="16"/>
          <w:szCs w:val="16"/>
        </w:rPr>
      </w:pPr>
      <w:r w:rsidRPr="00FC41C7">
        <w:rPr>
          <w:rFonts w:ascii="Calibri" w:hAnsi="Calibri" w:cs="Arial"/>
          <w:color w:val="000000"/>
          <w:sz w:val="16"/>
          <w:szCs w:val="16"/>
        </w:rPr>
        <w:lastRenderedPageBreak/>
        <w:t>§ 4º A propaganda comercial de tabaco, bebidas alcoólicas, agrotóxicos, medicamentos e terapias estará sujeita a restrições legais, nos termos do inciso II do parágrafo anterior, e conterá, sempre que necessário, advertência sobre os malefícios decorrentes de seu uso.</w:t>
      </w:r>
    </w:p>
    <w:p w14:paraId="64E2899B" w14:textId="77777777" w:rsidR="008A39CD" w:rsidRPr="00FC41C7" w:rsidRDefault="008A39CD" w:rsidP="008A39CD">
      <w:pPr>
        <w:pStyle w:val="NormalWeb"/>
        <w:ind w:firstLine="525"/>
        <w:rPr>
          <w:rFonts w:ascii="Calibri" w:hAnsi="Calibri"/>
          <w:color w:val="000000"/>
          <w:sz w:val="16"/>
          <w:szCs w:val="16"/>
          <w:highlight w:val="yellow"/>
        </w:rPr>
      </w:pPr>
      <w:r w:rsidRPr="00FC41C7">
        <w:rPr>
          <w:rFonts w:ascii="Calibri" w:hAnsi="Calibri" w:cs="Arial"/>
          <w:color w:val="000000"/>
          <w:sz w:val="16"/>
          <w:szCs w:val="16"/>
          <w:highlight w:val="yellow"/>
        </w:rPr>
        <w:t>§ 5º Os meios de comunicação social não podem, direta ou indiretamente, ser objeto de monopólio ou oligopólio.</w:t>
      </w:r>
    </w:p>
    <w:p w14:paraId="61C5F88A" w14:textId="77777777" w:rsidR="008A39CD" w:rsidRPr="00FC41C7" w:rsidRDefault="008A39CD" w:rsidP="008A39CD">
      <w:pPr>
        <w:pStyle w:val="NormalWeb"/>
        <w:ind w:firstLine="525"/>
        <w:rPr>
          <w:rFonts w:ascii="Calibri" w:hAnsi="Calibri"/>
          <w:color w:val="000000"/>
          <w:sz w:val="16"/>
          <w:szCs w:val="16"/>
          <w:highlight w:val="yellow"/>
        </w:rPr>
      </w:pPr>
      <w:r w:rsidRPr="00FC41C7">
        <w:rPr>
          <w:rFonts w:ascii="Calibri" w:hAnsi="Calibri" w:cs="Arial"/>
          <w:color w:val="000000"/>
          <w:sz w:val="16"/>
          <w:szCs w:val="16"/>
          <w:highlight w:val="yellow"/>
        </w:rPr>
        <w:t>§ 6º A publicação de veículo impresso de comunicação independe de licença de autoridade.</w:t>
      </w:r>
    </w:p>
    <w:p w14:paraId="02DCC24B" w14:textId="77777777" w:rsidR="008A39CD" w:rsidRPr="00FC41C7" w:rsidRDefault="008A39CD" w:rsidP="008A39CD">
      <w:pPr>
        <w:pStyle w:val="NormalWeb"/>
        <w:ind w:firstLine="525"/>
        <w:rPr>
          <w:rFonts w:ascii="Calibri" w:hAnsi="Calibri"/>
          <w:color w:val="000000"/>
          <w:sz w:val="16"/>
          <w:szCs w:val="16"/>
          <w:highlight w:val="yellow"/>
        </w:rPr>
      </w:pPr>
      <w:r w:rsidRPr="00FC41C7">
        <w:rPr>
          <w:rFonts w:ascii="Calibri" w:hAnsi="Calibri" w:cs="Arial"/>
          <w:color w:val="000000"/>
          <w:sz w:val="16"/>
          <w:szCs w:val="16"/>
          <w:highlight w:val="yellow"/>
        </w:rPr>
        <w:t>Art. 221. A produção e a programação das emissoras de rádio e televisão atenderão aos seguintes princípios:</w:t>
      </w:r>
    </w:p>
    <w:p w14:paraId="6A1669E5" w14:textId="77777777" w:rsidR="008A39CD" w:rsidRPr="00FC41C7" w:rsidRDefault="008A39CD" w:rsidP="008A39CD">
      <w:pPr>
        <w:pStyle w:val="NormalWeb"/>
        <w:ind w:firstLine="525"/>
        <w:rPr>
          <w:rFonts w:ascii="Calibri" w:hAnsi="Calibri"/>
          <w:color w:val="000000"/>
          <w:sz w:val="16"/>
          <w:szCs w:val="16"/>
          <w:highlight w:val="yellow"/>
        </w:rPr>
      </w:pPr>
      <w:r w:rsidRPr="00FC41C7">
        <w:rPr>
          <w:rFonts w:ascii="Calibri" w:hAnsi="Calibri" w:cs="Arial"/>
          <w:color w:val="000000"/>
          <w:sz w:val="16"/>
          <w:szCs w:val="16"/>
          <w:highlight w:val="yellow"/>
        </w:rPr>
        <w:t>I - preferência a finalidades educativas, artísticas, culturais e informativas;</w:t>
      </w:r>
    </w:p>
    <w:p w14:paraId="78E96E4D" w14:textId="77777777" w:rsidR="008A39CD" w:rsidRPr="00FC41C7" w:rsidRDefault="008A39CD" w:rsidP="008A39CD">
      <w:pPr>
        <w:pStyle w:val="NormalWeb"/>
        <w:ind w:firstLine="525"/>
        <w:rPr>
          <w:rFonts w:ascii="Calibri" w:hAnsi="Calibri"/>
          <w:color w:val="000000"/>
          <w:sz w:val="16"/>
          <w:szCs w:val="16"/>
          <w:highlight w:val="yellow"/>
        </w:rPr>
      </w:pPr>
      <w:r w:rsidRPr="00FC41C7">
        <w:rPr>
          <w:rFonts w:ascii="Calibri" w:hAnsi="Calibri" w:cs="Arial"/>
          <w:color w:val="000000"/>
          <w:sz w:val="16"/>
          <w:szCs w:val="16"/>
          <w:highlight w:val="yellow"/>
        </w:rPr>
        <w:t>II - promoção da cultura nacional e regional e estímulo à produção independente que objetive sua divulgação;</w:t>
      </w:r>
    </w:p>
    <w:p w14:paraId="2E397756" w14:textId="77777777" w:rsidR="008A39CD" w:rsidRPr="00FC41C7" w:rsidRDefault="008A39CD" w:rsidP="008A39CD">
      <w:pPr>
        <w:pStyle w:val="NormalWeb"/>
        <w:ind w:firstLine="525"/>
        <w:rPr>
          <w:rFonts w:ascii="Calibri" w:hAnsi="Calibri"/>
          <w:color w:val="000000"/>
          <w:sz w:val="16"/>
          <w:szCs w:val="16"/>
          <w:highlight w:val="yellow"/>
        </w:rPr>
      </w:pPr>
      <w:r w:rsidRPr="00FC41C7">
        <w:rPr>
          <w:rFonts w:ascii="Calibri" w:hAnsi="Calibri" w:cs="Arial"/>
          <w:color w:val="000000"/>
          <w:sz w:val="16"/>
          <w:szCs w:val="16"/>
          <w:highlight w:val="yellow"/>
        </w:rPr>
        <w:t>III - regionalização da produção cultural, artística e jornalística, conforme percentuais estabelecidos em lei;</w:t>
      </w:r>
    </w:p>
    <w:p w14:paraId="6DA3DF5A" w14:textId="77777777" w:rsidR="008A39CD" w:rsidRPr="00FC41C7" w:rsidRDefault="008A39CD" w:rsidP="008A39CD">
      <w:pPr>
        <w:pStyle w:val="NormalWeb"/>
        <w:ind w:firstLine="525"/>
        <w:rPr>
          <w:rFonts w:ascii="Calibri" w:hAnsi="Calibri"/>
          <w:color w:val="000000"/>
          <w:sz w:val="16"/>
          <w:szCs w:val="16"/>
        </w:rPr>
      </w:pPr>
      <w:r w:rsidRPr="00FC41C7">
        <w:rPr>
          <w:rFonts w:ascii="Calibri" w:hAnsi="Calibri" w:cs="Arial"/>
          <w:color w:val="000000"/>
          <w:sz w:val="16"/>
          <w:szCs w:val="16"/>
          <w:highlight w:val="yellow"/>
        </w:rPr>
        <w:t>IV - respeito aos valores éticos e sociais da pessoa e da família.</w:t>
      </w:r>
    </w:p>
    <w:p w14:paraId="42BC79FA" w14:textId="77777777" w:rsidR="008A39CD" w:rsidRPr="00FC41C7" w:rsidRDefault="008A39CD" w:rsidP="008A39CD">
      <w:pPr>
        <w:pStyle w:val="NormalWeb"/>
        <w:ind w:firstLine="525"/>
        <w:rPr>
          <w:rFonts w:ascii="Calibri" w:hAnsi="Calibri"/>
          <w:color w:val="000000"/>
          <w:sz w:val="16"/>
          <w:szCs w:val="16"/>
        </w:rPr>
      </w:pPr>
      <w:r w:rsidRPr="00BD39F2">
        <w:rPr>
          <w:rFonts w:ascii="Calibri" w:hAnsi="Calibri" w:cs="Arial"/>
          <w:b/>
          <w:color w:val="000000"/>
          <w:sz w:val="16"/>
          <w:szCs w:val="16"/>
        </w:rPr>
        <w:t>Art. 222. A propriedade de empresa jornalística e de radiodifusão</w:t>
      </w:r>
      <w:r w:rsidRPr="00FC41C7">
        <w:rPr>
          <w:rFonts w:ascii="Calibri" w:hAnsi="Calibri" w:cs="Arial"/>
          <w:color w:val="000000"/>
          <w:sz w:val="16"/>
          <w:szCs w:val="16"/>
        </w:rPr>
        <w:t xml:space="preserve"> sonora e de sons e imagens é privativa de brasileiros natos ou naturalizados há mais de dez anos, ou de pessoas jurídicas constituídas sob as leis brasileiras e que tenham sede no País. </w:t>
      </w:r>
      <w:hyperlink r:id="rId9" w:anchor="art1" w:history="1">
        <w:r w:rsidRPr="00FC41C7">
          <w:rPr>
            <w:rStyle w:val="Hyperlink"/>
            <w:rFonts w:ascii="Calibri" w:hAnsi="Calibri" w:cs="Arial"/>
            <w:sz w:val="16"/>
            <w:szCs w:val="16"/>
          </w:rPr>
          <w:t>(Redação dada pela Emenda Constitucional nº 36, de 2002)</w:t>
        </w:r>
      </w:hyperlink>
    </w:p>
    <w:p w14:paraId="53A05671" w14:textId="77777777" w:rsidR="008A39CD" w:rsidRPr="00FC41C7" w:rsidRDefault="008A39CD" w:rsidP="008A39CD">
      <w:pPr>
        <w:spacing w:before="100" w:beforeAutospacing="1" w:after="100" w:afterAutospacing="1"/>
        <w:ind w:firstLine="525"/>
        <w:jc w:val="both"/>
        <w:rPr>
          <w:rFonts w:ascii="Calibri" w:hAnsi="Calibri" w:cs="Times New Roman"/>
          <w:color w:val="000000"/>
          <w:sz w:val="16"/>
          <w:szCs w:val="16"/>
        </w:rPr>
      </w:pPr>
      <w:r w:rsidRPr="00FC41C7">
        <w:rPr>
          <w:rFonts w:ascii="Calibri" w:hAnsi="Calibri" w:cs="Arial"/>
          <w:color w:val="000000"/>
          <w:sz w:val="16"/>
          <w:szCs w:val="16"/>
        </w:rPr>
        <w:t>§ 1º Em qualquer caso, pelo menos setenta por cento do capital total e do capital votante das empresas jornalísticas e de radiodifusão sonora e de sons e imagens deverá pertencer, direta ou indiretamente, a brasileiros natos ou naturalizados há mais de dez anos, que exercerão obrigatoriamente a gestão das atividades e estabelecerão o conteúdo da programação. </w:t>
      </w:r>
      <w:hyperlink r:id="rId10" w:anchor="art1" w:history="1">
        <w:r w:rsidRPr="00FC41C7">
          <w:rPr>
            <w:rStyle w:val="Hyperlink"/>
            <w:rFonts w:ascii="Calibri" w:hAnsi="Calibri" w:cs="Arial"/>
            <w:sz w:val="16"/>
            <w:szCs w:val="16"/>
          </w:rPr>
          <w:t>(Redação dada pela Emenda Constitucional nº 36, de 2002)</w:t>
        </w:r>
      </w:hyperlink>
    </w:p>
    <w:p w14:paraId="49211919" w14:textId="77777777" w:rsidR="008A39CD" w:rsidRPr="00FC41C7" w:rsidRDefault="008A39CD" w:rsidP="008A39CD">
      <w:pPr>
        <w:spacing w:before="100" w:beforeAutospacing="1" w:after="100" w:afterAutospacing="1"/>
        <w:ind w:firstLine="525"/>
        <w:jc w:val="both"/>
        <w:rPr>
          <w:rFonts w:ascii="Calibri" w:hAnsi="Calibri" w:cs="Times New Roman"/>
          <w:color w:val="000000"/>
          <w:sz w:val="16"/>
          <w:szCs w:val="16"/>
        </w:rPr>
      </w:pPr>
      <w:r w:rsidRPr="00FC41C7">
        <w:rPr>
          <w:rFonts w:ascii="Calibri" w:hAnsi="Calibri" w:cs="Arial"/>
          <w:color w:val="000000"/>
          <w:sz w:val="16"/>
          <w:szCs w:val="16"/>
        </w:rPr>
        <w:t>§ 2º A responsabilidade editorial e as atividades de seleção e direção da programação veiculada são privativas de brasileiros natos ou naturalizados há mais de dez anos, em qualquer meio de comunicação social.</w:t>
      </w:r>
      <w:hyperlink r:id="rId11" w:anchor="art1" w:history="1">
        <w:r w:rsidRPr="00FC41C7">
          <w:rPr>
            <w:rStyle w:val="Hyperlink"/>
            <w:rFonts w:ascii="Calibri" w:hAnsi="Calibri" w:cs="Arial"/>
            <w:sz w:val="16"/>
            <w:szCs w:val="16"/>
          </w:rPr>
          <w:t>(Redação dada pela Emenda Constitucional nº 36, de 2002)</w:t>
        </w:r>
      </w:hyperlink>
    </w:p>
    <w:p w14:paraId="15CCAB14" w14:textId="77777777" w:rsidR="008A39CD" w:rsidRPr="00FC41C7" w:rsidRDefault="008A39CD" w:rsidP="008A39CD">
      <w:pPr>
        <w:spacing w:before="100" w:beforeAutospacing="1" w:after="100" w:afterAutospacing="1"/>
        <w:ind w:firstLine="525"/>
        <w:jc w:val="both"/>
        <w:rPr>
          <w:rFonts w:ascii="Calibri" w:hAnsi="Calibri" w:cs="Times New Roman"/>
          <w:color w:val="000000"/>
          <w:sz w:val="16"/>
          <w:szCs w:val="16"/>
        </w:rPr>
      </w:pPr>
      <w:r w:rsidRPr="00FC41C7">
        <w:rPr>
          <w:rFonts w:ascii="Calibri" w:hAnsi="Calibri" w:cs="Arial"/>
          <w:color w:val="000000"/>
          <w:sz w:val="16"/>
          <w:szCs w:val="16"/>
        </w:rPr>
        <w:t xml:space="preserve">§ 3º Os meios de comunicação social eletrônica, independentemente da tecnologia utilizada para a prestação do serviço, deverão observar os princípios enunciados </w:t>
      </w:r>
      <w:r w:rsidRPr="00BD39F2">
        <w:rPr>
          <w:rFonts w:ascii="Calibri" w:hAnsi="Calibri" w:cs="Arial"/>
          <w:color w:val="000000"/>
          <w:sz w:val="16"/>
          <w:szCs w:val="16"/>
          <w:highlight w:val="yellow"/>
        </w:rPr>
        <w:t>no art. 221, na forma de lei específica</w:t>
      </w:r>
      <w:r w:rsidRPr="00FC41C7">
        <w:rPr>
          <w:rFonts w:ascii="Calibri" w:hAnsi="Calibri" w:cs="Arial"/>
          <w:color w:val="000000"/>
          <w:sz w:val="16"/>
          <w:szCs w:val="16"/>
        </w:rPr>
        <w:t xml:space="preserve">, </w:t>
      </w:r>
      <w:r w:rsidRPr="00BD39F2">
        <w:rPr>
          <w:rFonts w:ascii="Calibri" w:hAnsi="Calibri" w:cs="Arial"/>
          <w:color w:val="000000"/>
          <w:sz w:val="16"/>
          <w:szCs w:val="16"/>
          <w:highlight w:val="green"/>
        </w:rPr>
        <w:t>que também garantirá a prioridade de profissionais brasileiros na execução de produções nacionais</w:t>
      </w:r>
      <w:r w:rsidRPr="00FC41C7">
        <w:rPr>
          <w:rFonts w:ascii="Calibri" w:hAnsi="Calibri" w:cs="Arial"/>
          <w:color w:val="000000"/>
          <w:sz w:val="16"/>
          <w:szCs w:val="16"/>
        </w:rPr>
        <w:t>. </w:t>
      </w:r>
      <w:hyperlink r:id="rId12" w:anchor="art1" w:history="1">
        <w:r w:rsidRPr="00FC41C7">
          <w:rPr>
            <w:rStyle w:val="Hyperlink"/>
            <w:rFonts w:ascii="Calibri" w:hAnsi="Calibri" w:cs="Arial"/>
            <w:sz w:val="16"/>
            <w:szCs w:val="16"/>
          </w:rPr>
          <w:t>(Incluído pela Emenda Constitucional nº 36, de 2002)</w:t>
        </w:r>
      </w:hyperlink>
    </w:p>
    <w:p w14:paraId="67CBCD52" w14:textId="77777777" w:rsidR="008A39CD" w:rsidRPr="00FC41C7" w:rsidRDefault="008A39CD" w:rsidP="008A39CD">
      <w:pPr>
        <w:spacing w:before="100" w:beforeAutospacing="1" w:after="100" w:afterAutospacing="1"/>
        <w:ind w:firstLine="525"/>
        <w:jc w:val="both"/>
        <w:rPr>
          <w:rFonts w:ascii="Calibri" w:hAnsi="Calibri" w:cs="Times New Roman"/>
          <w:color w:val="000000"/>
          <w:sz w:val="16"/>
          <w:szCs w:val="16"/>
        </w:rPr>
      </w:pPr>
      <w:r w:rsidRPr="00FC41C7">
        <w:rPr>
          <w:rFonts w:ascii="Calibri" w:hAnsi="Calibri" w:cs="Arial"/>
          <w:color w:val="000000"/>
          <w:sz w:val="16"/>
          <w:szCs w:val="16"/>
        </w:rPr>
        <w:t>§ 4º Lei disciplinará a participação de capital estrangeiro nas empresas de que trata o § 1º. </w:t>
      </w:r>
      <w:hyperlink r:id="rId13" w:anchor="art1" w:history="1">
        <w:r w:rsidRPr="00FC41C7">
          <w:rPr>
            <w:rStyle w:val="Hyperlink"/>
            <w:rFonts w:ascii="Calibri" w:hAnsi="Calibri" w:cs="Arial"/>
            <w:sz w:val="16"/>
            <w:szCs w:val="16"/>
          </w:rPr>
          <w:t>(Incluído pela Emenda Constitucional nº 36, de 2002)</w:t>
        </w:r>
      </w:hyperlink>
    </w:p>
    <w:p w14:paraId="10909F54" w14:textId="77777777" w:rsidR="008A39CD" w:rsidRPr="00FC41C7" w:rsidRDefault="008A39CD" w:rsidP="008A39CD">
      <w:pPr>
        <w:spacing w:before="100" w:beforeAutospacing="1" w:after="100" w:afterAutospacing="1"/>
        <w:ind w:firstLine="525"/>
        <w:jc w:val="both"/>
        <w:rPr>
          <w:rFonts w:ascii="Calibri" w:hAnsi="Calibri" w:cs="Times New Roman"/>
          <w:color w:val="000000"/>
          <w:sz w:val="16"/>
          <w:szCs w:val="16"/>
        </w:rPr>
      </w:pPr>
      <w:r w:rsidRPr="00FC41C7">
        <w:rPr>
          <w:rFonts w:ascii="Calibri" w:hAnsi="Calibri" w:cs="Arial"/>
          <w:color w:val="000000"/>
          <w:sz w:val="16"/>
          <w:szCs w:val="16"/>
        </w:rPr>
        <w:t>§ 5º As alterações de controle societário das empresas de que trata o § 1º serão comunicadas ao Congresso Nacional. </w:t>
      </w:r>
      <w:hyperlink r:id="rId14" w:anchor="art1" w:history="1">
        <w:r w:rsidRPr="00FC41C7">
          <w:rPr>
            <w:rStyle w:val="Hyperlink"/>
            <w:rFonts w:ascii="Calibri" w:hAnsi="Calibri" w:cs="Arial"/>
            <w:sz w:val="16"/>
            <w:szCs w:val="16"/>
          </w:rPr>
          <w:t>(Incluído pela Emenda Constitucional nº 36, de 2002)</w:t>
        </w:r>
      </w:hyperlink>
    </w:p>
    <w:p w14:paraId="173D1982" w14:textId="77777777" w:rsidR="008A39CD" w:rsidRPr="00BD39F2" w:rsidRDefault="008A39CD" w:rsidP="008A39CD">
      <w:pPr>
        <w:pStyle w:val="NormalWeb"/>
        <w:ind w:firstLine="525"/>
        <w:rPr>
          <w:rFonts w:ascii="Calibri" w:hAnsi="Calibri"/>
          <w:b/>
          <w:color w:val="000000"/>
          <w:sz w:val="16"/>
          <w:szCs w:val="16"/>
          <w:highlight w:val="yellow"/>
        </w:rPr>
      </w:pPr>
      <w:r w:rsidRPr="00BD39F2">
        <w:rPr>
          <w:rFonts w:ascii="Calibri" w:hAnsi="Calibri" w:cs="Arial"/>
          <w:b/>
          <w:color w:val="000000"/>
          <w:sz w:val="16"/>
          <w:szCs w:val="16"/>
          <w:highlight w:val="yellow"/>
        </w:rPr>
        <w:t>Art. 223. Compete ao Poder Executivo outorgar e renovar concessão, permissão e autorização para o serviço de radiodifusão sonora e de sons e imagens, observado o princípio da complementaridade dos sistemas privado, público e estatal.</w:t>
      </w:r>
    </w:p>
    <w:p w14:paraId="1E08485A" w14:textId="77777777" w:rsidR="008A39CD" w:rsidRPr="00FC41C7" w:rsidRDefault="008A39CD" w:rsidP="008A39CD">
      <w:pPr>
        <w:pStyle w:val="NormalWeb"/>
        <w:ind w:firstLine="525"/>
        <w:rPr>
          <w:rFonts w:ascii="Calibri" w:hAnsi="Calibri"/>
          <w:color w:val="000000"/>
          <w:sz w:val="16"/>
          <w:szCs w:val="16"/>
          <w:highlight w:val="yellow"/>
        </w:rPr>
      </w:pPr>
      <w:r w:rsidRPr="00FC41C7">
        <w:rPr>
          <w:rFonts w:ascii="Calibri" w:hAnsi="Calibri" w:cs="Arial"/>
          <w:color w:val="000000"/>
          <w:sz w:val="16"/>
          <w:szCs w:val="16"/>
          <w:highlight w:val="yellow"/>
        </w:rPr>
        <w:t>§ 1º O Congresso Nacional apreciará o ato no prazo do art. 64, § 2º e § 4º, a contar do recebimento da mensagem.</w:t>
      </w:r>
    </w:p>
    <w:p w14:paraId="3ECC5A0B" w14:textId="77777777" w:rsidR="008A39CD" w:rsidRPr="00FC41C7" w:rsidRDefault="008A39CD" w:rsidP="008A39CD">
      <w:pPr>
        <w:pStyle w:val="NormalWeb"/>
        <w:ind w:firstLine="525"/>
        <w:rPr>
          <w:rFonts w:ascii="Calibri" w:hAnsi="Calibri"/>
          <w:color w:val="000000"/>
          <w:sz w:val="16"/>
          <w:szCs w:val="16"/>
        </w:rPr>
      </w:pPr>
      <w:r w:rsidRPr="00FC41C7">
        <w:rPr>
          <w:rFonts w:ascii="Calibri" w:hAnsi="Calibri" w:cs="Arial"/>
          <w:color w:val="000000"/>
          <w:sz w:val="16"/>
          <w:szCs w:val="16"/>
          <w:highlight w:val="yellow"/>
        </w:rPr>
        <w:t>§ 2º A não renovação da concessão ou permissão dependerá de aprovação de, no mínimo, dois quintos do Congresso Nacional, em votação nominal.</w:t>
      </w:r>
    </w:p>
    <w:p w14:paraId="40A73E6C" w14:textId="77777777" w:rsidR="008A39CD" w:rsidRPr="00FC41C7" w:rsidRDefault="008A39CD" w:rsidP="008A39CD">
      <w:pPr>
        <w:pStyle w:val="NormalWeb"/>
        <w:ind w:firstLine="525"/>
        <w:rPr>
          <w:rFonts w:ascii="Calibri" w:hAnsi="Calibri"/>
          <w:color w:val="000000"/>
          <w:sz w:val="16"/>
          <w:szCs w:val="16"/>
        </w:rPr>
      </w:pPr>
      <w:r w:rsidRPr="00BD39F2">
        <w:rPr>
          <w:rFonts w:ascii="Calibri" w:hAnsi="Calibri" w:cs="Arial"/>
          <w:color w:val="000000"/>
          <w:sz w:val="16"/>
          <w:szCs w:val="16"/>
          <w:highlight w:val="cyan"/>
        </w:rPr>
        <w:t>§ 3º O ato de outorga ou renovação somente produzirá efeitos legais após deliberação do Congresso Nacional, na forma dos parágrafos anteriores.</w:t>
      </w:r>
    </w:p>
    <w:p w14:paraId="6B129AAF" w14:textId="77777777" w:rsidR="008A39CD" w:rsidRPr="00FC41C7" w:rsidRDefault="008A39CD" w:rsidP="008A39CD">
      <w:pPr>
        <w:pStyle w:val="NormalWeb"/>
        <w:ind w:firstLine="525"/>
        <w:rPr>
          <w:rFonts w:ascii="Calibri" w:hAnsi="Calibri"/>
          <w:color w:val="000000"/>
          <w:sz w:val="16"/>
          <w:szCs w:val="16"/>
        </w:rPr>
      </w:pPr>
      <w:r w:rsidRPr="00FC41C7">
        <w:rPr>
          <w:rFonts w:ascii="Calibri" w:hAnsi="Calibri" w:cs="Arial"/>
          <w:color w:val="000000"/>
          <w:sz w:val="16"/>
          <w:szCs w:val="16"/>
          <w:highlight w:val="green"/>
        </w:rPr>
        <w:t>§ 4º O cancelamento da concessão ou permissão, antes de vencido o prazo, depende de decisão judicial.</w:t>
      </w:r>
    </w:p>
    <w:p w14:paraId="43C52987" w14:textId="77777777" w:rsidR="008A39CD" w:rsidRPr="00FC41C7" w:rsidRDefault="008A39CD" w:rsidP="008A39CD">
      <w:pPr>
        <w:pStyle w:val="NormalWeb"/>
        <w:ind w:firstLine="525"/>
        <w:rPr>
          <w:rFonts w:ascii="Calibri" w:hAnsi="Calibri"/>
          <w:color w:val="000000"/>
          <w:sz w:val="16"/>
          <w:szCs w:val="16"/>
        </w:rPr>
      </w:pPr>
      <w:r w:rsidRPr="00FC41C7">
        <w:rPr>
          <w:rFonts w:ascii="Calibri" w:hAnsi="Calibri" w:cs="Arial"/>
          <w:color w:val="000000"/>
          <w:sz w:val="16"/>
          <w:szCs w:val="16"/>
          <w:highlight w:val="cyan"/>
        </w:rPr>
        <w:t>§ 5º O prazo da concessão ou permissão será de dez anos para as emissoras de rádio e de quinze para as de televisão.</w:t>
      </w:r>
    </w:p>
    <w:p w14:paraId="7DD706EB" w14:textId="77777777" w:rsidR="008A39CD" w:rsidRPr="00BD39F2" w:rsidRDefault="008A39CD" w:rsidP="008A39CD">
      <w:pPr>
        <w:pStyle w:val="NormalWeb"/>
        <w:ind w:firstLine="525"/>
        <w:rPr>
          <w:rFonts w:ascii="Calibri" w:hAnsi="Calibri"/>
          <w:b/>
          <w:color w:val="000000"/>
          <w:sz w:val="16"/>
          <w:szCs w:val="16"/>
        </w:rPr>
      </w:pPr>
      <w:r w:rsidRPr="00BD39F2">
        <w:rPr>
          <w:rFonts w:ascii="Calibri" w:hAnsi="Calibri" w:cs="Arial"/>
          <w:b/>
          <w:color w:val="000000"/>
          <w:sz w:val="16"/>
          <w:szCs w:val="16"/>
        </w:rPr>
        <w:t>Art. 224. Para os efeitos do disposto neste capítulo, o Congresso Nacional instituirá, como seu órgão auxiliar, o Conselho de Comunicação Social, na forma da lei.</w:t>
      </w:r>
    </w:p>
    <w:p w14:paraId="14F6B009" w14:textId="77777777" w:rsidR="008A39CD" w:rsidRDefault="008A39CD" w:rsidP="001D00EE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</w:rPr>
      </w:pPr>
    </w:p>
    <w:p w14:paraId="56CC183E" w14:textId="77777777" w:rsidR="008A39CD" w:rsidRDefault="008A39CD" w:rsidP="001D00EE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</w:rPr>
      </w:pPr>
    </w:p>
    <w:p w14:paraId="5B86719D" w14:textId="4ECB04FC" w:rsidR="001D00EE" w:rsidRPr="008A39CD" w:rsidRDefault="001D00EE" w:rsidP="001D00EE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  <w:b/>
        </w:rPr>
      </w:pPr>
      <w:r w:rsidRPr="008A39CD">
        <w:rPr>
          <w:rFonts w:ascii="Calibri" w:hAnsi="Calibri"/>
          <w:b/>
        </w:rPr>
        <w:t xml:space="preserve">Sistema de comunicação </w:t>
      </w:r>
      <w:r w:rsidR="00963932" w:rsidRPr="008A39CD">
        <w:rPr>
          <w:rFonts w:ascii="Calibri" w:hAnsi="Calibri"/>
          <w:b/>
        </w:rPr>
        <w:t>estatal</w:t>
      </w:r>
    </w:p>
    <w:p w14:paraId="4FC18254" w14:textId="77777777" w:rsidR="001D00EE" w:rsidRPr="004B5120" w:rsidRDefault="001D00EE" w:rsidP="001D00EE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</w:rPr>
      </w:pPr>
    </w:p>
    <w:p w14:paraId="00160D7D" w14:textId="77777777" w:rsidR="00963932" w:rsidRDefault="00963932" w:rsidP="00963932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</w:rPr>
      </w:pPr>
    </w:p>
    <w:p w14:paraId="691012E7" w14:textId="77777777" w:rsidR="00963932" w:rsidRPr="008C7CDE" w:rsidRDefault="00963932" w:rsidP="00963932">
      <w:pPr>
        <w:rPr>
          <w:rFonts w:ascii="Calibri" w:hAnsi="Calibri"/>
          <w:b/>
        </w:rPr>
      </w:pPr>
      <w:r w:rsidRPr="008C7CDE">
        <w:rPr>
          <w:rFonts w:ascii="Calibri" w:hAnsi="Calibri"/>
          <w:b/>
        </w:rPr>
        <w:t xml:space="preserve">Comunicação estatal (transparência e publicidade) </w:t>
      </w:r>
    </w:p>
    <w:p w14:paraId="28B2255A" w14:textId="77777777" w:rsidR="00963932" w:rsidRPr="008C7CDE" w:rsidRDefault="00963932" w:rsidP="00963932">
      <w:pPr>
        <w:rPr>
          <w:rFonts w:ascii="Calibri" w:hAnsi="Calibri"/>
          <w:b/>
        </w:rPr>
      </w:pPr>
    </w:p>
    <w:p w14:paraId="554FB15B" w14:textId="77777777" w:rsidR="00963932" w:rsidRPr="008C7CDE" w:rsidRDefault="00963932" w:rsidP="00963932">
      <w:pPr>
        <w:rPr>
          <w:rFonts w:ascii="Calibri" w:hAnsi="Calibri"/>
          <w:b/>
        </w:rPr>
      </w:pPr>
      <w:r w:rsidRPr="008C7CDE">
        <w:rPr>
          <w:rFonts w:ascii="Calibri" w:hAnsi="Calibri"/>
          <w:b/>
        </w:rPr>
        <w:t>Art. 37, p. 1</w:t>
      </w:r>
      <w:r w:rsidRPr="008C7CDE">
        <w:rPr>
          <w:rFonts w:ascii="Calibri" w:hAnsi="Calibri"/>
          <w:b/>
          <w:vertAlign w:val="superscript"/>
        </w:rPr>
        <w:t>o</w:t>
      </w:r>
      <w:r w:rsidRPr="008C7CDE">
        <w:rPr>
          <w:rFonts w:ascii="Calibri" w:hAnsi="Calibri"/>
          <w:b/>
        </w:rPr>
        <w:t xml:space="preserve"> CF </w:t>
      </w:r>
    </w:p>
    <w:p w14:paraId="6D53CAB8" w14:textId="77777777" w:rsidR="00963932" w:rsidRDefault="00963932" w:rsidP="00963932">
      <w:pPr>
        <w:rPr>
          <w:rFonts w:ascii="Calibri" w:hAnsi="Calibri"/>
        </w:rPr>
      </w:pPr>
    </w:p>
    <w:p w14:paraId="4294ECCE" w14:textId="77777777" w:rsidR="00963932" w:rsidRPr="00BE5E14" w:rsidRDefault="00963932" w:rsidP="00963932">
      <w:pPr>
        <w:rPr>
          <w:rFonts w:ascii="Times" w:eastAsia="Times New Roman" w:hAnsi="Times" w:cs="Times New Roman"/>
          <w:sz w:val="20"/>
          <w:szCs w:val="20"/>
        </w:rPr>
      </w:pPr>
      <w:r w:rsidRPr="00BE5E14">
        <w:rPr>
          <w:rFonts w:ascii="Arial" w:eastAsia="Times New Roman" w:hAnsi="Arial" w:cs="Arial"/>
          <w:color w:val="000000"/>
          <w:shd w:val="clear" w:color="auto" w:fill="FFFFFF"/>
        </w:rPr>
        <w:t>Art. 37. A administração pública direta e indireta de qualquer dos Poderes da União, dos Estados, do Distrito Federal e dos Municípios obedecerá aos princípios de legalidade, impessoalidade, moralidade, publicidade e eficiência e, também, ao seguinte: </w:t>
      </w:r>
    </w:p>
    <w:p w14:paraId="664D6D54" w14:textId="77777777" w:rsidR="00963932" w:rsidRDefault="00963932" w:rsidP="00963932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</w:rPr>
      </w:pPr>
    </w:p>
    <w:p w14:paraId="43682F32" w14:textId="77777777" w:rsidR="00963932" w:rsidRDefault="00963932" w:rsidP="00963932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BE5E14">
        <w:rPr>
          <w:rFonts w:ascii="Arial" w:eastAsia="Times New Roman" w:hAnsi="Arial" w:cs="Arial"/>
          <w:color w:val="000000"/>
          <w:shd w:val="clear" w:color="auto" w:fill="FFFFFF"/>
        </w:rPr>
        <w:t>§ 1º A publicidade dos atos, programas, obras, serviços e campanhas dos órgãos públicos deverá ter caráter educativo, informativo ou de orientação social, dela não podendo constar nomes, símbolos ou imagens que caracterizem promoção pessoal de autoridades ou servidores públicos.</w:t>
      </w:r>
    </w:p>
    <w:p w14:paraId="0EE7586D" w14:textId="77777777" w:rsidR="00963932" w:rsidRDefault="00963932" w:rsidP="00963932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5C37F71B" w14:textId="77777777" w:rsidR="00963932" w:rsidRPr="00BE5E14" w:rsidRDefault="00963932" w:rsidP="00963932">
      <w:pPr>
        <w:rPr>
          <w:rFonts w:ascii="Times" w:eastAsia="Times New Roman" w:hAnsi="Times" w:cs="Times New Roman"/>
          <w:b/>
          <w:sz w:val="20"/>
          <w:szCs w:val="20"/>
        </w:rPr>
      </w:pPr>
      <w:r w:rsidRPr="008C7CDE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Lei de Acesso à Informação 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>–</w:t>
      </w:r>
      <w:r w:rsidRPr="008C7CDE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Lei 12.527/11 </w:t>
      </w:r>
      <w:hyperlink r:id="rId15" w:history="1">
        <w:r w:rsidRPr="00DE7274">
          <w:rPr>
            <w:rStyle w:val="Hyperlink"/>
            <w:rFonts w:ascii="Arial" w:eastAsia="Times New Roman" w:hAnsi="Arial" w:cs="Arial"/>
            <w:b/>
            <w:shd w:val="clear" w:color="auto" w:fill="FFFFFF"/>
          </w:rPr>
          <w:t>http://www.planalto.gov.br/ccivil_03/_ato2011-2014/2011/lei/l12527.htm</w:t>
        </w:r>
      </w:hyperlink>
      <w:r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</w:p>
    <w:p w14:paraId="6A0FB8C6" w14:textId="77777777" w:rsidR="00963932" w:rsidRDefault="00963932" w:rsidP="00963932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</w:rPr>
      </w:pPr>
    </w:p>
    <w:p w14:paraId="3487A7FE" w14:textId="77777777" w:rsidR="001D00EE" w:rsidRDefault="001D00EE" w:rsidP="001D00EE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  <w:b/>
        </w:rPr>
      </w:pPr>
    </w:p>
    <w:p w14:paraId="534482AE" w14:textId="77777777" w:rsidR="001D00EE" w:rsidRPr="001D00EE" w:rsidRDefault="001D00EE" w:rsidP="001D00EE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Calibri" w:hAnsi="Calibri"/>
          <w:b/>
        </w:rPr>
      </w:pPr>
    </w:p>
    <w:p w14:paraId="06562B06" w14:textId="77777777" w:rsidR="00E55BB7" w:rsidRPr="001D00EE" w:rsidRDefault="001D00EE">
      <w:pPr>
        <w:rPr>
          <w:b/>
        </w:rPr>
      </w:pPr>
      <w:r w:rsidRPr="001D00EE">
        <w:rPr>
          <w:b/>
        </w:rPr>
        <w:t>Parte II – texto Venício</w:t>
      </w:r>
    </w:p>
    <w:p w14:paraId="32BD488B" w14:textId="77777777" w:rsidR="001D00EE" w:rsidRPr="001D00EE" w:rsidRDefault="001D00EE">
      <w:pPr>
        <w:rPr>
          <w:b/>
        </w:rPr>
      </w:pPr>
    </w:p>
    <w:p w14:paraId="6022983C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Cap. 4. Concessões de rádio e TV: serviço público vs. interesse privado (2008)</w:t>
      </w:r>
    </w:p>
    <w:p w14:paraId="2A372239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028A8D2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Normas e procedimentos burocráticos, contraditórios e desatualizados </w:t>
      </w:r>
    </w:p>
    <w:p w14:paraId="52E13809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52F9081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Lugar de negociação de interesses privados dentro do Estado</w:t>
      </w:r>
    </w:p>
    <w:p w14:paraId="2CC77989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B8E39FC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Normas que fazem perpetuar essa sobreposição do privado sobre o público na execução dos serviços de radiodifusão</w:t>
      </w:r>
    </w:p>
    <w:p w14:paraId="1A5361C0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BD9B721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TV aberta e rádio comercial – presentes em mais de 90% dos domicílios, e faturam 63,5% da publicidade bruta no país (5,2 bilhões em 2007) (dados do grupo de mídia – </w:t>
      </w:r>
      <w:r>
        <w:rPr>
          <w:rFonts w:ascii="Arial" w:hAnsi="Arial" w:cs="Arial"/>
          <w:i/>
          <w:color w:val="000000"/>
          <w:sz w:val="24"/>
          <w:szCs w:val="24"/>
        </w:rPr>
        <w:t>Mídia Dados 2007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3A531F31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1E0691A" w14:textId="43D0B488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Normas distintas para serviços de tv aberta (radiodifusão – Lei 4.117/62</w:t>
      </w:r>
      <w:r w:rsidR="003F39A0">
        <w:rPr>
          <w:rFonts w:ascii="Arial" w:hAnsi="Arial" w:cs="Arial"/>
          <w:color w:val="000000"/>
          <w:sz w:val="24"/>
          <w:szCs w:val="24"/>
        </w:rPr>
        <w:t>, Código Brasileiro de telecomunicações, atualizado pela Lei 9.472/95, Lei Geral de Telecomunicações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3F39A0">
        <w:rPr>
          <w:rFonts w:ascii="Arial" w:hAnsi="Arial" w:cs="Arial"/>
          <w:color w:val="000000"/>
          <w:sz w:val="24"/>
          <w:szCs w:val="24"/>
        </w:rPr>
        <w:t xml:space="preserve"> – radiodifusão e telecomunicações tratadas dentro da mesma Lei – confusões.</w:t>
      </w:r>
    </w:p>
    <w:p w14:paraId="392CDD2B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92D827B" w14:textId="4A2A0C1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TV paga é tratada como telecomunicação (Lei 8.977/95, atualizada pela Lei 12.485/11) – comunicação audiovisual de acesso condicionado</w:t>
      </w:r>
      <w:r w:rsidR="003F39A0">
        <w:rPr>
          <w:rFonts w:ascii="Arial" w:hAnsi="Arial" w:cs="Arial"/>
          <w:color w:val="000000"/>
          <w:sz w:val="24"/>
          <w:szCs w:val="24"/>
        </w:rPr>
        <w:t xml:space="preserve"> – Lei do SeAC.</w:t>
      </w:r>
    </w:p>
    <w:p w14:paraId="31F36394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2EB1CCD" w14:textId="6A4EB5EE" w:rsidR="00690EEF" w:rsidRDefault="00690EEF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Discussão sobre regulação convergente – serviços de streaming, serviços de tv aberta e condicionada tratados dentro dos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marcos da comunicação social</w:t>
      </w:r>
    </w:p>
    <w:p w14:paraId="30BCB971" w14:textId="77777777" w:rsidR="00690EEF" w:rsidRDefault="00690EEF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13FF5C3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Tempo das concessões – 10 anos para rádio e 15 anos para televisão – passam a ser tratadas como “propriedade” e não como concessão temporária</w:t>
      </w:r>
    </w:p>
    <w:p w14:paraId="6DC4213D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83C147A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“não renovação” depende de 2/5 do congresso – p. 2</w:t>
      </w:r>
      <w:r w:rsidRPr="00683CD0">
        <w:rPr>
          <w:rFonts w:ascii="Arial" w:hAnsi="Arial" w:cs="Arial"/>
          <w:color w:val="000000"/>
          <w:sz w:val="24"/>
          <w:szCs w:val="24"/>
          <w:vertAlign w:val="superscript"/>
        </w:rPr>
        <w:t>o</w:t>
      </w:r>
      <w:r>
        <w:rPr>
          <w:rFonts w:ascii="Arial" w:hAnsi="Arial" w:cs="Arial"/>
          <w:color w:val="000000"/>
          <w:sz w:val="24"/>
          <w:szCs w:val="24"/>
        </w:rPr>
        <w:t>, Art. 223, CF 88. Favorecimento dos concessionários.</w:t>
      </w:r>
    </w:p>
    <w:p w14:paraId="53EA54C6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FC32291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Quase impossibilidade de não renovação – comprometimento dos políticos. Nunca houve pedido de não renovação apreciado no Congresso.</w:t>
      </w:r>
    </w:p>
    <w:p w14:paraId="5C12116E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C33935C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Decreto 88.066/83 – Figueiredo – se o concessionário requer a renovação da concessão, e os órgãos competentes não decidem, a renovação é automática.</w:t>
      </w:r>
    </w:p>
    <w:p w14:paraId="21A90791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C9402AA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 isso, concessões funcionam por períodos além de seu prazo de concessão. </w:t>
      </w:r>
    </w:p>
    <w:p w14:paraId="05372E6B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0FC7FAF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(diferença de tratamento em relação a rádios comunitárias com pedidos de autorização em andamento)</w:t>
      </w:r>
    </w:p>
    <w:p w14:paraId="61BB3AFB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6D2AA4A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cancelamento de concessão – somente com decisão judicial – art. 223, p. 4</w:t>
      </w:r>
      <w:r w:rsidRPr="004D79D7">
        <w:rPr>
          <w:rFonts w:ascii="Arial" w:hAnsi="Arial" w:cs="Arial"/>
          <w:color w:val="000000"/>
          <w:sz w:val="24"/>
          <w:szCs w:val="24"/>
          <w:vertAlign w:val="superscript"/>
        </w:rPr>
        <w:t>o</w:t>
      </w:r>
      <w:r>
        <w:rPr>
          <w:rFonts w:ascii="Arial" w:hAnsi="Arial" w:cs="Arial"/>
          <w:color w:val="000000"/>
          <w:sz w:val="24"/>
          <w:szCs w:val="24"/>
        </w:rPr>
        <w:t>, CF. – vai contra o poder do concedente de cancelar a concessão em nome do interesse público.</w:t>
      </w:r>
    </w:p>
    <w:p w14:paraId="3ADBC36E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BE5380B" w14:textId="1558FB5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Artigo 221 não é utilizado para outorga, cancelamento ou renovação – orientação </w:t>
      </w:r>
      <w:r w:rsidR="006962E2">
        <w:rPr>
          <w:rFonts w:ascii="Arial" w:hAnsi="Arial" w:cs="Arial"/>
          <w:color w:val="000000"/>
          <w:sz w:val="24"/>
          <w:szCs w:val="24"/>
        </w:rPr>
        <w:t>para programações das emissoras, o que não é fiscalizado e a regulamentação pela Lei da TV a Cabo é</w:t>
      </w:r>
      <w:r w:rsidR="0024016A">
        <w:rPr>
          <w:rFonts w:ascii="Arial" w:hAnsi="Arial" w:cs="Arial"/>
          <w:color w:val="000000"/>
          <w:sz w:val="24"/>
          <w:szCs w:val="24"/>
        </w:rPr>
        <w:t xml:space="preserve"> importante porém</w:t>
      </w:r>
      <w:r w:rsidR="006962E2">
        <w:rPr>
          <w:rFonts w:ascii="Arial" w:hAnsi="Arial" w:cs="Arial"/>
          <w:color w:val="000000"/>
          <w:sz w:val="24"/>
          <w:szCs w:val="24"/>
        </w:rPr>
        <w:t xml:space="preserve"> limitada.</w:t>
      </w:r>
    </w:p>
    <w:p w14:paraId="43A3B2BF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A0D1E6D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Apesar de ter normas que buscam impedir monopólios ou oligopólios (art. 220, p. 5</w:t>
      </w:r>
      <w:r w:rsidRPr="008D48C6">
        <w:rPr>
          <w:rFonts w:ascii="Arial" w:hAnsi="Arial" w:cs="Arial"/>
          <w:color w:val="000000"/>
          <w:sz w:val="24"/>
          <w:szCs w:val="24"/>
          <w:vertAlign w:val="superscript"/>
        </w:rPr>
        <w:t>o</w:t>
      </w:r>
      <w:r>
        <w:rPr>
          <w:rFonts w:ascii="Arial" w:hAnsi="Arial" w:cs="Arial"/>
          <w:color w:val="000000"/>
          <w:sz w:val="24"/>
          <w:szCs w:val="24"/>
        </w:rPr>
        <w:t>, CF, 88), ou exigir complementaridade entre meios públicos, privados e estatais (art. 223), nenhuma delas foi regulamentada ou considerada eficaz.</w:t>
      </w:r>
    </w:p>
    <w:p w14:paraId="64554204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5D28E90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Limitações do Decreto – Lei 236/67 – limitação de acúmulo de concessões (mais em estações locais [4] e menos nas regionais e nacionais</w:t>
      </w:r>
    </w:p>
    <w:p w14:paraId="69B3EE7F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6D16337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Estações de rádio e televisão – 10 estações em todo território nacional, sendo máximo 5 em VHF e 2 por Estado.</w:t>
      </w:r>
    </w:p>
    <w:p w14:paraId="19D81019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0EE3DC4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Empresas de radiodifusão não podem estar subordinadas a entidades que visam orientação única da programação – Igrejas?</w:t>
      </w:r>
    </w:p>
    <w:p w14:paraId="1EC441E6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A20E925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Normas se tornaram inócuas.</w:t>
      </w:r>
    </w:p>
    <w:p w14:paraId="0B9D336B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EBC tentou iniciar 1</w:t>
      </w:r>
      <w:r w:rsidRPr="00891814">
        <w:rPr>
          <w:rFonts w:ascii="Arial" w:hAnsi="Arial" w:cs="Arial"/>
          <w:color w:val="000000"/>
          <w:sz w:val="24"/>
          <w:szCs w:val="24"/>
          <w:vertAlign w:val="superscript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sistema público de radiodifusão no Brasil (2008)</w:t>
      </w:r>
    </w:p>
    <w:p w14:paraId="28CA56D4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571DD60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Violação de proibição de membros do poder legislativo exercendo função de diretor ou gerente (impede cargos, função ou emprego remunerado)</w:t>
      </w:r>
    </w:p>
    <w:p w14:paraId="2C46AE54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E9A8922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Art. 54, I, CF 88</w:t>
      </w:r>
    </w:p>
    <w:p w14:paraId="798BB52A" w14:textId="77777777" w:rsidR="000F1A17" w:rsidRPr="00E030DF" w:rsidRDefault="000F1A17" w:rsidP="000F1A17">
      <w:pPr>
        <w:shd w:val="clear" w:color="auto" w:fill="FFFFFF"/>
        <w:spacing w:before="100" w:beforeAutospacing="1" w:after="100" w:afterAutospacing="1"/>
        <w:ind w:firstLine="525"/>
        <w:rPr>
          <w:rFonts w:ascii="Times" w:hAnsi="Times"/>
          <w:color w:val="000000"/>
        </w:rPr>
      </w:pPr>
      <w:r w:rsidRPr="00E030DF">
        <w:rPr>
          <w:rFonts w:cs="Arial"/>
          <w:color w:val="000000"/>
        </w:rPr>
        <w:t>Art. 54. Os Deputados e Senadores não poderão:</w:t>
      </w:r>
    </w:p>
    <w:p w14:paraId="7FB207F6" w14:textId="77777777" w:rsidR="000F1A17" w:rsidRPr="00E030DF" w:rsidRDefault="000F1A17" w:rsidP="000F1A17">
      <w:pPr>
        <w:shd w:val="clear" w:color="auto" w:fill="FFFFFF"/>
        <w:spacing w:before="100" w:beforeAutospacing="1" w:after="100" w:afterAutospacing="1"/>
        <w:ind w:firstLine="525"/>
        <w:rPr>
          <w:rFonts w:ascii="Times" w:hAnsi="Times"/>
          <w:color w:val="000000"/>
        </w:rPr>
      </w:pPr>
      <w:r w:rsidRPr="00E030DF">
        <w:rPr>
          <w:rFonts w:cs="Arial"/>
          <w:color w:val="000000"/>
        </w:rPr>
        <w:t>I - desde a expedição do diploma:</w:t>
      </w:r>
    </w:p>
    <w:p w14:paraId="6BE8645F" w14:textId="77777777" w:rsidR="000F1A17" w:rsidRPr="00E030DF" w:rsidRDefault="000F1A17" w:rsidP="000F1A17">
      <w:pPr>
        <w:shd w:val="clear" w:color="auto" w:fill="FFFFFF"/>
        <w:spacing w:before="100" w:beforeAutospacing="1" w:after="100" w:afterAutospacing="1"/>
        <w:ind w:firstLine="525"/>
        <w:rPr>
          <w:rFonts w:ascii="Times" w:hAnsi="Times"/>
          <w:color w:val="000000"/>
        </w:rPr>
      </w:pPr>
      <w:r w:rsidRPr="00E030DF">
        <w:rPr>
          <w:rFonts w:cs="Arial"/>
          <w:color w:val="000000"/>
        </w:rPr>
        <w:t>a) firmar ou manter contrato com pessoa jurídica de direito público, autarquia, empresa pública, sociedade de economia mista ou empresa concessionária de serviço público, salvo quando o contrato obedecer a cláusulas uniformes;</w:t>
      </w:r>
    </w:p>
    <w:p w14:paraId="4D5F8207" w14:textId="77777777" w:rsidR="000F1A17" w:rsidRPr="00E030DF" w:rsidRDefault="000F1A17" w:rsidP="000F1A17">
      <w:pPr>
        <w:shd w:val="clear" w:color="auto" w:fill="FFFFFF"/>
        <w:spacing w:before="100" w:beforeAutospacing="1" w:after="100" w:afterAutospacing="1"/>
        <w:ind w:firstLine="525"/>
        <w:rPr>
          <w:rFonts w:ascii="Times" w:hAnsi="Times"/>
          <w:color w:val="000000"/>
        </w:rPr>
      </w:pPr>
      <w:r w:rsidRPr="00E030DF">
        <w:rPr>
          <w:rFonts w:cs="Arial"/>
          <w:color w:val="000000"/>
        </w:rPr>
        <w:t>b) aceitar ou exercer cargo, função ou emprego remunerado, inclusive os de que sejam demissíveis "ad nutum", nas entidades constantes da alínea anterior;</w:t>
      </w:r>
    </w:p>
    <w:p w14:paraId="640C2793" w14:textId="77777777" w:rsidR="000F1A17" w:rsidRPr="00E030DF" w:rsidRDefault="000F1A17" w:rsidP="000F1A17">
      <w:pPr>
        <w:shd w:val="clear" w:color="auto" w:fill="FFFFFF"/>
        <w:spacing w:before="100" w:beforeAutospacing="1" w:after="100" w:afterAutospacing="1"/>
        <w:ind w:firstLine="525"/>
        <w:rPr>
          <w:rFonts w:ascii="Times" w:hAnsi="Times"/>
          <w:color w:val="000000"/>
        </w:rPr>
      </w:pPr>
      <w:r w:rsidRPr="00E030DF">
        <w:rPr>
          <w:rFonts w:cs="Arial"/>
          <w:color w:val="000000"/>
        </w:rPr>
        <w:t>II - desde a posse:</w:t>
      </w:r>
    </w:p>
    <w:p w14:paraId="415714DC" w14:textId="77777777" w:rsidR="000F1A17" w:rsidRPr="00E030DF" w:rsidRDefault="000F1A17" w:rsidP="000F1A17">
      <w:pPr>
        <w:shd w:val="clear" w:color="auto" w:fill="FFFFFF"/>
        <w:spacing w:before="100" w:beforeAutospacing="1" w:after="100" w:afterAutospacing="1"/>
        <w:ind w:firstLine="525"/>
        <w:rPr>
          <w:rFonts w:ascii="Times" w:hAnsi="Times"/>
          <w:color w:val="000000"/>
        </w:rPr>
      </w:pPr>
      <w:r w:rsidRPr="00E030DF">
        <w:rPr>
          <w:rFonts w:cs="Arial"/>
          <w:color w:val="000000"/>
        </w:rPr>
        <w:t>a) ser proprietários, controladores ou diretores de empresa que goze de favor decorrente de contrato com pessoa jurídica de direito público, ou nela exercer função remunerada;</w:t>
      </w:r>
    </w:p>
    <w:p w14:paraId="44C80953" w14:textId="77777777" w:rsidR="000F1A17" w:rsidRPr="00E030DF" w:rsidRDefault="000F1A17" w:rsidP="000F1A17">
      <w:pPr>
        <w:shd w:val="clear" w:color="auto" w:fill="FFFFFF"/>
        <w:spacing w:before="100" w:beforeAutospacing="1" w:after="100" w:afterAutospacing="1"/>
        <w:ind w:firstLine="525"/>
        <w:rPr>
          <w:rFonts w:ascii="Times" w:hAnsi="Times"/>
          <w:color w:val="000000"/>
        </w:rPr>
      </w:pPr>
      <w:r w:rsidRPr="00E030DF">
        <w:rPr>
          <w:rFonts w:cs="Arial"/>
          <w:color w:val="000000"/>
        </w:rPr>
        <w:t>b) ocupar cargo ou função de que sejam demissíveis "ad nutum", nas entidades referidas no inciso I, "a";</w:t>
      </w:r>
    </w:p>
    <w:p w14:paraId="491A80FB" w14:textId="77777777" w:rsidR="000F1A17" w:rsidRPr="00E030DF" w:rsidRDefault="000F1A17" w:rsidP="000F1A17">
      <w:pPr>
        <w:shd w:val="clear" w:color="auto" w:fill="FFFFFF"/>
        <w:spacing w:before="100" w:beforeAutospacing="1" w:after="100" w:afterAutospacing="1"/>
        <w:ind w:firstLine="525"/>
        <w:rPr>
          <w:rFonts w:ascii="Times" w:hAnsi="Times"/>
          <w:color w:val="000000"/>
        </w:rPr>
      </w:pPr>
      <w:r w:rsidRPr="00E030DF">
        <w:rPr>
          <w:rFonts w:cs="Arial"/>
          <w:color w:val="000000"/>
        </w:rPr>
        <w:t>c) patrocinar causa em que seja interessada qualquer das entidades a que se refere o inciso I, "a";</w:t>
      </w:r>
    </w:p>
    <w:p w14:paraId="18D2F022" w14:textId="77777777" w:rsidR="000F1A17" w:rsidRPr="00E030DF" w:rsidRDefault="000F1A17" w:rsidP="000F1A17">
      <w:pPr>
        <w:shd w:val="clear" w:color="auto" w:fill="FFFFFF"/>
        <w:spacing w:before="100" w:beforeAutospacing="1" w:after="100" w:afterAutospacing="1"/>
        <w:ind w:firstLine="525"/>
        <w:rPr>
          <w:rFonts w:ascii="Times" w:hAnsi="Times"/>
          <w:color w:val="000000"/>
        </w:rPr>
      </w:pPr>
      <w:r w:rsidRPr="00E030DF">
        <w:rPr>
          <w:rFonts w:cs="Arial"/>
          <w:color w:val="000000"/>
        </w:rPr>
        <w:t>d) ser titulares de mais de um cargo ou mandato público eletivo.</w:t>
      </w:r>
    </w:p>
    <w:p w14:paraId="6F52FEBF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E03E0A4" w14:textId="77777777" w:rsidR="000F1A17" w:rsidRPr="007B7920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B7920">
        <w:rPr>
          <w:rFonts w:ascii="Arial" w:hAnsi="Arial" w:cs="Arial"/>
          <w:b/>
          <w:color w:val="000000"/>
          <w:sz w:val="24"/>
          <w:szCs w:val="24"/>
        </w:rPr>
        <w:t>Outros problemas</w:t>
      </w:r>
    </w:p>
    <w:p w14:paraId="55CDEC23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7E8DE85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Duplicidade de outorgas</w:t>
      </w:r>
    </w:p>
    <w:p w14:paraId="1BAD6C0F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71749D2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Vendas para terceiros</w:t>
      </w:r>
    </w:p>
    <w:p w14:paraId="0377FD58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D3EDCB5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Decreto regulamentador da TV digital – continuidade de espaço dos já concessionários – Decreto 5.820/06 (consignação, ao invés de concessão)</w:t>
      </w:r>
    </w:p>
    <w:p w14:paraId="5FA5C705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5D0FEA7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Adin n. 3.944/07 – proposta pelo PSOL – indeferida pelo STF, após debates de amicus curiae </w:t>
      </w:r>
    </w:p>
    <w:p w14:paraId="6DC645D3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A71A4EA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4D08930" w14:textId="77777777" w:rsidR="000F1A17" w:rsidRPr="00AA51F9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A51F9">
        <w:rPr>
          <w:rFonts w:ascii="Arial" w:hAnsi="Arial" w:cs="Arial"/>
          <w:b/>
          <w:color w:val="000000"/>
          <w:sz w:val="24"/>
          <w:szCs w:val="24"/>
        </w:rPr>
        <w:t>Cap. 5. O princípio da complementaridade</w:t>
      </w:r>
    </w:p>
    <w:p w14:paraId="6F2BCAA8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E0A6F29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Empresas concessionárias não precisariam atender ao interesse público pois estão no regime privado?</w:t>
      </w:r>
    </w:p>
    <w:p w14:paraId="715779E4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3EC25BA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 artigos 223 e 221 não faz distinção entre meios públicos, privados e estatais – todos devem atender ao interesse público.</w:t>
      </w:r>
    </w:p>
    <w:p w14:paraId="55701AD3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8C1EAB7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Princípio derivado da educação e seus sistemas. </w:t>
      </w:r>
    </w:p>
    <w:p w14:paraId="5256550E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509ED79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Há, sim, distinção entre sistemas público e estatal </w:t>
      </w:r>
    </w:p>
    <w:p w14:paraId="78E830AB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E9FF7AB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9ED5C85" w14:textId="77777777" w:rsidR="000F1A17" w:rsidRPr="00AA51F9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A51F9">
        <w:rPr>
          <w:rFonts w:ascii="Arial" w:hAnsi="Arial" w:cs="Arial"/>
          <w:b/>
          <w:color w:val="000000"/>
          <w:sz w:val="24"/>
          <w:szCs w:val="24"/>
        </w:rPr>
        <w:t>Cap. 6. Coronelismo Eletrônico de novo tipo</w:t>
      </w:r>
    </w:p>
    <w:p w14:paraId="02034ED6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3F4062A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Retransmissores de TV e TVs e rádios educativas e comunitárias concedidas a grupos econômicos e políticos - </w:t>
      </w:r>
    </w:p>
    <w:p w14:paraId="539D495C" w14:textId="77777777" w:rsidR="000F1A17" w:rsidRDefault="000F1A17" w:rsidP="000F1A17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4141F91" w14:textId="77777777" w:rsidR="000F1A17" w:rsidRDefault="000F1A17" w:rsidP="000F1A17">
      <w:pPr>
        <w:widowControl w:val="0"/>
        <w:autoSpaceDE w:val="0"/>
        <w:autoSpaceDN w:val="0"/>
        <w:adjustRightInd w:val="0"/>
        <w:spacing w:after="100" w:afterAutospacing="1"/>
        <w:rPr>
          <w:rFonts w:cs="Arial"/>
        </w:rPr>
      </w:pPr>
    </w:p>
    <w:p w14:paraId="2294BB4A" w14:textId="77777777" w:rsidR="001D00EE" w:rsidRPr="001D00EE" w:rsidRDefault="001D00EE">
      <w:pPr>
        <w:rPr>
          <w:b/>
        </w:rPr>
      </w:pPr>
    </w:p>
    <w:p w14:paraId="3EE1C19A" w14:textId="77777777" w:rsidR="001D00EE" w:rsidRPr="001D00EE" w:rsidRDefault="001D00EE">
      <w:pPr>
        <w:rPr>
          <w:b/>
        </w:rPr>
      </w:pPr>
      <w:r w:rsidRPr="001D00EE">
        <w:rPr>
          <w:b/>
        </w:rPr>
        <w:t>Parte III – Estudo Unesco</w:t>
      </w:r>
    </w:p>
    <w:p w14:paraId="75CD01DD" w14:textId="77777777" w:rsidR="001D00EE" w:rsidRDefault="001D00EE">
      <w:pPr>
        <w:rPr>
          <w:b/>
        </w:rPr>
      </w:pPr>
    </w:p>
    <w:p w14:paraId="5CCAFD98" w14:textId="726F88DB" w:rsidR="000F1A17" w:rsidRPr="000F1A17" w:rsidRDefault="000F1A17" w:rsidP="000F1A17">
      <w:pPr>
        <w:widowControl w:val="0"/>
        <w:autoSpaceDE w:val="0"/>
        <w:autoSpaceDN w:val="0"/>
        <w:adjustRightInd w:val="0"/>
        <w:spacing w:after="100" w:afterAutospacing="1"/>
        <w:rPr>
          <w:rFonts w:cs="Arial"/>
          <w:b/>
        </w:rPr>
      </w:pPr>
      <w:r w:rsidRPr="000F1A17">
        <w:rPr>
          <w:rFonts w:cs="Arial"/>
          <w:b/>
        </w:rPr>
        <w:t>Texto Mendel e Salomon</w:t>
      </w:r>
    </w:p>
    <w:p w14:paraId="7DC4B7C7" w14:textId="55B35B86" w:rsidR="000F1A17" w:rsidRDefault="000F1A17" w:rsidP="000F1A17">
      <w:pPr>
        <w:widowControl w:val="0"/>
        <w:autoSpaceDE w:val="0"/>
        <w:autoSpaceDN w:val="0"/>
        <w:adjustRightInd w:val="0"/>
        <w:spacing w:after="100" w:afterAutospacing="1"/>
        <w:rPr>
          <w:rFonts w:cs="Arial"/>
        </w:rPr>
      </w:pPr>
      <w:r>
        <w:rPr>
          <w:rFonts w:cs="Arial"/>
        </w:rPr>
        <w:t>Justificativa da regulação da radiodifusão</w:t>
      </w:r>
    </w:p>
    <w:p w14:paraId="7ECB4733" w14:textId="77777777" w:rsidR="000F1A17" w:rsidRDefault="000F1A17" w:rsidP="000F1A17">
      <w:pPr>
        <w:widowControl w:val="0"/>
        <w:autoSpaceDE w:val="0"/>
        <w:autoSpaceDN w:val="0"/>
        <w:adjustRightInd w:val="0"/>
        <w:spacing w:after="100" w:afterAutospacing="1"/>
        <w:rPr>
          <w:rFonts w:cs="Arial"/>
        </w:rPr>
      </w:pPr>
      <w:r>
        <w:rPr>
          <w:rFonts w:cs="Arial"/>
        </w:rPr>
        <w:t>(diversidade e justificação)</w:t>
      </w:r>
    </w:p>
    <w:p w14:paraId="57775DBF" w14:textId="77777777" w:rsidR="000F1A17" w:rsidRDefault="000F1A17" w:rsidP="000F1A17">
      <w:pPr>
        <w:widowControl w:val="0"/>
        <w:autoSpaceDE w:val="0"/>
        <w:autoSpaceDN w:val="0"/>
        <w:adjustRightInd w:val="0"/>
        <w:spacing w:after="100" w:afterAutospacing="1"/>
        <w:rPr>
          <w:rFonts w:cs="Arial"/>
        </w:rPr>
      </w:pPr>
    </w:p>
    <w:p w14:paraId="195449B9" w14:textId="77777777" w:rsidR="000F1A17" w:rsidRDefault="000F1A17" w:rsidP="000F1A17">
      <w:pPr>
        <w:widowControl w:val="0"/>
        <w:autoSpaceDE w:val="0"/>
        <w:autoSpaceDN w:val="0"/>
        <w:adjustRightInd w:val="0"/>
        <w:spacing w:after="100" w:afterAutospacing="1"/>
        <w:rPr>
          <w:rFonts w:cs="Arial"/>
        </w:rPr>
      </w:pPr>
      <w:r>
        <w:rPr>
          <w:rFonts w:cs="Arial"/>
        </w:rPr>
        <w:t xml:space="preserve">Princípios da liberdade de expressão e diversidade de mídia </w:t>
      </w:r>
    </w:p>
    <w:p w14:paraId="519CEFCF" w14:textId="77777777" w:rsidR="000F1A17" w:rsidRDefault="000F1A17" w:rsidP="000F1A17">
      <w:pPr>
        <w:widowControl w:val="0"/>
        <w:autoSpaceDE w:val="0"/>
        <w:autoSpaceDN w:val="0"/>
        <w:adjustRightInd w:val="0"/>
        <w:spacing w:after="100" w:afterAutospacing="1"/>
        <w:rPr>
          <w:rFonts w:cs="Arial"/>
        </w:rPr>
      </w:pPr>
    </w:p>
    <w:p w14:paraId="0CA8BB7C" w14:textId="77777777" w:rsidR="000F1A17" w:rsidRDefault="000F1A17" w:rsidP="000F1A17">
      <w:pPr>
        <w:widowControl w:val="0"/>
        <w:autoSpaceDE w:val="0"/>
        <w:autoSpaceDN w:val="0"/>
        <w:adjustRightInd w:val="0"/>
        <w:spacing w:after="100" w:afterAutospacing="1"/>
        <w:rPr>
          <w:rFonts w:cs="Arial"/>
        </w:rPr>
      </w:pPr>
      <w:r>
        <w:rPr>
          <w:rFonts w:cs="Arial"/>
        </w:rPr>
        <w:t>Regulação mais forte da comunicação comercial</w:t>
      </w:r>
    </w:p>
    <w:p w14:paraId="402D2B03" w14:textId="77777777" w:rsidR="000F1A17" w:rsidRDefault="000F1A17" w:rsidP="000F1A17">
      <w:pPr>
        <w:widowControl w:val="0"/>
        <w:autoSpaceDE w:val="0"/>
        <w:autoSpaceDN w:val="0"/>
        <w:adjustRightInd w:val="0"/>
        <w:spacing w:after="100" w:afterAutospacing="1"/>
        <w:rPr>
          <w:rFonts w:cs="Arial"/>
        </w:rPr>
      </w:pPr>
    </w:p>
    <w:p w14:paraId="1FD7D6F4" w14:textId="77777777" w:rsidR="000F1A17" w:rsidRDefault="000F1A17" w:rsidP="000F1A17">
      <w:pPr>
        <w:widowControl w:val="0"/>
        <w:autoSpaceDE w:val="0"/>
        <w:autoSpaceDN w:val="0"/>
        <w:adjustRightInd w:val="0"/>
        <w:spacing w:after="100" w:afterAutospacing="1"/>
        <w:rPr>
          <w:rFonts w:cs="Arial"/>
        </w:rPr>
      </w:pPr>
      <w:r>
        <w:rPr>
          <w:rFonts w:cs="Arial"/>
        </w:rPr>
        <w:t xml:space="preserve">Democratizar o espectro é fundamental para um sistema democrático </w:t>
      </w:r>
    </w:p>
    <w:p w14:paraId="365DFF58" w14:textId="77777777" w:rsidR="000F1A17" w:rsidRDefault="000F1A17" w:rsidP="000F1A17">
      <w:pPr>
        <w:widowControl w:val="0"/>
        <w:autoSpaceDE w:val="0"/>
        <w:autoSpaceDN w:val="0"/>
        <w:adjustRightInd w:val="0"/>
        <w:spacing w:after="100" w:afterAutospacing="1"/>
        <w:rPr>
          <w:rFonts w:cs="Arial"/>
        </w:rPr>
      </w:pPr>
    </w:p>
    <w:p w14:paraId="4F19AF5B" w14:textId="77777777" w:rsidR="000F1A17" w:rsidRDefault="000F1A17" w:rsidP="000F1A17">
      <w:pPr>
        <w:widowControl w:val="0"/>
        <w:autoSpaceDE w:val="0"/>
        <w:autoSpaceDN w:val="0"/>
        <w:adjustRightInd w:val="0"/>
        <w:spacing w:after="100" w:afterAutospacing="1"/>
        <w:rPr>
          <w:rFonts w:cs="Arial"/>
        </w:rPr>
      </w:pPr>
      <w:r>
        <w:rPr>
          <w:rFonts w:cs="Arial"/>
        </w:rPr>
        <w:t>Restrição da liberdade de expressão pelos Estados devem atender aos critérios de previsão legal específica, devem atender a todos os princípios previstos na relativização da liberdade de expressão (dignidade humana, saúde pública, moral pública, segurança e democracia), e restrição deve atender especificamente a meta necessária, e não mais que isso (menos limitação necessária para o direito)</w:t>
      </w:r>
    </w:p>
    <w:p w14:paraId="27690E7A" w14:textId="77777777" w:rsidR="000F1A17" w:rsidRDefault="000F1A17" w:rsidP="000F1A17">
      <w:pPr>
        <w:widowControl w:val="0"/>
        <w:autoSpaceDE w:val="0"/>
        <w:autoSpaceDN w:val="0"/>
        <w:adjustRightInd w:val="0"/>
        <w:spacing w:after="100" w:afterAutospacing="1"/>
        <w:rPr>
          <w:rFonts w:cs="Arial"/>
        </w:rPr>
      </w:pPr>
    </w:p>
    <w:p w14:paraId="045D1EB0" w14:textId="77777777" w:rsidR="000F1A17" w:rsidRDefault="000F1A17" w:rsidP="000F1A17">
      <w:pPr>
        <w:widowControl w:val="0"/>
        <w:autoSpaceDE w:val="0"/>
        <w:autoSpaceDN w:val="0"/>
        <w:adjustRightInd w:val="0"/>
        <w:spacing w:after="100" w:afterAutospacing="1"/>
        <w:rPr>
          <w:rFonts w:cs="Arial"/>
        </w:rPr>
      </w:pPr>
      <w:r>
        <w:rPr>
          <w:rFonts w:cs="Arial"/>
        </w:rPr>
        <w:t>Pluralidade e diversidade</w:t>
      </w:r>
    </w:p>
    <w:p w14:paraId="036EFA8B" w14:textId="77777777" w:rsidR="000F1A17" w:rsidRDefault="000F1A17" w:rsidP="000F1A17">
      <w:pPr>
        <w:widowControl w:val="0"/>
        <w:autoSpaceDE w:val="0"/>
        <w:autoSpaceDN w:val="0"/>
        <w:adjustRightInd w:val="0"/>
        <w:rPr>
          <w:rFonts w:ascii="Times New Roman" w:hAnsi="Times New Roman"/>
          <w:color w:val="272627"/>
          <w:sz w:val="20"/>
          <w:lang w:val="en-US"/>
        </w:rPr>
      </w:pPr>
      <w:r>
        <w:rPr>
          <w:rFonts w:ascii="Times New Roman" w:hAnsi="Times New Roman"/>
          <w:color w:val="272627"/>
          <w:sz w:val="20"/>
          <w:lang w:val="en-US"/>
        </w:rPr>
        <w:t>“A Recomendação 2007(2) do Conselho da Europa sobre o Pluralismo e Diversidade do Conteúdo da</w:t>
      </w:r>
    </w:p>
    <w:p w14:paraId="538E473D" w14:textId="77777777" w:rsidR="000F1A17" w:rsidRDefault="000F1A17" w:rsidP="000F1A17">
      <w:pPr>
        <w:widowControl w:val="0"/>
        <w:autoSpaceDE w:val="0"/>
        <w:autoSpaceDN w:val="0"/>
        <w:adjustRightInd w:val="0"/>
        <w:rPr>
          <w:rFonts w:ascii="Times New Roman" w:hAnsi="Times New Roman"/>
          <w:color w:val="272627"/>
          <w:sz w:val="20"/>
          <w:lang w:val="en-US"/>
        </w:rPr>
      </w:pPr>
      <w:r>
        <w:rPr>
          <w:rFonts w:ascii="Times New Roman" w:hAnsi="Times New Roman"/>
          <w:color w:val="272627"/>
          <w:sz w:val="20"/>
          <w:lang w:val="en-US"/>
        </w:rPr>
        <w:t>Mídia ressalta a importância do estímulo à criação de meios alternativos:</w:t>
      </w:r>
    </w:p>
    <w:p w14:paraId="144FD777" w14:textId="77777777" w:rsidR="000F1A17" w:rsidRDefault="000F1A17" w:rsidP="000F1A17">
      <w:pPr>
        <w:widowControl w:val="0"/>
        <w:autoSpaceDE w:val="0"/>
        <w:autoSpaceDN w:val="0"/>
        <w:adjustRightInd w:val="0"/>
        <w:rPr>
          <w:rFonts w:ascii="Times New Roman" w:hAnsi="Times New Roman"/>
          <w:color w:val="272627"/>
          <w:sz w:val="20"/>
          <w:lang w:val="en-US"/>
        </w:rPr>
      </w:pPr>
    </w:p>
    <w:p w14:paraId="56099DB6" w14:textId="77777777" w:rsidR="000F1A17" w:rsidRDefault="000F1A17" w:rsidP="000F1A17">
      <w:pPr>
        <w:widowControl w:val="0"/>
        <w:autoSpaceDE w:val="0"/>
        <w:autoSpaceDN w:val="0"/>
        <w:adjustRightInd w:val="0"/>
        <w:rPr>
          <w:rFonts w:ascii="Times New Roman" w:hAnsi="Times New Roman"/>
          <w:color w:val="272627"/>
          <w:sz w:val="18"/>
          <w:szCs w:val="18"/>
          <w:lang w:val="en-US"/>
        </w:rPr>
      </w:pPr>
      <w:r>
        <w:rPr>
          <w:rFonts w:ascii="Times New Roman" w:hAnsi="Times New Roman"/>
          <w:color w:val="272627"/>
          <w:sz w:val="18"/>
          <w:szCs w:val="18"/>
          <w:lang w:val="en-US"/>
        </w:rPr>
        <w:t>Os Estados-membros devem encorajar o desenvolvimento de outros meios de comunicação capazes</w:t>
      </w:r>
    </w:p>
    <w:p w14:paraId="49F432C6" w14:textId="77777777" w:rsidR="000F1A17" w:rsidRDefault="000F1A17" w:rsidP="000F1A17">
      <w:pPr>
        <w:widowControl w:val="0"/>
        <w:autoSpaceDE w:val="0"/>
        <w:autoSpaceDN w:val="0"/>
        <w:adjustRightInd w:val="0"/>
        <w:rPr>
          <w:rFonts w:ascii="Times New Roman" w:hAnsi="Times New Roman"/>
          <w:color w:val="272627"/>
          <w:sz w:val="18"/>
          <w:szCs w:val="18"/>
          <w:lang w:val="en-US"/>
        </w:rPr>
      </w:pPr>
      <w:r>
        <w:rPr>
          <w:rFonts w:ascii="Times New Roman" w:hAnsi="Times New Roman"/>
          <w:color w:val="272627"/>
          <w:sz w:val="18"/>
          <w:szCs w:val="18"/>
          <w:lang w:val="en-US"/>
        </w:rPr>
        <w:t>de contribuir com o pluralismo e a diversidade, bem como propiciar um espaço para o diálogo.</w:t>
      </w:r>
    </w:p>
    <w:p w14:paraId="384C9FBC" w14:textId="77777777" w:rsidR="000F1A17" w:rsidRDefault="000F1A17" w:rsidP="000F1A17">
      <w:pPr>
        <w:widowControl w:val="0"/>
        <w:autoSpaceDE w:val="0"/>
        <w:autoSpaceDN w:val="0"/>
        <w:adjustRightInd w:val="0"/>
        <w:rPr>
          <w:rFonts w:ascii="Times New Roman" w:hAnsi="Times New Roman"/>
          <w:color w:val="272627"/>
          <w:sz w:val="18"/>
          <w:szCs w:val="18"/>
          <w:lang w:val="en-US"/>
        </w:rPr>
      </w:pPr>
      <w:r>
        <w:rPr>
          <w:rFonts w:ascii="Times New Roman" w:hAnsi="Times New Roman"/>
          <w:color w:val="272627"/>
          <w:sz w:val="18"/>
          <w:szCs w:val="18"/>
          <w:lang w:val="en-US"/>
        </w:rPr>
        <w:t>Esses meios poderiam, por exemplo, estar voltados para as comunidades, as minorias, a população</w:t>
      </w:r>
    </w:p>
    <w:p w14:paraId="6E98C5E9" w14:textId="77777777" w:rsidR="000F1A17" w:rsidRDefault="000F1A17" w:rsidP="000F1A17">
      <w:pPr>
        <w:widowControl w:val="0"/>
        <w:autoSpaceDE w:val="0"/>
        <w:autoSpaceDN w:val="0"/>
        <w:adjustRightInd w:val="0"/>
        <w:spacing w:after="100" w:afterAutospacing="1"/>
        <w:rPr>
          <w:rFonts w:cs="Arial"/>
        </w:rPr>
      </w:pPr>
      <w:r>
        <w:rPr>
          <w:rFonts w:ascii="Times New Roman" w:hAnsi="Times New Roman"/>
          <w:color w:val="272627"/>
          <w:sz w:val="18"/>
          <w:szCs w:val="18"/>
          <w:lang w:val="en-US"/>
        </w:rPr>
        <w:t>local ou questões sociais.” (p. 16).</w:t>
      </w:r>
    </w:p>
    <w:p w14:paraId="5779FBFB" w14:textId="77777777" w:rsidR="000F1A17" w:rsidRPr="001D00EE" w:rsidRDefault="000F1A17">
      <w:pPr>
        <w:rPr>
          <w:b/>
        </w:rPr>
      </w:pPr>
    </w:p>
    <w:p w14:paraId="54CD8215" w14:textId="77777777" w:rsidR="001D00EE" w:rsidRPr="001D00EE" w:rsidRDefault="001D00EE">
      <w:pPr>
        <w:rPr>
          <w:b/>
        </w:rPr>
      </w:pPr>
    </w:p>
    <w:p w14:paraId="6B0430C6" w14:textId="710B00F2" w:rsidR="001D00EE" w:rsidRDefault="001D00EE">
      <w:pPr>
        <w:rPr>
          <w:b/>
        </w:rPr>
      </w:pPr>
      <w:r w:rsidRPr="001D00EE">
        <w:rPr>
          <w:b/>
        </w:rPr>
        <w:t>Parte IV – Discurso dos jornais sobre regulação da radiodifusão</w:t>
      </w:r>
      <w:r w:rsidR="00FC18A3">
        <w:rPr>
          <w:b/>
        </w:rPr>
        <w:t xml:space="preserve"> – texto Vannuchi</w:t>
      </w:r>
    </w:p>
    <w:p w14:paraId="4F027C37" w14:textId="77777777" w:rsidR="00D33FCC" w:rsidRDefault="00D33FCC">
      <w:pPr>
        <w:rPr>
          <w:b/>
        </w:rPr>
      </w:pPr>
    </w:p>
    <w:p w14:paraId="2D6416C9" w14:textId="658B7942" w:rsidR="00D33FCC" w:rsidRDefault="00D33FCC">
      <w:r>
        <w:t>Repúdio dos jornais em relação à regulação da radiodifusão</w:t>
      </w:r>
      <w:r w:rsidR="00900D03">
        <w:t xml:space="preserve"> – censura, controle de conteúdo, acusações de interesses político-ideológicos de cunho esquerdista</w:t>
      </w:r>
    </w:p>
    <w:p w14:paraId="42F38EE7" w14:textId="77777777" w:rsidR="00D33FCC" w:rsidRDefault="00D33FCC"/>
    <w:p w14:paraId="14BDFD0D" w14:textId="18ECF447" w:rsidR="00D33FCC" w:rsidRDefault="00D33FCC">
      <w:r>
        <w:t xml:space="preserve">Coberturas impactam a legitimidade da discussão e das propostas de regulação </w:t>
      </w:r>
    </w:p>
    <w:p w14:paraId="55640F20" w14:textId="77777777" w:rsidR="00D33FCC" w:rsidRDefault="00D33FCC"/>
    <w:p w14:paraId="04F00386" w14:textId="757663AF" w:rsidR="00D33FCC" w:rsidRDefault="00D33FCC" w:rsidP="00D33FCC">
      <w:pPr>
        <w:rPr>
          <w:rFonts w:eastAsia="Times New Roman" w:cs="Times New Roman"/>
        </w:rPr>
      </w:pPr>
      <w:r>
        <w:t xml:space="preserve">Projeto de Lei da Mídia Democrática – explicação  </w:t>
      </w:r>
      <w:hyperlink r:id="rId16" w:history="1">
        <w:r>
          <w:rPr>
            <w:rStyle w:val="Hyperlink"/>
            <w:rFonts w:eastAsia="Times New Roman" w:cs="Times New Roman"/>
          </w:rPr>
          <w:t>http://www.intervozes.org.br/direitoacomunicacao/?p=27439</w:t>
        </w:r>
      </w:hyperlink>
    </w:p>
    <w:p w14:paraId="7AA51577" w14:textId="0C3912C4" w:rsidR="00D33FCC" w:rsidRDefault="00D33FCC"/>
    <w:p w14:paraId="59DB3353" w14:textId="6A205A16" w:rsidR="00D33FCC" w:rsidRDefault="00D33FCC">
      <w:r>
        <w:t xml:space="preserve">Texto completo - </w:t>
      </w:r>
      <w:hyperlink r:id="rId17" w:history="1">
        <w:r w:rsidRPr="00DE7274">
          <w:rPr>
            <w:rStyle w:val="Hyperlink"/>
          </w:rPr>
          <w:t>http://www.paraexpressaraliberdade.org.br/projeto-de-lei/#</w:t>
        </w:r>
      </w:hyperlink>
      <w:r>
        <w:t xml:space="preserve"> </w:t>
      </w:r>
    </w:p>
    <w:p w14:paraId="762CDE6C" w14:textId="77777777" w:rsidR="00D33FCC" w:rsidRDefault="00D33FCC"/>
    <w:p w14:paraId="325DCCAC" w14:textId="77777777" w:rsidR="00D33FCC" w:rsidRDefault="00D33FCC"/>
    <w:p w14:paraId="3E791115" w14:textId="761C7017" w:rsidR="00D33FCC" w:rsidRDefault="00D33FCC">
      <w:r>
        <w:t>Interesses de poder atravessam o jornalismo – elites empresariais, governos etc. anunciantes e públicos</w:t>
      </w:r>
    </w:p>
    <w:p w14:paraId="13E5E8B0" w14:textId="77777777" w:rsidR="00D33FCC" w:rsidRDefault="00D33FCC"/>
    <w:p w14:paraId="169FDC55" w14:textId="4260A463" w:rsidR="00D33FCC" w:rsidRPr="00D33FCC" w:rsidRDefault="00D33FCC">
      <w:r>
        <w:t xml:space="preserve">Importância de regulamentação de princípios constitucionais – citação de Bucci em </w:t>
      </w:r>
      <w:r>
        <w:rPr>
          <w:i/>
        </w:rPr>
        <w:t>O Estado de Narciso</w:t>
      </w:r>
      <w:r>
        <w:t xml:space="preserve"> (2015)</w:t>
      </w:r>
    </w:p>
    <w:p w14:paraId="0742DAB2" w14:textId="77777777" w:rsidR="00D33FCC" w:rsidRDefault="00D33FCC"/>
    <w:p w14:paraId="3C051F7C" w14:textId="2DEB643A" w:rsidR="00D33FCC" w:rsidRDefault="00D33FCC">
      <w:r>
        <w:t xml:space="preserve">Análise de discurso com </w:t>
      </w:r>
      <w:r w:rsidR="00900D03">
        <w:t>base em Foucault, Bardin e Charaudeau</w:t>
      </w:r>
    </w:p>
    <w:p w14:paraId="3A70C1B0" w14:textId="77777777" w:rsidR="00900D03" w:rsidRDefault="00900D03"/>
    <w:p w14:paraId="5499F2CC" w14:textId="4D561CA0" w:rsidR="00900D03" w:rsidRDefault="00900D03">
      <w:r>
        <w:t>Análise de conteúdo das matérias da Folha – 2007 - 2017</w:t>
      </w:r>
    </w:p>
    <w:p w14:paraId="077E3E1D" w14:textId="77777777" w:rsidR="00900D03" w:rsidRDefault="00900D03"/>
    <w:p w14:paraId="12C354C2" w14:textId="4EF46F56" w:rsidR="00900D03" w:rsidRDefault="00900D03">
      <w:r>
        <w:rPr>
          <w:noProof/>
          <w:lang w:val="en-US"/>
        </w:rPr>
        <w:drawing>
          <wp:inline distT="0" distB="0" distL="0" distR="0" wp14:anchorId="12600A64" wp14:editId="0145249B">
            <wp:extent cx="5270500" cy="219583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20-04-15 às 23.37.1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801D5" w14:textId="77777777" w:rsidR="00900D03" w:rsidRDefault="00900D03"/>
    <w:p w14:paraId="2313E601" w14:textId="77777777" w:rsidR="00900D03" w:rsidRPr="00D33FCC" w:rsidRDefault="00900D03"/>
    <w:sectPr w:rsidR="00900D03" w:rsidRPr="00D33FCC" w:rsidSect="00E55B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4A866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A15313"/>
    <w:multiLevelType w:val="multilevel"/>
    <w:tmpl w:val="8B6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EE"/>
    <w:rsid w:val="000F1A17"/>
    <w:rsid w:val="001D00EE"/>
    <w:rsid w:val="0024016A"/>
    <w:rsid w:val="00283D15"/>
    <w:rsid w:val="003F39A0"/>
    <w:rsid w:val="00400996"/>
    <w:rsid w:val="004B5120"/>
    <w:rsid w:val="005641CA"/>
    <w:rsid w:val="00690EEF"/>
    <w:rsid w:val="006962E2"/>
    <w:rsid w:val="007B7920"/>
    <w:rsid w:val="008A39CD"/>
    <w:rsid w:val="008C7CDE"/>
    <w:rsid w:val="00900D03"/>
    <w:rsid w:val="00963932"/>
    <w:rsid w:val="00AA51F9"/>
    <w:rsid w:val="00BD39F2"/>
    <w:rsid w:val="00BE5E14"/>
    <w:rsid w:val="00D33FCC"/>
    <w:rsid w:val="00E55BB7"/>
    <w:rsid w:val="00FC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334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0EE"/>
    <w:rPr>
      <w:color w:val="0000FF" w:themeColor="hyperlink"/>
      <w:u w:val="single"/>
    </w:rPr>
  </w:style>
  <w:style w:type="paragraph" w:styleId="NoteLevel1">
    <w:name w:val="Note Level 1"/>
    <w:basedOn w:val="Normal"/>
    <w:uiPriority w:val="99"/>
    <w:unhideWhenUsed/>
    <w:rsid w:val="001D00EE"/>
    <w:pPr>
      <w:keepNext/>
      <w:numPr>
        <w:numId w:val="1"/>
      </w:numPr>
      <w:spacing w:line="259" w:lineRule="auto"/>
      <w:contextualSpacing/>
      <w:outlineLvl w:val="0"/>
    </w:pPr>
    <w:rPr>
      <w:rFonts w:ascii="Verdana" w:eastAsiaTheme="minorHAnsi" w:hAnsi="Verdana"/>
      <w:sz w:val="22"/>
      <w:szCs w:val="22"/>
    </w:rPr>
  </w:style>
  <w:style w:type="paragraph" w:styleId="NoteLevel2">
    <w:name w:val="Note Level 2"/>
    <w:basedOn w:val="Normal"/>
    <w:uiPriority w:val="99"/>
    <w:unhideWhenUsed/>
    <w:rsid w:val="001D00EE"/>
    <w:pPr>
      <w:keepNext/>
      <w:numPr>
        <w:ilvl w:val="1"/>
        <w:numId w:val="1"/>
      </w:numPr>
      <w:spacing w:line="259" w:lineRule="auto"/>
      <w:contextualSpacing/>
      <w:outlineLvl w:val="1"/>
    </w:pPr>
    <w:rPr>
      <w:rFonts w:ascii="Verdana" w:eastAsiaTheme="minorHAnsi" w:hAnsi="Verdana"/>
      <w:sz w:val="22"/>
      <w:szCs w:val="22"/>
    </w:rPr>
  </w:style>
  <w:style w:type="paragraph" w:styleId="NoteLevel3">
    <w:name w:val="Note Level 3"/>
    <w:basedOn w:val="Normal"/>
    <w:uiPriority w:val="99"/>
    <w:semiHidden/>
    <w:unhideWhenUsed/>
    <w:rsid w:val="001D00EE"/>
    <w:pPr>
      <w:keepNext/>
      <w:numPr>
        <w:ilvl w:val="2"/>
        <w:numId w:val="1"/>
      </w:numPr>
      <w:spacing w:line="259" w:lineRule="auto"/>
      <w:contextualSpacing/>
      <w:outlineLvl w:val="2"/>
    </w:pPr>
    <w:rPr>
      <w:rFonts w:ascii="Verdana" w:eastAsiaTheme="minorHAnsi" w:hAnsi="Verdana"/>
      <w:sz w:val="22"/>
      <w:szCs w:val="22"/>
    </w:rPr>
  </w:style>
  <w:style w:type="paragraph" w:styleId="NoteLevel4">
    <w:name w:val="Note Level 4"/>
    <w:basedOn w:val="Normal"/>
    <w:uiPriority w:val="99"/>
    <w:semiHidden/>
    <w:unhideWhenUsed/>
    <w:rsid w:val="001D00EE"/>
    <w:pPr>
      <w:keepNext/>
      <w:numPr>
        <w:ilvl w:val="3"/>
        <w:numId w:val="1"/>
      </w:numPr>
      <w:spacing w:line="259" w:lineRule="auto"/>
      <w:contextualSpacing/>
      <w:outlineLvl w:val="3"/>
    </w:pPr>
    <w:rPr>
      <w:rFonts w:ascii="Verdana" w:eastAsiaTheme="minorHAnsi" w:hAnsi="Verdana"/>
      <w:sz w:val="22"/>
      <w:szCs w:val="22"/>
    </w:rPr>
  </w:style>
  <w:style w:type="paragraph" w:styleId="NoteLevel5">
    <w:name w:val="Note Level 5"/>
    <w:basedOn w:val="Normal"/>
    <w:uiPriority w:val="99"/>
    <w:semiHidden/>
    <w:unhideWhenUsed/>
    <w:rsid w:val="001D00EE"/>
    <w:pPr>
      <w:keepNext/>
      <w:numPr>
        <w:ilvl w:val="4"/>
        <w:numId w:val="1"/>
      </w:numPr>
      <w:spacing w:line="259" w:lineRule="auto"/>
      <w:contextualSpacing/>
      <w:outlineLvl w:val="4"/>
    </w:pPr>
    <w:rPr>
      <w:rFonts w:ascii="Verdana" w:eastAsiaTheme="minorHAnsi" w:hAnsi="Verdana"/>
      <w:sz w:val="22"/>
      <w:szCs w:val="22"/>
    </w:rPr>
  </w:style>
  <w:style w:type="paragraph" w:styleId="NoteLevel6">
    <w:name w:val="Note Level 6"/>
    <w:basedOn w:val="Normal"/>
    <w:uiPriority w:val="99"/>
    <w:semiHidden/>
    <w:unhideWhenUsed/>
    <w:rsid w:val="001D00EE"/>
    <w:pPr>
      <w:keepNext/>
      <w:numPr>
        <w:ilvl w:val="5"/>
        <w:numId w:val="1"/>
      </w:numPr>
      <w:spacing w:line="259" w:lineRule="auto"/>
      <w:contextualSpacing/>
      <w:outlineLvl w:val="5"/>
    </w:pPr>
    <w:rPr>
      <w:rFonts w:ascii="Verdana" w:eastAsiaTheme="minorHAnsi" w:hAnsi="Verdana"/>
      <w:sz w:val="22"/>
      <w:szCs w:val="22"/>
    </w:rPr>
  </w:style>
  <w:style w:type="paragraph" w:styleId="NoteLevel7">
    <w:name w:val="Note Level 7"/>
    <w:basedOn w:val="Normal"/>
    <w:uiPriority w:val="99"/>
    <w:semiHidden/>
    <w:unhideWhenUsed/>
    <w:rsid w:val="001D00EE"/>
    <w:pPr>
      <w:keepNext/>
      <w:numPr>
        <w:ilvl w:val="6"/>
        <w:numId w:val="1"/>
      </w:numPr>
      <w:spacing w:line="259" w:lineRule="auto"/>
      <w:contextualSpacing/>
      <w:outlineLvl w:val="6"/>
    </w:pPr>
    <w:rPr>
      <w:rFonts w:ascii="Verdana" w:eastAsiaTheme="minorHAnsi" w:hAnsi="Verdana"/>
      <w:sz w:val="22"/>
      <w:szCs w:val="22"/>
    </w:rPr>
  </w:style>
  <w:style w:type="paragraph" w:styleId="NoteLevel8">
    <w:name w:val="Note Level 8"/>
    <w:basedOn w:val="Normal"/>
    <w:uiPriority w:val="99"/>
    <w:semiHidden/>
    <w:unhideWhenUsed/>
    <w:rsid w:val="001D00EE"/>
    <w:pPr>
      <w:keepNext/>
      <w:numPr>
        <w:ilvl w:val="7"/>
        <w:numId w:val="1"/>
      </w:numPr>
      <w:spacing w:line="259" w:lineRule="auto"/>
      <w:contextualSpacing/>
      <w:outlineLvl w:val="7"/>
    </w:pPr>
    <w:rPr>
      <w:rFonts w:ascii="Verdana" w:eastAsiaTheme="minorHAnsi" w:hAnsi="Verdana"/>
      <w:sz w:val="22"/>
      <w:szCs w:val="22"/>
    </w:rPr>
  </w:style>
  <w:style w:type="paragraph" w:styleId="NoteLevel9">
    <w:name w:val="Note Level 9"/>
    <w:basedOn w:val="Normal"/>
    <w:uiPriority w:val="99"/>
    <w:semiHidden/>
    <w:unhideWhenUsed/>
    <w:rsid w:val="001D00EE"/>
    <w:pPr>
      <w:keepNext/>
      <w:numPr>
        <w:ilvl w:val="8"/>
        <w:numId w:val="1"/>
      </w:numPr>
      <w:spacing w:line="259" w:lineRule="auto"/>
      <w:contextualSpacing/>
      <w:outlineLvl w:val="8"/>
    </w:pPr>
    <w:rPr>
      <w:rFonts w:ascii="Verdana" w:eastAsiaTheme="minorHAnsi" w:hAnsi="Verdan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E5E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0EE"/>
    <w:rPr>
      <w:color w:val="0000FF" w:themeColor="hyperlink"/>
      <w:u w:val="single"/>
    </w:rPr>
  </w:style>
  <w:style w:type="paragraph" w:styleId="NoteLevel1">
    <w:name w:val="Note Level 1"/>
    <w:basedOn w:val="Normal"/>
    <w:uiPriority w:val="99"/>
    <w:unhideWhenUsed/>
    <w:rsid w:val="001D00EE"/>
    <w:pPr>
      <w:keepNext/>
      <w:numPr>
        <w:numId w:val="1"/>
      </w:numPr>
      <w:spacing w:line="259" w:lineRule="auto"/>
      <w:contextualSpacing/>
      <w:outlineLvl w:val="0"/>
    </w:pPr>
    <w:rPr>
      <w:rFonts w:ascii="Verdana" w:eastAsiaTheme="minorHAnsi" w:hAnsi="Verdana"/>
      <w:sz w:val="22"/>
      <w:szCs w:val="22"/>
    </w:rPr>
  </w:style>
  <w:style w:type="paragraph" w:styleId="NoteLevel2">
    <w:name w:val="Note Level 2"/>
    <w:basedOn w:val="Normal"/>
    <w:uiPriority w:val="99"/>
    <w:unhideWhenUsed/>
    <w:rsid w:val="001D00EE"/>
    <w:pPr>
      <w:keepNext/>
      <w:numPr>
        <w:ilvl w:val="1"/>
        <w:numId w:val="1"/>
      </w:numPr>
      <w:spacing w:line="259" w:lineRule="auto"/>
      <w:contextualSpacing/>
      <w:outlineLvl w:val="1"/>
    </w:pPr>
    <w:rPr>
      <w:rFonts w:ascii="Verdana" w:eastAsiaTheme="minorHAnsi" w:hAnsi="Verdana"/>
      <w:sz w:val="22"/>
      <w:szCs w:val="22"/>
    </w:rPr>
  </w:style>
  <w:style w:type="paragraph" w:styleId="NoteLevel3">
    <w:name w:val="Note Level 3"/>
    <w:basedOn w:val="Normal"/>
    <w:uiPriority w:val="99"/>
    <w:semiHidden/>
    <w:unhideWhenUsed/>
    <w:rsid w:val="001D00EE"/>
    <w:pPr>
      <w:keepNext/>
      <w:numPr>
        <w:ilvl w:val="2"/>
        <w:numId w:val="1"/>
      </w:numPr>
      <w:spacing w:line="259" w:lineRule="auto"/>
      <w:contextualSpacing/>
      <w:outlineLvl w:val="2"/>
    </w:pPr>
    <w:rPr>
      <w:rFonts w:ascii="Verdana" w:eastAsiaTheme="minorHAnsi" w:hAnsi="Verdana"/>
      <w:sz w:val="22"/>
      <w:szCs w:val="22"/>
    </w:rPr>
  </w:style>
  <w:style w:type="paragraph" w:styleId="NoteLevel4">
    <w:name w:val="Note Level 4"/>
    <w:basedOn w:val="Normal"/>
    <w:uiPriority w:val="99"/>
    <w:semiHidden/>
    <w:unhideWhenUsed/>
    <w:rsid w:val="001D00EE"/>
    <w:pPr>
      <w:keepNext/>
      <w:numPr>
        <w:ilvl w:val="3"/>
        <w:numId w:val="1"/>
      </w:numPr>
      <w:spacing w:line="259" w:lineRule="auto"/>
      <w:contextualSpacing/>
      <w:outlineLvl w:val="3"/>
    </w:pPr>
    <w:rPr>
      <w:rFonts w:ascii="Verdana" w:eastAsiaTheme="minorHAnsi" w:hAnsi="Verdana"/>
      <w:sz w:val="22"/>
      <w:szCs w:val="22"/>
    </w:rPr>
  </w:style>
  <w:style w:type="paragraph" w:styleId="NoteLevel5">
    <w:name w:val="Note Level 5"/>
    <w:basedOn w:val="Normal"/>
    <w:uiPriority w:val="99"/>
    <w:semiHidden/>
    <w:unhideWhenUsed/>
    <w:rsid w:val="001D00EE"/>
    <w:pPr>
      <w:keepNext/>
      <w:numPr>
        <w:ilvl w:val="4"/>
        <w:numId w:val="1"/>
      </w:numPr>
      <w:spacing w:line="259" w:lineRule="auto"/>
      <w:contextualSpacing/>
      <w:outlineLvl w:val="4"/>
    </w:pPr>
    <w:rPr>
      <w:rFonts w:ascii="Verdana" w:eastAsiaTheme="minorHAnsi" w:hAnsi="Verdana"/>
      <w:sz w:val="22"/>
      <w:szCs w:val="22"/>
    </w:rPr>
  </w:style>
  <w:style w:type="paragraph" w:styleId="NoteLevel6">
    <w:name w:val="Note Level 6"/>
    <w:basedOn w:val="Normal"/>
    <w:uiPriority w:val="99"/>
    <w:semiHidden/>
    <w:unhideWhenUsed/>
    <w:rsid w:val="001D00EE"/>
    <w:pPr>
      <w:keepNext/>
      <w:numPr>
        <w:ilvl w:val="5"/>
        <w:numId w:val="1"/>
      </w:numPr>
      <w:spacing w:line="259" w:lineRule="auto"/>
      <w:contextualSpacing/>
      <w:outlineLvl w:val="5"/>
    </w:pPr>
    <w:rPr>
      <w:rFonts w:ascii="Verdana" w:eastAsiaTheme="minorHAnsi" w:hAnsi="Verdana"/>
      <w:sz w:val="22"/>
      <w:szCs w:val="22"/>
    </w:rPr>
  </w:style>
  <w:style w:type="paragraph" w:styleId="NoteLevel7">
    <w:name w:val="Note Level 7"/>
    <w:basedOn w:val="Normal"/>
    <w:uiPriority w:val="99"/>
    <w:semiHidden/>
    <w:unhideWhenUsed/>
    <w:rsid w:val="001D00EE"/>
    <w:pPr>
      <w:keepNext/>
      <w:numPr>
        <w:ilvl w:val="6"/>
        <w:numId w:val="1"/>
      </w:numPr>
      <w:spacing w:line="259" w:lineRule="auto"/>
      <w:contextualSpacing/>
      <w:outlineLvl w:val="6"/>
    </w:pPr>
    <w:rPr>
      <w:rFonts w:ascii="Verdana" w:eastAsiaTheme="minorHAnsi" w:hAnsi="Verdana"/>
      <w:sz w:val="22"/>
      <w:szCs w:val="22"/>
    </w:rPr>
  </w:style>
  <w:style w:type="paragraph" w:styleId="NoteLevel8">
    <w:name w:val="Note Level 8"/>
    <w:basedOn w:val="Normal"/>
    <w:uiPriority w:val="99"/>
    <w:semiHidden/>
    <w:unhideWhenUsed/>
    <w:rsid w:val="001D00EE"/>
    <w:pPr>
      <w:keepNext/>
      <w:numPr>
        <w:ilvl w:val="7"/>
        <w:numId w:val="1"/>
      </w:numPr>
      <w:spacing w:line="259" w:lineRule="auto"/>
      <w:contextualSpacing/>
      <w:outlineLvl w:val="7"/>
    </w:pPr>
    <w:rPr>
      <w:rFonts w:ascii="Verdana" w:eastAsiaTheme="minorHAnsi" w:hAnsi="Verdana"/>
      <w:sz w:val="22"/>
      <w:szCs w:val="22"/>
    </w:rPr>
  </w:style>
  <w:style w:type="paragraph" w:styleId="NoteLevel9">
    <w:name w:val="Note Level 9"/>
    <w:basedOn w:val="Normal"/>
    <w:uiPriority w:val="99"/>
    <w:semiHidden/>
    <w:unhideWhenUsed/>
    <w:rsid w:val="001D00EE"/>
    <w:pPr>
      <w:keepNext/>
      <w:numPr>
        <w:ilvl w:val="8"/>
        <w:numId w:val="1"/>
      </w:numPr>
      <w:spacing w:line="259" w:lineRule="auto"/>
      <w:contextualSpacing/>
      <w:outlineLvl w:val="8"/>
    </w:pPr>
    <w:rPr>
      <w:rFonts w:ascii="Verdana" w:eastAsiaTheme="minorHAnsi" w:hAnsi="Verdan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E5E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lanalto.gov.br/ccivil_03/constituicao/Emendas/Emc/emc36.ht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planalto.gov.br/ccivil_03/constituicao/Emendas/Emc/emc36.htm" TargetMode="External"/><Relationship Id="rId11" Type="http://schemas.openxmlformats.org/officeDocument/2006/relationships/hyperlink" Target="http://www.planalto.gov.br/ccivil_03/constituicao/Emendas/Emc/emc36.htm" TargetMode="External"/><Relationship Id="rId12" Type="http://schemas.openxmlformats.org/officeDocument/2006/relationships/hyperlink" Target="http://www.planalto.gov.br/ccivil_03/constituicao/Emendas/Emc/emc36.htm" TargetMode="External"/><Relationship Id="rId13" Type="http://schemas.openxmlformats.org/officeDocument/2006/relationships/hyperlink" Target="http://www.planalto.gov.br/ccivil_03/constituicao/Emendas/Emc/emc36.htm" TargetMode="External"/><Relationship Id="rId14" Type="http://schemas.openxmlformats.org/officeDocument/2006/relationships/hyperlink" Target="http://www.planalto.gov.br/ccivil_03/constituicao/Emendas/Emc/emc36.htm" TargetMode="External"/><Relationship Id="rId15" Type="http://schemas.openxmlformats.org/officeDocument/2006/relationships/hyperlink" Target="http://www.planalto.gov.br/ccivil_03/_ato2011-2014/2011/lei/l12527.htm" TargetMode="External"/><Relationship Id="rId16" Type="http://schemas.openxmlformats.org/officeDocument/2006/relationships/hyperlink" Target="http://www.intervozes.org.br/direitoacomunicacao/?p=27439" TargetMode="External"/><Relationship Id="rId17" Type="http://schemas.openxmlformats.org/officeDocument/2006/relationships/hyperlink" Target="http://www.paraexpressaraliberdade.org.br/projeto-de-lei/" TargetMode="External"/><Relationship Id="rId18" Type="http://schemas.openxmlformats.org/officeDocument/2006/relationships/image" Target="media/image1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lanalto.gov.br/ccivil_03/_Ato2015-2018/2015/Lei/L13188.htm" TargetMode="External"/><Relationship Id="rId7" Type="http://schemas.openxmlformats.org/officeDocument/2006/relationships/hyperlink" Target="http://unesdoc.unesco.org/images/0019/001916/191623por.pdf" TargetMode="External"/><Relationship Id="rId8" Type="http://schemas.openxmlformats.org/officeDocument/2006/relationships/hyperlink" Target="https://www.revistas.usp.br/alterjor/article/view/137227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2205</Words>
  <Characters>12572</Characters>
  <Application>Microsoft Macintosh Word</Application>
  <DocSecurity>0</DocSecurity>
  <Lines>104</Lines>
  <Paragraphs>29</Paragraphs>
  <ScaleCrop>false</ScaleCrop>
  <Company>University of Sao Paulo</Company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BLOTTA</dc:creator>
  <cp:keywords/>
  <dc:description/>
  <cp:lastModifiedBy>VITOR BLOTTA</cp:lastModifiedBy>
  <cp:revision>3</cp:revision>
  <dcterms:created xsi:type="dcterms:W3CDTF">2020-04-16T10:57:00Z</dcterms:created>
  <dcterms:modified xsi:type="dcterms:W3CDTF">2020-04-16T10:58:00Z</dcterms:modified>
</cp:coreProperties>
</file>