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298D" w14:textId="6C8E95BA" w:rsidR="00D15593" w:rsidRPr="009E04F5" w:rsidRDefault="00D15593" w:rsidP="00F60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QUESTÃO </w:t>
      </w:r>
      <w:r w:rsidR="009E04F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I:</w:t>
      </w:r>
    </w:p>
    <w:p w14:paraId="0F76FF2D" w14:textId="77777777" w:rsidR="00D15593" w:rsidRPr="009E04F5" w:rsidRDefault="00D15593" w:rsidP="00F60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9A5A2F" w14:textId="05ED0266" w:rsidR="00F60953" w:rsidRPr="009E04F5" w:rsidRDefault="00F60953" w:rsidP="00F60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 xml:space="preserve">Em virtude do falecimento de filho que contava 12 anos de idade, sua mãe AURÉLIA promoveu ação de indenização em desfavor da empresa de ônibus VIAÇÃO PORTO, em cujo veículo a vítima era conduzida; de TITO, respectivo condutor, preposto da empresa; e do Município de ARESTAS, como concedente do serviço público – todos em situação de litisconsórcio passivo. AURÉLIA pediu a condenação solidária dos réus, com base em responsabilidade objetiva, ao pagamento de quantia correspondente aos gastos com hospital e despesas de funeral; valor único pelos lucros cessantes, abrangentes do período em que o menor permaneceria no lar materno, já que, segundo alegado, o falecido já trabalhava e contribuía para o sustento do lar; e de dano moral, pela perda experimentada. Em defesa, VIAÇÃO alegou que a vítima teria falecido quando já se encontrava fora do veículo, logo após descer, por ter escorregado, caído e batido a cabeça; TITO, além de endossar a defesa de VIAÇÃO (acidente ocorrido fora do veículo), afirmou que não era o responsável pela condução do veículo naquele momento, visto que a direção havia sido entregue a terceira pessoa, que a tanto o obrigara mediante grave ameaça; e </w:t>
      </w:r>
      <w:r w:rsidR="00BD4E96" w:rsidRPr="009E04F5">
        <w:rPr>
          <w:rFonts w:ascii="Calibri" w:eastAsia="Times New Roman" w:hAnsi="Calibri" w:cs="Calibri"/>
          <w:sz w:val="24"/>
          <w:szCs w:val="24"/>
        </w:rPr>
        <w:t xml:space="preserve">o Município de 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ARESTAS negou sua responsabilidade visto que, </w:t>
      </w:r>
      <w:r w:rsidR="00E02814" w:rsidRPr="009E04F5">
        <w:rPr>
          <w:rFonts w:ascii="Calibri" w:eastAsia="Times New Roman" w:hAnsi="Calibri" w:cs="Calibri"/>
          <w:sz w:val="24"/>
          <w:szCs w:val="24"/>
        </w:rPr>
        <w:t>por ocasião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 do acidente, o veículo estava fora da área do município e, portanto, da área de concessão. Todos negaram que o menor já exercesse atividade remunerada. Em seguida, o pai da vítima, CORIOLANO, requereu – e teve admitido – seu ingresso como litisconsorte ativo; o que, contudo, foi objetado por AURÉLIA, sob o argumento de que se encontrava em curso processo para extinção do poder familiar do pai sobre o filho, na medida em que deixara o filho em situação de abandono material – e que, portanto, ele não faria jus que</w:t>
      </w:r>
      <w:r w:rsidR="00E02814" w:rsidRPr="009E04F5">
        <w:rPr>
          <w:rFonts w:ascii="Calibri" w:eastAsia="Times New Roman" w:hAnsi="Calibri" w:cs="Calibri"/>
          <w:sz w:val="24"/>
          <w:szCs w:val="24"/>
        </w:rPr>
        <w:t>r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 à indenização por dano material, quer moral.</w:t>
      </w:r>
    </w:p>
    <w:p w14:paraId="6A827D49" w14:textId="5B35D98E" w:rsidR="00F60953" w:rsidRPr="009E04F5" w:rsidRDefault="00F60953" w:rsidP="00F60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 xml:space="preserve">VIAÇÃO, </w:t>
      </w:r>
      <w:r w:rsidR="0045555D" w:rsidRPr="009E04F5">
        <w:rPr>
          <w:rFonts w:ascii="Calibri" w:eastAsia="Times New Roman" w:hAnsi="Calibri" w:cs="Calibri"/>
          <w:sz w:val="24"/>
          <w:szCs w:val="24"/>
        </w:rPr>
        <w:t xml:space="preserve">o Município de 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ARESTAS e o </w:t>
      </w:r>
      <w:r w:rsidR="00BD4E96" w:rsidRPr="009E04F5">
        <w:rPr>
          <w:rFonts w:ascii="Calibri" w:eastAsia="Times New Roman" w:hAnsi="Calibri" w:cs="Calibri"/>
          <w:sz w:val="24"/>
          <w:szCs w:val="24"/>
        </w:rPr>
        <w:t>M</w:t>
      </w:r>
      <w:r w:rsidRPr="009E04F5">
        <w:rPr>
          <w:rFonts w:ascii="Calibri" w:eastAsia="Times New Roman" w:hAnsi="Calibri" w:cs="Calibri"/>
          <w:sz w:val="24"/>
          <w:szCs w:val="24"/>
        </w:rPr>
        <w:t>unicípio de PORTINHOLAS – em cuja base territorial se alegou que o acidente ocorrera – foram instadas pelo juízo a exibir documento consiste</w:t>
      </w:r>
      <w:r w:rsidR="00E02814" w:rsidRPr="009E04F5">
        <w:rPr>
          <w:rFonts w:ascii="Calibri" w:eastAsia="Times New Roman" w:hAnsi="Calibri" w:cs="Calibri"/>
          <w:sz w:val="24"/>
          <w:szCs w:val="24"/>
        </w:rPr>
        <w:t>nte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 nos vídeos disponíveis, por câmeras existentes veículo e/ou na via pública em que ocorrido o evento; nenhum deles deu</w:t>
      </w:r>
      <w:r w:rsidR="0045555D" w:rsidRPr="009E04F5">
        <w:rPr>
          <w:rFonts w:ascii="Calibri" w:eastAsia="Times New Roman" w:hAnsi="Calibri" w:cs="Calibri"/>
          <w:sz w:val="24"/>
          <w:szCs w:val="24"/>
        </w:rPr>
        <w:t xml:space="preserve"> </w:t>
      </w:r>
      <w:r w:rsidRPr="009E04F5">
        <w:rPr>
          <w:rFonts w:ascii="Calibri" w:eastAsia="Times New Roman" w:hAnsi="Calibri" w:cs="Calibri"/>
          <w:sz w:val="24"/>
          <w:szCs w:val="24"/>
        </w:rPr>
        <w:t>atendimento.</w:t>
      </w:r>
    </w:p>
    <w:p w14:paraId="2B0D4CE9" w14:textId="77777777" w:rsidR="00F60953" w:rsidRPr="009E04F5" w:rsidRDefault="00F60953" w:rsidP="00F60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Deferida a produção de prova oral, todos foram intimados a prestar depoimento pessoal, advertidos expressamente da pena de confissão.</w:t>
      </w:r>
    </w:p>
    <w:p w14:paraId="384C55FF" w14:textId="2CCEC5C9" w:rsidR="00F60953" w:rsidRPr="009E04F5" w:rsidRDefault="00F60953" w:rsidP="00F60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AURÉLIA compareceu</w:t>
      </w:r>
      <w:r w:rsidR="00E02814" w:rsidRPr="009E04F5">
        <w:rPr>
          <w:rFonts w:ascii="Calibri" w:eastAsia="Times New Roman" w:hAnsi="Calibri" w:cs="Calibri"/>
          <w:sz w:val="24"/>
          <w:szCs w:val="24"/>
        </w:rPr>
        <w:t>,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 mas, inquirida, alegou que o assunto lhe trazia dolorosas lembranças e que se recusava a falar a respeito, tendo se limitado a reconhecer que o filho trabalhava na venda de doces, de maneira informal. CORIOLANO compareceu, confirmou que a vítima trabalhava, mas reconheceu ter imposto castigos imoderados ao filho. VIAÇÃO não enviou </w:t>
      </w:r>
      <w:r w:rsidR="00E02814" w:rsidRPr="009E04F5">
        <w:rPr>
          <w:rFonts w:ascii="Calibri" w:eastAsia="Times New Roman" w:hAnsi="Calibri" w:cs="Calibri"/>
          <w:sz w:val="24"/>
          <w:szCs w:val="24"/>
        </w:rPr>
        <w:t>nenhum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 dos representantes legais constante</w:t>
      </w:r>
      <w:r w:rsidR="00E02814" w:rsidRPr="009E04F5">
        <w:rPr>
          <w:rFonts w:ascii="Calibri" w:eastAsia="Times New Roman" w:hAnsi="Calibri" w:cs="Calibri"/>
          <w:sz w:val="24"/>
          <w:szCs w:val="24"/>
        </w:rPr>
        <w:t>s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 do contrato social, mas um procurador, com poderes especiais para prestar o depoimento, que confirmou os fatos alegados em defesa; TITO compareceu acabou por reconhecer que o acidente se dera quando a vítima estava com um pé na escada de saída do coletivo. </w:t>
      </w:r>
      <w:r w:rsidR="003F21AA" w:rsidRPr="009E04F5">
        <w:rPr>
          <w:rFonts w:ascii="Calibri" w:eastAsia="Times New Roman" w:hAnsi="Calibri" w:cs="Calibri"/>
          <w:sz w:val="24"/>
          <w:szCs w:val="24"/>
        </w:rPr>
        <w:t>O</w:t>
      </w:r>
      <w:r w:rsidR="00BD4E96" w:rsidRPr="009E04F5">
        <w:rPr>
          <w:rFonts w:ascii="Calibri" w:eastAsia="Times New Roman" w:hAnsi="Calibri" w:cs="Calibri"/>
          <w:sz w:val="24"/>
          <w:szCs w:val="24"/>
        </w:rPr>
        <w:t xml:space="preserve"> Município de </w:t>
      </w:r>
      <w:r w:rsidRPr="009E04F5">
        <w:rPr>
          <w:rFonts w:ascii="Calibri" w:eastAsia="Times New Roman" w:hAnsi="Calibri" w:cs="Calibri"/>
          <w:sz w:val="24"/>
          <w:szCs w:val="24"/>
        </w:rPr>
        <w:t>ARESTAS não enviou representante legal.</w:t>
      </w:r>
    </w:p>
    <w:p w14:paraId="638BD8D3" w14:textId="77777777" w:rsidR="00F60953" w:rsidRPr="009E04F5" w:rsidRDefault="00F60953" w:rsidP="00F60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Nesse contexto, à luz de conceitos pertinentes à disciplina examinada:</w:t>
      </w:r>
    </w:p>
    <w:p w14:paraId="0709F18B" w14:textId="77777777" w:rsidR="00F60953" w:rsidRPr="009E04F5" w:rsidRDefault="00F60953" w:rsidP="00F60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 </w:t>
      </w:r>
    </w:p>
    <w:p w14:paraId="238421A3" w14:textId="3FE60C91" w:rsidR="00F60953" w:rsidRPr="009E04F5" w:rsidRDefault="00F60953" w:rsidP="00F60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As recusas à exibição de documentos, tal como acima mencionadas, pode</w:t>
      </w:r>
      <w:r w:rsidR="005471AD" w:rsidRPr="009E04F5">
        <w:rPr>
          <w:rFonts w:ascii="Calibri" w:eastAsia="Times New Roman" w:hAnsi="Calibri" w:cs="Calibri"/>
          <w:sz w:val="24"/>
          <w:szCs w:val="24"/>
        </w:rPr>
        <w:t>m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 ensejar a presunção de </w:t>
      </w:r>
      <w:r w:rsidR="001713A1" w:rsidRPr="009E04F5">
        <w:rPr>
          <w:rFonts w:ascii="Calibri" w:eastAsia="Times New Roman" w:hAnsi="Calibri" w:cs="Calibri"/>
          <w:sz w:val="24"/>
          <w:szCs w:val="24"/>
        </w:rPr>
        <w:t>veracidade das alegações de fato</w:t>
      </w:r>
      <w:r w:rsidRPr="009E04F5">
        <w:rPr>
          <w:rFonts w:ascii="Calibri" w:eastAsia="Times New Roman" w:hAnsi="Calibri" w:cs="Calibri"/>
          <w:sz w:val="24"/>
          <w:szCs w:val="24"/>
        </w:rPr>
        <w:t>, via confissão ficta?</w:t>
      </w:r>
    </w:p>
    <w:p w14:paraId="1F0B3046" w14:textId="77777777" w:rsidR="00F60953" w:rsidRPr="009E04F5" w:rsidRDefault="00F60953" w:rsidP="00F60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A confissão feita por TITO, com relação à posição da vítima no momento do acidente, pode ser levada em conta na sentença e desfavorecer os demais réus, especialmente a VIAÇÃO?</w:t>
      </w:r>
    </w:p>
    <w:p w14:paraId="0B47C0E7" w14:textId="0CCDE487" w:rsidR="00F60953" w:rsidRPr="009E04F5" w:rsidRDefault="00F60953" w:rsidP="00F60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lastRenderedPageBreak/>
        <w:t>A justificativa da</w:t>
      </w:r>
      <w:r w:rsidR="005471AD" w:rsidRPr="009E04F5">
        <w:rPr>
          <w:rFonts w:ascii="Calibri" w:eastAsia="Times New Roman" w:hAnsi="Calibri" w:cs="Calibri"/>
          <w:sz w:val="24"/>
          <w:szCs w:val="24"/>
        </w:rPr>
        <w:t>da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 por AURÉLIA é apta a descaracterizar o emprego de evasivas e, portanto, a afastar a incidência da confissão ficta?</w:t>
      </w:r>
    </w:p>
    <w:p w14:paraId="5AC01EBB" w14:textId="77777777" w:rsidR="00F60953" w:rsidRPr="009E04F5" w:rsidRDefault="00F60953" w:rsidP="00F60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A convergência das declarações prestadas por AURÉLIA e CORIOLANO permite que o juiz repute provado o fato de a vítima trabalhar?</w:t>
      </w:r>
    </w:p>
    <w:p w14:paraId="1767CA59" w14:textId="77777777" w:rsidR="00F60953" w:rsidRPr="009E04F5" w:rsidRDefault="00F60953" w:rsidP="00F60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A confissão feita por CORIOLANO, relativamente ao relacionamento com o filho, pode ser levada em conta na divergência estabelecida com AURÉLIA.</w:t>
      </w:r>
    </w:p>
    <w:p w14:paraId="03CA66B7" w14:textId="77777777" w:rsidR="00F60953" w:rsidRPr="009E04F5" w:rsidRDefault="00F60953" w:rsidP="00F60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O depoimento prestado por VIAÇÃO ocorreu de forma regular?</w:t>
      </w:r>
    </w:p>
    <w:p w14:paraId="06D33EAB" w14:textId="6DE1D312" w:rsidR="00F60953" w:rsidRPr="009E04F5" w:rsidRDefault="00F60953" w:rsidP="00F60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É possível impor a</w:t>
      </w:r>
      <w:r w:rsidR="005471AD" w:rsidRPr="009E04F5">
        <w:rPr>
          <w:rFonts w:ascii="Calibri" w:eastAsia="Times New Roman" w:hAnsi="Calibri" w:cs="Calibri"/>
          <w:sz w:val="24"/>
          <w:szCs w:val="24"/>
        </w:rPr>
        <w:t>o Município de</w:t>
      </w:r>
      <w:r w:rsidRPr="009E04F5">
        <w:rPr>
          <w:rFonts w:ascii="Calibri" w:eastAsia="Times New Roman" w:hAnsi="Calibri" w:cs="Calibri"/>
          <w:sz w:val="24"/>
          <w:szCs w:val="24"/>
        </w:rPr>
        <w:t xml:space="preserve"> ARESTAS, pessoa jurídica de direito público, a pena de confissão diante da ausência injustificada?</w:t>
      </w:r>
    </w:p>
    <w:p w14:paraId="7117E4D5" w14:textId="432311AC" w:rsidR="00F60953" w:rsidRPr="009E04F5" w:rsidRDefault="00F60953" w:rsidP="00F60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9E04F5">
        <w:rPr>
          <w:rFonts w:ascii="Calibri" w:eastAsia="Times New Roman" w:hAnsi="Calibri" w:cs="Calibri"/>
          <w:sz w:val="24"/>
          <w:szCs w:val="24"/>
        </w:rPr>
        <w:t>A confissão feita por CORIOLANO pode ser levada em conta para afastar o cabimento do dano moral por ele pretendid</w:t>
      </w:r>
      <w:r w:rsidR="005471AD" w:rsidRPr="009E04F5">
        <w:rPr>
          <w:rFonts w:ascii="Calibri" w:eastAsia="Times New Roman" w:hAnsi="Calibri" w:cs="Calibri"/>
          <w:sz w:val="24"/>
          <w:szCs w:val="24"/>
        </w:rPr>
        <w:t>o</w:t>
      </w:r>
      <w:r w:rsidRPr="009E04F5">
        <w:rPr>
          <w:rFonts w:ascii="Calibri" w:eastAsia="Times New Roman" w:hAnsi="Calibri" w:cs="Calibri"/>
          <w:sz w:val="24"/>
          <w:szCs w:val="24"/>
        </w:rPr>
        <w:t>?</w:t>
      </w:r>
    </w:p>
    <w:p w14:paraId="1520C736" w14:textId="006D4079" w:rsid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A4F1AE6" w14:textId="77777777" w:rsidR="009E04F5" w:rsidRDefault="009E04F5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811BB7" w14:textId="33112701" w:rsid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E0239A" w14:textId="6E090EED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QUESTÃO </w:t>
      </w:r>
      <w:r w:rsidR="009E04F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II:</w:t>
      </w:r>
    </w:p>
    <w:p w14:paraId="34121DF1" w14:textId="36137274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25D08EC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Em demanda indenizatória movida pela empresa </w:t>
      </w: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Notade3dólares </w:t>
      </w: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contra sua parceira empresarial </w:t>
      </w: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Paisagem Lunar</w:t>
      </w: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, tendo em vista desentendimento na distribuição de lucros decorrentes da venda de terrenos, designa o juiz audiência instrutória, deferindo a produção de prova testemunhal. A autora arrola três testemunhas, </w:t>
      </w: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A, B e C, </w:t>
      </w: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comprometendo-se a providenciar o comparecimento de </w:t>
      </w: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 </w:t>
      </w: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independentemente de intimação</w:t>
      </w: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 </w:t>
      </w: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Além disso, requer a autora seja permitido o aproveitamento, a título de empréstimo probatório, do depoimento de uma quarta pessoa, </w:t>
      </w: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D, </w:t>
      </w:r>
      <w:r w:rsidRPr="00D15593">
        <w:rPr>
          <w:rFonts w:ascii="Calibri" w:eastAsia="Times New Roman" w:hAnsi="Calibri" w:cs="Calibri"/>
          <w:color w:val="000000"/>
          <w:sz w:val="24"/>
          <w:szCs w:val="24"/>
        </w:rPr>
        <w:t xml:space="preserve">inquirida como testemunha em anterior demanda entre as mesmas </w:t>
      </w:r>
      <w:proofErr w:type="gramStart"/>
      <w:r w:rsidRPr="00D15593">
        <w:rPr>
          <w:rFonts w:ascii="Calibri" w:eastAsia="Times New Roman" w:hAnsi="Calibri" w:cs="Calibri"/>
          <w:color w:val="000000"/>
          <w:sz w:val="24"/>
          <w:szCs w:val="24"/>
        </w:rPr>
        <w:t>partes</w:t>
      </w:r>
      <w:proofErr w:type="gramEnd"/>
      <w:r w:rsidRPr="00D15593">
        <w:rPr>
          <w:rFonts w:ascii="Calibri" w:eastAsia="Times New Roman" w:hAnsi="Calibri" w:cs="Calibri"/>
          <w:color w:val="000000"/>
          <w:sz w:val="24"/>
          <w:szCs w:val="24"/>
        </w:rPr>
        <w:t xml:space="preserve"> mas falecida anteriormente ao início do presente processo.</w:t>
      </w:r>
    </w:p>
    <w:p w14:paraId="362C1A7B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 xml:space="preserve">O juiz indefere desde logo o empréstimo da prova, visto que teria de ser concretizado em termos práticos pela reprodução documental do teor do depoimento antes prestado, sendo </w:t>
      </w:r>
      <w:proofErr w:type="gramStart"/>
      <w:r w:rsidRPr="00D15593">
        <w:rPr>
          <w:rFonts w:ascii="Calibri" w:eastAsia="Times New Roman" w:hAnsi="Calibri" w:cs="Calibri"/>
          <w:color w:val="000000"/>
          <w:sz w:val="24"/>
          <w:szCs w:val="24"/>
        </w:rPr>
        <w:t>certo</w:t>
      </w:r>
      <w:proofErr w:type="gramEnd"/>
      <w:r w:rsidRPr="00D15593">
        <w:rPr>
          <w:rFonts w:ascii="Calibri" w:eastAsia="Times New Roman" w:hAnsi="Calibri" w:cs="Calibri"/>
          <w:color w:val="000000"/>
          <w:sz w:val="24"/>
          <w:szCs w:val="24"/>
        </w:rPr>
        <w:t xml:space="preserve"> entretanto que, como prova documental, teria de ter sido apresentada com a petição inicial.</w:t>
      </w:r>
    </w:p>
    <w:p w14:paraId="5500A4DE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Quanto à testemunha </w:t>
      </w: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</w:t>
      </w: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, deixa de comparecer na data designada para a audiência e, ante a ausência de justificativa por parte da autora, o juiz considera prejudicado o depoimento. No dia seguinte à audiência, contudo, o advogado toma conhecimento de que a testemunha, a caminho do Fórum, sofreu acidente grave.</w:t>
      </w:r>
    </w:p>
    <w:p w14:paraId="14C1BDBB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Relativamente à testemunha </w:t>
      </w: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B, </w:t>
      </w: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na abertura da audiência o advogado da autora requer a substituição de seu depoimento oral pela apresentação, com força de prova documental, de declarações prestadas por essa mesma testemunha acerca dos fatos da causa, em escritura pública, argumentando com a admissibilidade pelo sistema processual civil da produção de provas atípicas. Ouvido a respeito do pedido, o advogado do réu o impugna, sustentando tratar-se de prova obtida por meio ilícito.</w:t>
      </w:r>
    </w:p>
    <w:p w14:paraId="679863AE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Finalmente, quanto à testemunha </w:t>
      </w:r>
      <w:r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C, </w:t>
      </w:r>
      <w:r w:rsidRPr="00D15593">
        <w:rPr>
          <w:rFonts w:ascii="Calibri" w:eastAsia="Times New Roman" w:hAnsi="Calibri" w:cs="Calibri"/>
          <w:color w:val="000000"/>
          <w:sz w:val="24"/>
          <w:szCs w:val="24"/>
        </w:rPr>
        <w:t xml:space="preserve">trata-se de </w:t>
      </w:r>
      <w:proofErr w:type="spellStart"/>
      <w:r w:rsidRPr="00D15593">
        <w:rPr>
          <w:rFonts w:ascii="Calibri" w:eastAsia="Times New Roman" w:hAnsi="Calibri" w:cs="Calibri"/>
          <w:color w:val="000000"/>
          <w:sz w:val="24"/>
          <w:szCs w:val="24"/>
        </w:rPr>
        <w:t>ex-advogado</w:t>
      </w:r>
      <w:proofErr w:type="spellEnd"/>
      <w:r w:rsidRPr="00D15593">
        <w:rPr>
          <w:rFonts w:ascii="Calibri" w:eastAsia="Times New Roman" w:hAnsi="Calibri" w:cs="Calibri"/>
          <w:color w:val="000000"/>
          <w:sz w:val="24"/>
          <w:szCs w:val="24"/>
        </w:rPr>
        <w:t xml:space="preserve"> da ré, que a assistiu previamente ao processo quanto a matéria relacionada a seu objeto.</w:t>
      </w:r>
    </w:p>
    <w:p w14:paraId="5C35059E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9255E74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Em vista dessas circunstâncias, pergunta-se:</w:t>
      </w:r>
    </w:p>
    <w:p w14:paraId="29A5831A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DA332C5" w14:textId="6FB953A1" w:rsidR="00D15593" w:rsidRPr="00D15593" w:rsidRDefault="009E04F5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D15593" w:rsidRPr="00D15593">
        <w:rPr>
          <w:rFonts w:ascii="Calibri" w:eastAsia="Times New Roman" w:hAnsi="Calibri" w:cs="Calibri"/>
          <w:color w:val="000000"/>
          <w:sz w:val="24"/>
          <w:szCs w:val="24"/>
        </w:rPr>
        <w:t>) Correta a rejeição, pelo juiz, da prova emprestada?</w:t>
      </w:r>
    </w:p>
    <w:p w14:paraId="08DF7D7F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0DE2105" w14:textId="7038F98C" w:rsidR="00D15593" w:rsidRPr="00D15593" w:rsidRDefault="009E04F5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2</w:t>
      </w:r>
      <w:r w:rsidR="00D15593" w:rsidRPr="00D15593">
        <w:rPr>
          <w:rFonts w:ascii="Calibri" w:eastAsia="Times New Roman" w:hAnsi="Calibri" w:cs="Calibri"/>
          <w:color w:val="000000"/>
          <w:sz w:val="24"/>
          <w:szCs w:val="24"/>
        </w:rPr>
        <w:t>) Tendo em vista a causa do não comparecimento da testemunha </w:t>
      </w:r>
      <w:r w:rsidR="00D15593"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A, </w:t>
      </w:r>
      <w:r w:rsidR="00D15593" w:rsidRPr="00D15593">
        <w:rPr>
          <w:rFonts w:ascii="Calibri" w:eastAsia="Times New Roman" w:hAnsi="Calibri" w:cs="Calibri"/>
          <w:color w:val="000000"/>
          <w:sz w:val="24"/>
          <w:szCs w:val="24"/>
        </w:rPr>
        <w:t>teria a autora direito à designação de nova data para a tomada do depoimento, mesmo não tendo comunicado o fato anteriormente à audiência?</w:t>
      </w:r>
    </w:p>
    <w:p w14:paraId="64A572EA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A365A65" w14:textId="746DD0AA" w:rsidR="00D15593" w:rsidRPr="00D15593" w:rsidRDefault="009E04F5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D15593" w:rsidRPr="00D15593">
        <w:rPr>
          <w:rFonts w:ascii="Calibri" w:eastAsia="Times New Roman" w:hAnsi="Calibri" w:cs="Calibri"/>
          <w:color w:val="000000"/>
          <w:sz w:val="24"/>
          <w:szCs w:val="24"/>
        </w:rPr>
        <w:t>) Seria admissível a produção do depoimento de </w:t>
      </w:r>
      <w:r w:rsidR="00D15593"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 </w:t>
      </w:r>
      <w:r w:rsidR="00D15593" w:rsidRPr="00D15593">
        <w:rPr>
          <w:rFonts w:ascii="Calibri" w:eastAsia="Times New Roman" w:hAnsi="Calibri" w:cs="Calibri"/>
          <w:color w:val="000000"/>
          <w:sz w:val="24"/>
          <w:szCs w:val="24"/>
        </w:rPr>
        <w:t>por meio da juntada da escritura em que lançadas suas declarações? Seria possível em tal hipótese qualificar a prova pretendida como atípica? Correto o fundamento utilizado pelo advogado da ré para se opor à prova?</w:t>
      </w:r>
    </w:p>
    <w:p w14:paraId="52369C66" w14:textId="77777777" w:rsidR="00D15593" w:rsidRP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559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41AC861" w14:textId="58B3ADAA" w:rsidR="00D15593" w:rsidRPr="00D15593" w:rsidRDefault="009E04F5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D15593" w:rsidRPr="00D15593">
        <w:rPr>
          <w:rFonts w:ascii="Calibri" w:eastAsia="Times New Roman" w:hAnsi="Calibri" w:cs="Calibri"/>
          <w:color w:val="000000"/>
          <w:sz w:val="24"/>
          <w:szCs w:val="24"/>
        </w:rPr>
        <w:t>) No tocante à testemunha </w:t>
      </w:r>
      <w:r w:rsidR="00D15593" w:rsidRPr="00D155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C, </w:t>
      </w:r>
      <w:r w:rsidR="00D15593" w:rsidRPr="00D15593">
        <w:rPr>
          <w:rFonts w:ascii="Calibri" w:eastAsia="Times New Roman" w:hAnsi="Calibri" w:cs="Calibri"/>
          <w:color w:val="000000"/>
          <w:sz w:val="24"/>
          <w:szCs w:val="24"/>
        </w:rPr>
        <w:t>pretendendo escusar-se de depor em razão do sigilo profissional, poderia o advogado em questão sequer comparecer à audiência, simplesmente enviando manifestação escrita ao juiz da causa com as razões de sua negativa? Por outro lado, imaginando a apresentação da escusa na audiência, previamente ao início do depoimento, poderia ela ser contornada por meio da tomada do depoimento independentemente de compromisso, considerando-se afinal tratar-se de testemunha impedida?</w:t>
      </w:r>
    </w:p>
    <w:p w14:paraId="231AA60F" w14:textId="50613FBA" w:rsid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D697D7" w14:textId="64B05208" w:rsidR="00D15593" w:rsidRDefault="00D15593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47D6D2" w14:textId="77777777" w:rsidR="009E04F5" w:rsidRDefault="009E04F5" w:rsidP="00D15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F102EF" w14:textId="77777777" w:rsidR="009E04F5" w:rsidRDefault="009E04F5" w:rsidP="00F60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D355CD" w14:textId="41236498" w:rsidR="009E04F5" w:rsidRPr="009E04F5" w:rsidRDefault="009E04F5" w:rsidP="00F60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E04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LEGISLAÇÃO PARA QUESTÃO I</w:t>
      </w:r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14:paraId="6791CFD7" w14:textId="77777777" w:rsidR="009E04F5" w:rsidRPr="009E04F5" w:rsidRDefault="009E04F5" w:rsidP="00F60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1760201" w14:textId="77777777" w:rsidR="00F60953" w:rsidRPr="009E04F5" w:rsidRDefault="00F60953" w:rsidP="00F609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bookmarkStart w:id="0" w:name="art1637"/>
      <w:bookmarkEnd w:id="0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 1.637. Se o pai, ou a mãe, abusar de sua autoridade, faltando aos deveres a eles inerentes ou arruinando os bens dos filhos, cabe ao juiz, requerendo algum parente, ou o Ministério Público, adotar a medida que lhe pareça reclamada pela segurança do menor e seus haveres, até suspendendo o poder familiar, quando convenha.</w:t>
      </w:r>
    </w:p>
    <w:p w14:paraId="4737B4F5" w14:textId="77777777" w:rsidR="00F60953" w:rsidRPr="009E04F5" w:rsidRDefault="00F60953" w:rsidP="00F609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bookmarkStart w:id="1" w:name="art1637p"/>
      <w:bookmarkEnd w:id="1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Parágrafo único. Suspende-se igualmente o exercício do poder familiar ao pai ou à mãe condenados por sentença irrecorrível, em virtude de crime cuja pena exceda a dois anos de prisão.</w:t>
      </w:r>
    </w:p>
    <w:p w14:paraId="3F25F79E" w14:textId="77777777" w:rsidR="00F60953" w:rsidRPr="009E04F5" w:rsidRDefault="00F60953" w:rsidP="00F609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bookmarkStart w:id="2" w:name="art1638"/>
      <w:bookmarkEnd w:id="2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 1.638. Perderá por ato judicial o poder familiar o pai ou a mãe que:</w:t>
      </w:r>
    </w:p>
    <w:p w14:paraId="2E992F5B" w14:textId="77777777" w:rsidR="00F60953" w:rsidRPr="009E04F5" w:rsidRDefault="00F60953" w:rsidP="00F609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bookmarkStart w:id="3" w:name="art1638i"/>
      <w:bookmarkEnd w:id="3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I - </w:t>
      </w:r>
      <w:proofErr w:type="gramStart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castigar</w:t>
      </w:r>
      <w:proofErr w:type="gramEnd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imoderadamente o filho;</w:t>
      </w:r>
    </w:p>
    <w:p w14:paraId="45BA906C" w14:textId="77777777" w:rsidR="00F60953" w:rsidRPr="009E04F5" w:rsidRDefault="00F60953" w:rsidP="00F609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bookmarkStart w:id="4" w:name="art1638ii"/>
      <w:bookmarkEnd w:id="4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II - </w:t>
      </w:r>
      <w:proofErr w:type="gramStart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deixar</w:t>
      </w:r>
      <w:proofErr w:type="gramEnd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 filho em abandono;</w:t>
      </w:r>
    </w:p>
    <w:p w14:paraId="21435B53" w14:textId="77777777" w:rsidR="00F60953" w:rsidRPr="009E04F5" w:rsidRDefault="00F60953" w:rsidP="00F609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bookmarkStart w:id="5" w:name="art1638iii"/>
      <w:bookmarkEnd w:id="5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III - praticar atos contrários à moral e aos bons costumes;</w:t>
      </w:r>
    </w:p>
    <w:p w14:paraId="30133BB2" w14:textId="77777777" w:rsidR="00F60953" w:rsidRPr="009E04F5" w:rsidRDefault="00F60953" w:rsidP="00F609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bookmarkStart w:id="6" w:name="art1638iv"/>
      <w:bookmarkEnd w:id="6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IV - </w:t>
      </w:r>
      <w:proofErr w:type="gramStart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incidir</w:t>
      </w:r>
      <w:proofErr w:type="gramEnd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reiteradamente, nas faltas previstas no artigo antecedente.</w:t>
      </w:r>
    </w:p>
    <w:p w14:paraId="6CE5EC82" w14:textId="77777777" w:rsidR="00F60953" w:rsidRPr="009E04F5" w:rsidRDefault="00F60953" w:rsidP="00F609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bookmarkStart w:id="7" w:name="art1638v"/>
      <w:bookmarkEnd w:id="7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V - </w:t>
      </w:r>
      <w:proofErr w:type="gramStart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entregar</w:t>
      </w:r>
      <w:proofErr w:type="gramEnd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forma irregular o filho a terceiros para fins de adoção.      </w:t>
      </w:r>
      <w:hyperlink r:id="rId5" w:anchor="art1" w:history="1">
        <w:r w:rsidRPr="009E04F5">
          <w:rPr>
            <w:rFonts w:ascii="Times New Roman" w:eastAsia="Times New Roman" w:hAnsi="Times New Roman" w:cs="Times New Roman"/>
            <w:i/>
            <w:iCs/>
            <w:color w:val="954F72"/>
            <w:sz w:val="20"/>
            <w:szCs w:val="20"/>
            <w:u w:val="single"/>
          </w:rPr>
          <w:t>(Incluído pela Lei nº 13.509, de 2017)</w:t>
        </w:r>
      </w:hyperlink>
    </w:p>
    <w:p w14:paraId="4BAF370E" w14:textId="77777777" w:rsidR="00F60953" w:rsidRPr="009E04F5" w:rsidRDefault="00F60953" w:rsidP="00F60953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bookmarkStart w:id="8" w:name="art1638p"/>
      <w:bookmarkEnd w:id="8"/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Parágrafo único. Perderá também por ato judicial o poder familiar aquele que:      </w:t>
      </w:r>
      <w:hyperlink r:id="rId6" w:anchor="art4" w:history="1">
        <w:r w:rsidRPr="009E04F5">
          <w:rPr>
            <w:rFonts w:ascii="Times New Roman" w:eastAsia="Times New Roman" w:hAnsi="Times New Roman" w:cs="Times New Roman"/>
            <w:i/>
            <w:iCs/>
            <w:color w:val="954F72"/>
            <w:sz w:val="20"/>
            <w:szCs w:val="20"/>
            <w:u w:val="single"/>
          </w:rPr>
          <w:t>(Incluído pela Lei nº 13.715, de 2018)</w:t>
        </w:r>
      </w:hyperlink>
    </w:p>
    <w:p w14:paraId="1BDFE96F" w14:textId="77777777" w:rsidR="00F60953" w:rsidRPr="009E04F5" w:rsidRDefault="00F60953" w:rsidP="00F60953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 – praticar contra outrem igualmente titular do mesmo poder familiar:      </w:t>
      </w:r>
      <w:hyperlink r:id="rId7" w:anchor="art4" w:history="1">
        <w:r w:rsidRPr="009E04F5">
          <w:rPr>
            <w:rFonts w:ascii="Times New Roman" w:eastAsia="Times New Roman" w:hAnsi="Times New Roman" w:cs="Times New Roman"/>
            <w:i/>
            <w:iCs/>
            <w:color w:val="954F72"/>
            <w:sz w:val="20"/>
            <w:szCs w:val="20"/>
            <w:u w:val="single"/>
          </w:rPr>
          <w:t>(Incluído pela Lei nº 13.715, de 2018)</w:t>
        </w:r>
      </w:hyperlink>
    </w:p>
    <w:p w14:paraId="780AF687" w14:textId="77777777" w:rsidR="00F60953" w:rsidRPr="009E04F5" w:rsidRDefault="00F60953" w:rsidP="00F60953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a) homicídio, feminicídio ou lesão corporal de natureza grave ou seguida de morte, quando se tratar de crime doloso envolvendo violência doméstica e familiar ou menosprezo ou discriminação à condição de mulher; </w:t>
      </w:r>
      <w:hyperlink r:id="rId8" w:anchor="art4" w:history="1">
        <w:r w:rsidRPr="009E04F5">
          <w:rPr>
            <w:rFonts w:ascii="Times New Roman" w:eastAsia="Times New Roman" w:hAnsi="Times New Roman" w:cs="Times New Roman"/>
            <w:i/>
            <w:iCs/>
            <w:color w:val="954F72"/>
            <w:sz w:val="20"/>
            <w:szCs w:val="20"/>
            <w:u w:val="single"/>
          </w:rPr>
          <w:t>(Incluído pela Lei nº 13.715, de 2018)</w:t>
        </w:r>
      </w:hyperlink>
    </w:p>
    <w:p w14:paraId="57A08384" w14:textId="77777777" w:rsidR="00F60953" w:rsidRPr="009E04F5" w:rsidRDefault="00F60953" w:rsidP="00F60953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b) estupro ou outro crime contra a dignidade sexual sujeito à pena de reclusão;      </w:t>
      </w:r>
      <w:hyperlink r:id="rId9" w:anchor="art4" w:history="1">
        <w:r w:rsidRPr="009E04F5">
          <w:rPr>
            <w:rFonts w:ascii="Times New Roman" w:eastAsia="Times New Roman" w:hAnsi="Times New Roman" w:cs="Times New Roman"/>
            <w:i/>
            <w:iCs/>
            <w:color w:val="954F72"/>
            <w:sz w:val="20"/>
            <w:szCs w:val="20"/>
            <w:u w:val="single"/>
          </w:rPr>
          <w:t>(Incluído pela Lei nº 13.715, de 2018)</w:t>
        </w:r>
      </w:hyperlink>
    </w:p>
    <w:p w14:paraId="43E23D23" w14:textId="77777777" w:rsidR="00F60953" w:rsidRPr="009E04F5" w:rsidRDefault="00F60953" w:rsidP="00F60953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II – praticar contra filho, filha ou outro descendente:      </w:t>
      </w:r>
      <w:hyperlink r:id="rId10" w:anchor="art4" w:history="1">
        <w:r w:rsidRPr="009E04F5">
          <w:rPr>
            <w:rFonts w:ascii="Times New Roman" w:eastAsia="Times New Roman" w:hAnsi="Times New Roman" w:cs="Times New Roman"/>
            <w:i/>
            <w:iCs/>
            <w:color w:val="954F72"/>
            <w:sz w:val="20"/>
            <w:szCs w:val="20"/>
            <w:u w:val="single"/>
          </w:rPr>
          <w:t>(Incluído pela Lei nº 13.715, de 2018)</w:t>
        </w:r>
      </w:hyperlink>
    </w:p>
    <w:p w14:paraId="59504DEA" w14:textId="77777777" w:rsidR="00F60953" w:rsidRPr="009E04F5" w:rsidRDefault="00F60953" w:rsidP="00F60953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a) homicídio, feminicídio ou lesão corporal de natureza grave ou seguida de morte, quando se tratar de crime doloso envolvendo violência doméstica e familiar ou menosprezo ou discriminação à condição de mulher;    </w:t>
      </w:r>
      <w:hyperlink r:id="rId11" w:anchor="art4" w:history="1">
        <w:r w:rsidRPr="009E04F5">
          <w:rPr>
            <w:rFonts w:ascii="Times New Roman" w:eastAsia="Times New Roman" w:hAnsi="Times New Roman" w:cs="Times New Roman"/>
            <w:i/>
            <w:iCs/>
            <w:color w:val="954F72"/>
            <w:sz w:val="20"/>
            <w:szCs w:val="20"/>
            <w:u w:val="single"/>
          </w:rPr>
          <w:t>(Incluído pela Lei nº 13.715, de 2018)</w:t>
        </w:r>
      </w:hyperlink>
    </w:p>
    <w:p w14:paraId="78CA00EA" w14:textId="77777777" w:rsidR="00F60953" w:rsidRPr="009E04F5" w:rsidRDefault="00F60953" w:rsidP="00F60953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r w:rsidRPr="009E04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b) estupro, estupro de vulnerável ou outro crime contra a dignidade sexual sujeito à pena de reclusão.      </w:t>
      </w:r>
      <w:hyperlink r:id="rId12" w:anchor="art4" w:history="1">
        <w:r w:rsidRPr="009E04F5">
          <w:rPr>
            <w:rFonts w:ascii="Times New Roman" w:eastAsia="Times New Roman" w:hAnsi="Times New Roman" w:cs="Times New Roman"/>
            <w:i/>
            <w:iCs/>
            <w:color w:val="954F72"/>
            <w:sz w:val="20"/>
            <w:szCs w:val="20"/>
            <w:u w:val="single"/>
          </w:rPr>
          <w:t>(Incluído pela Lei nº 13.715, de 2018)</w:t>
        </w:r>
      </w:hyperlink>
    </w:p>
    <w:p w14:paraId="78921B53" w14:textId="77777777" w:rsidR="00F60953" w:rsidRPr="009E04F5" w:rsidRDefault="00F60953" w:rsidP="00F60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9E04F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</w:p>
    <w:p w14:paraId="182F24FC" w14:textId="77777777" w:rsidR="00545E5E" w:rsidRPr="009E04F5" w:rsidRDefault="00545E5E" w:rsidP="00F60953">
      <w:pPr>
        <w:jc w:val="both"/>
        <w:rPr>
          <w:i/>
          <w:iCs/>
        </w:rPr>
      </w:pPr>
    </w:p>
    <w:sectPr w:rsidR="00545E5E" w:rsidRPr="009E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75FC"/>
    <w:multiLevelType w:val="multilevel"/>
    <w:tmpl w:val="3B581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3"/>
    <w:rsid w:val="00054080"/>
    <w:rsid w:val="001713A1"/>
    <w:rsid w:val="003E7128"/>
    <w:rsid w:val="003F21AA"/>
    <w:rsid w:val="0045555D"/>
    <w:rsid w:val="00545E5E"/>
    <w:rsid w:val="005471AD"/>
    <w:rsid w:val="00735B64"/>
    <w:rsid w:val="009E04F5"/>
    <w:rsid w:val="00B97BB2"/>
    <w:rsid w:val="00BD4E96"/>
    <w:rsid w:val="00D15593"/>
    <w:rsid w:val="00E02814"/>
    <w:rsid w:val="00F60953"/>
    <w:rsid w:val="00F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C0AF"/>
  <w15:chartTrackingRefBased/>
  <w15:docId w15:val="{BF3B16D2-BBC5-4542-A4BB-940B613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60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8/Lei/L1371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8/Lei/L13715.htm" TargetMode="External"/><Relationship Id="rId12" Type="http://schemas.openxmlformats.org/officeDocument/2006/relationships/hyperlink" Target="http://www.planalto.gov.br/ccivil_03/_Ato2015-2018/2018/Lei/L137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5-2018/2018/Lei/L13715.htm" TargetMode="External"/><Relationship Id="rId11" Type="http://schemas.openxmlformats.org/officeDocument/2006/relationships/hyperlink" Target="http://www.planalto.gov.br/ccivil_03/_Ato2015-2018/2018/Lei/L13715.htm" TargetMode="External"/><Relationship Id="rId5" Type="http://schemas.openxmlformats.org/officeDocument/2006/relationships/hyperlink" Target="http://www.planalto.gov.br/ccivil_03/_Ato2015-2018/2017/Lei/L13509.htm" TargetMode="External"/><Relationship Id="rId10" Type="http://schemas.openxmlformats.org/officeDocument/2006/relationships/hyperlink" Target="http://www.planalto.gov.br/ccivil_03/_Ato2015-2018/2018/Lei/L137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8/Lei/L1371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12</cp:revision>
  <dcterms:created xsi:type="dcterms:W3CDTF">2020-04-15T18:45:00Z</dcterms:created>
  <dcterms:modified xsi:type="dcterms:W3CDTF">2020-04-16T10:10:00Z</dcterms:modified>
</cp:coreProperties>
</file>