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04785" w14:textId="77777777" w:rsidR="00D66699" w:rsidRPr="00E0085E" w:rsidRDefault="00D66699" w:rsidP="00687C4A">
      <w:pPr>
        <w:spacing w:after="0" w:line="360" w:lineRule="auto"/>
        <w:jc w:val="both"/>
        <w:rPr>
          <w:sz w:val="24"/>
          <w:szCs w:val="24"/>
        </w:rPr>
      </w:pPr>
    </w:p>
    <w:p w14:paraId="37947BC7" w14:textId="77777777" w:rsidR="00A57360" w:rsidRPr="00E0085E" w:rsidRDefault="00F27E98" w:rsidP="00687C4A">
      <w:pPr>
        <w:spacing w:after="0" w:line="360" w:lineRule="auto"/>
        <w:jc w:val="both"/>
        <w:rPr>
          <w:sz w:val="24"/>
          <w:szCs w:val="24"/>
        </w:rPr>
      </w:pPr>
      <w:r w:rsidRPr="00E0085E">
        <w:rPr>
          <w:sz w:val="24"/>
          <w:szCs w:val="24"/>
        </w:rPr>
        <w:t>Faculdade de Direito da Universidade de São Paulo</w:t>
      </w:r>
    </w:p>
    <w:p w14:paraId="565D5F8D" w14:textId="77777777" w:rsidR="00F27E98" w:rsidRPr="00E0085E" w:rsidRDefault="00F27E98" w:rsidP="00687C4A">
      <w:pPr>
        <w:spacing w:after="0" w:line="360" w:lineRule="auto"/>
        <w:jc w:val="both"/>
        <w:rPr>
          <w:sz w:val="24"/>
          <w:szCs w:val="24"/>
        </w:rPr>
      </w:pPr>
      <w:r w:rsidRPr="00E0085E">
        <w:rPr>
          <w:sz w:val="24"/>
          <w:szCs w:val="24"/>
        </w:rPr>
        <w:t>Departamento de Direito Processual</w:t>
      </w:r>
    </w:p>
    <w:p w14:paraId="57279164" w14:textId="77777777" w:rsidR="00F27E98" w:rsidRPr="00E0085E" w:rsidRDefault="00F27E98" w:rsidP="00687C4A">
      <w:pPr>
        <w:spacing w:after="0" w:line="360" w:lineRule="auto"/>
        <w:jc w:val="both"/>
        <w:rPr>
          <w:sz w:val="24"/>
          <w:szCs w:val="24"/>
        </w:rPr>
      </w:pPr>
      <w:r w:rsidRPr="00E0085E">
        <w:rPr>
          <w:sz w:val="24"/>
          <w:szCs w:val="24"/>
        </w:rPr>
        <w:t>Disciplina: Tutela jurisdicional dos interesses transindividuais</w:t>
      </w:r>
    </w:p>
    <w:p w14:paraId="24019C1F" w14:textId="77777777" w:rsidR="00F27E98" w:rsidRPr="00E0085E" w:rsidRDefault="00F27E98" w:rsidP="00687C4A">
      <w:pPr>
        <w:spacing w:after="0" w:line="360" w:lineRule="auto"/>
        <w:jc w:val="both"/>
        <w:rPr>
          <w:sz w:val="24"/>
          <w:szCs w:val="24"/>
        </w:rPr>
      </w:pPr>
      <w:r w:rsidRPr="00E0085E">
        <w:rPr>
          <w:sz w:val="24"/>
          <w:szCs w:val="24"/>
        </w:rPr>
        <w:t>Professor: Ricardo de Barros Leonel</w:t>
      </w:r>
    </w:p>
    <w:p w14:paraId="6CCF0F3A" w14:textId="77777777" w:rsidR="00F27E98" w:rsidRPr="00E0085E" w:rsidRDefault="00F27E98" w:rsidP="00687C4A">
      <w:pPr>
        <w:spacing w:after="0" w:line="360" w:lineRule="auto"/>
        <w:jc w:val="both"/>
        <w:rPr>
          <w:sz w:val="24"/>
          <w:szCs w:val="24"/>
        </w:rPr>
      </w:pPr>
      <w:r w:rsidRPr="00E0085E">
        <w:rPr>
          <w:sz w:val="24"/>
          <w:szCs w:val="24"/>
        </w:rPr>
        <w:t>Assistente: Vivian d’</w:t>
      </w:r>
      <w:proofErr w:type="spellStart"/>
      <w:r w:rsidRPr="00E0085E">
        <w:rPr>
          <w:sz w:val="24"/>
          <w:szCs w:val="24"/>
        </w:rPr>
        <w:t>Avila</w:t>
      </w:r>
      <w:proofErr w:type="spellEnd"/>
      <w:r w:rsidRPr="00E0085E">
        <w:rPr>
          <w:sz w:val="24"/>
          <w:szCs w:val="24"/>
        </w:rPr>
        <w:t xml:space="preserve"> Melo Paixão</w:t>
      </w:r>
    </w:p>
    <w:p w14:paraId="5E88063A" w14:textId="77777777" w:rsidR="0012080C" w:rsidRPr="00E0085E" w:rsidRDefault="0012080C" w:rsidP="00687C4A">
      <w:pPr>
        <w:spacing w:after="0" w:line="360" w:lineRule="auto"/>
        <w:jc w:val="both"/>
        <w:rPr>
          <w:sz w:val="24"/>
          <w:szCs w:val="24"/>
        </w:rPr>
      </w:pPr>
    </w:p>
    <w:p w14:paraId="2363B71D" w14:textId="77777777" w:rsidR="0012080C" w:rsidRPr="00E0085E" w:rsidRDefault="0012080C" w:rsidP="00687C4A">
      <w:pPr>
        <w:spacing w:after="0" w:line="360" w:lineRule="auto"/>
        <w:jc w:val="both"/>
        <w:rPr>
          <w:sz w:val="24"/>
          <w:szCs w:val="24"/>
        </w:rPr>
      </w:pPr>
      <w:r w:rsidRPr="00E0085E">
        <w:rPr>
          <w:sz w:val="24"/>
          <w:szCs w:val="24"/>
        </w:rPr>
        <w:t>1º SEMINÁRIO</w:t>
      </w:r>
    </w:p>
    <w:p w14:paraId="4374976C" w14:textId="77777777" w:rsidR="0012080C" w:rsidRPr="00E0085E" w:rsidRDefault="0012080C" w:rsidP="00687C4A">
      <w:pPr>
        <w:spacing w:after="0" w:line="360" w:lineRule="auto"/>
        <w:jc w:val="both"/>
        <w:rPr>
          <w:sz w:val="24"/>
          <w:szCs w:val="24"/>
        </w:rPr>
      </w:pPr>
    </w:p>
    <w:p w14:paraId="6AE1D370" w14:textId="77777777" w:rsidR="0012080C" w:rsidRPr="00E0085E" w:rsidRDefault="0012080C" w:rsidP="00687C4A">
      <w:pPr>
        <w:spacing w:after="0" w:line="360" w:lineRule="auto"/>
        <w:jc w:val="both"/>
        <w:rPr>
          <w:sz w:val="24"/>
          <w:szCs w:val="24"/>
        </w:rPr>
      </w:pPr>
      <w:r w:rsidRPr="00E0085E">
        <w:rPr>
          <w:sz w:val="24"/>
          <w:szCs w:val="24"/>
        </w:rPr>
        <w:t>Questões:</w:t>
      </w:r>
    </w:p>
    <w:p w14:paraId="74795B48" w14:textId="77777777" w:rsidR="0012080C" w:rsidRPr="00E0085E" w:rsidRDefault="0012080C" w:rsidP="00687C4A">
      <w:pPr>
        <w:spacing w:after="0" w:line="360" w:lineRule="auto"/>
        <w:jc w:val="both"/>
        <w:rPr>
          <w:sz w:val="24"/>
          <w:szCs w:val="24"/>
        </w:rPr>
      </w:pPr>
    </w:p>
    <w:p w14:paraId="6EAFD310" w14:textId="77777777" w:rsidR="0012080C" w:rsidRPr="00E0085E" w:rsidRDefault="0012080C" w:rsidP="00687C4A">
      <w:pPr>
        <w:spacing w:after="0" w:line="360" w:lineRule="auto"/>
        <w:jc w:val="both"/>
        <w:rPr>
          <w:sz w:val="24"/>
          <w:szCs w:val="24"/>
        </w:rPr>
      </w:pPr>
      <w:r w:rsidRPr="00E0085E">
        <w:rPr>
          <w:b/>
          <w:sz w:val="24"/>
          <w:szCs w:val="24"/>
        </w:rPr>
        <w:t>1)</w:t>
      </w:r>
      <w:r w:rsidRPr="00E0085E">
        <w:rPr>
          <w:sz w:val="24"/>
          <w:szCs w:val="24"/>
        </w:rPr>
        <w:t xml:space="preserve"> Comparecer à Promotoria de Justiça usuário de Plano de Saúde de grande alcance popular, formulando representação ao Promotor de Justiça, com cópia do contrato padrão do referido plano de saúde, no qual está inserida cláusula de renovação automática anual. </w:t>
      </w:r>
    </w:p>
    <w:p w14:paraId="6A40FB08" w14:textId="77777777" w:rsidR="0012080C" w:rsidRPr="00E0085E" w:rsidRDefault="0012080C" w:rsidP="0012080C">
      <w:pPr>
        <w:spacing w:after="0" w:line="360" w:lineRule="auto"/>
        <w:jc w:val="both"/>
        <w:rPr>
          <w:sz w:val="24"/>
          <w:szCs w:val="24"/>
        </w:rPr>
      </w:pPr>
      <w:r w:rsidRPr="00E0085E">
        <w:rPr>
          <w:sz w:val="24"/>
          <w:szCs w:val="24"/>
        </w:rPr>
        <w:t>Consta da representação que inúmeros usuários, com planos de saúde assinados antes de 1989, tiveram negada determinada cobertura, sob o argumento de que: a) Quando da assinatura do contrato, a referida cobertura estava excluída do contrato padrão; b) que os planos não foram adaptados à Lei 9.656/1998; c) O contrato padrão é anterior ao Código de Defesa do Consumidor.</w:t>
      </w:r>
    </w:p>
    <w:p w14:paraId="59EB433D" w14:textId="77777777" w:rsidR="0012080C" w:rsidRPr="00E0085E" w:rsidRDefault="0012080C" w:rsidP="0012080C">
      <w:pPr>
        <w:spacing w:after="0" w:line="360" w:lineRule="auto"/>
        <w:jc w:val="both"/>
        <w:rPr>
          <w:sz w:val="24"/>
          <w:szCs w:val="24"/>
        </w:rPr>
      </w:pPr>
      <w:r w:rsidRPr="00E0085E">
        <w:rPr>
          <w:sz w:val="24"/>
          <w:szCs w:val="24"/>
        </w:rPr>
        <w:t>Indaga-se:</w:t>
      </w:r>
    </w:p>
    <w:p w14:paraId="317F5321" w14:textId="77777777" w:rsidR="0012080C" w:rsidRPr="00E0085E" w:rsidRDefault="0012080C" w:rsidP="0012080C">
      <w:pPr>
        <w:pStyle w:val="PargrafodaLista"/>
        <w:numPr>
          <w:ilvl w:val="0"/>
          <w:numId w:val="2"/>
        </w:numPr>
        <w:spacing w:after="0" w:line="360" w:lineRule="auto"/>
        <w:jc w:val="both"/>
        <w:rPr>
          <w:sz w:val="24"/>
          <w:szCs w:val="24"/>
        </w:rPr>
      </w:pPr>
      <w:r w:rsidRPr="00E0085E">
        <w:rPr>
          <w:sz w:val="24"/>
          <w:szCs w:val="24"/>
        </w:rPr>
        <w:t>Qual é a espécie de interesse violado nessa situação?</w:t>
      </w:r>
    </w:p>
    <w:p w14:paraId="7CA4D5E7" w14:textId="77777777" w:rsidR="0012080C" w:rsidRPr="00E0085E" w:rsidRDefault="0012080C" w:rsidP="0012080C">
      <w:pPr>
        <w:pStyle w:val="PargrafodaLista"/>
        <w:numPr>
          <w:ilvl w:val="0"/>
          <w:numId w:val="2"/>
        </w:numPr>
        <w:spacing w:after="0" w:line="360" w:lineRule="auto"/>
        <w:jc w:val="both"/>
        <w:rPr>
          <w:sz w:val="24"/>
          <w:szCs w:val="24"/>
        </w:rPr>
      </w:pPr>
      <w:r w:rsidRPr="00E0085E">
        <w:rPr>
          <w:sz w:val="24"/>
          <w:szCs w:val="24"/>
        </w:rPr>
        <w:t>Pode o Ministério Público pode tomar providências judiciais, em razão da referida negativa da cobertura?</w:t>
      </w:r>
    </w:p>
    <w:p w14:paraId="5AAEF29B" w14:textId="77777777" w:rsidR="00687C4A" w:rsidRPr="00E0085E" w:rsidRDefault="00687C4A" w:rsidP="00687C4A">
      <w:pPr>
        <w:spacing w:after="0" w:line="360" w:lineRule="auto"/>
        <w:jc w:val="both"/>
        <w:rPr>
          <w:b/>
          <w:sz w:val="24"/>
          <w:szCs w:val="24"/>
        </w:rPr>
      </w:pPr>
    </w:p>
    <w:p w14:paraId="049E0F89" w14:textId="77777777" w:rsidR="006C2C8A" w:rsidRDefault="006C2C8A" w:rsidP="00687C4A">
      <w:pPr>
        <w:spacing w:after="0" w:line="360" w:lineRule="auto"/>
        <w:jc w:val="both"/>
        <w:rPr>
          <w:b/>
          <w:color w:val="FF0000"/>
          <w:sz w:val="24"/>
          <w:szCs w:val="24"/>
        </w:rPr>
      </w:pPr>
      <w:r>
        <w:rPr>
          <w:b/>
          <w:color w:val="FF0000"/>
          <w:sz w:val="24"/>
          <w:szCs w:val="24"/>
        </w:rPr>
        <w:t>Temas do</w:t>
      </w:r>
      <w:r w:rsidRPr="006C2C8A">
        <w:rPr>
          <w:b/>
          <w:color w:val="FF0000"/>
          <w:sz w:val="24"/>
          <w:szCs w:val="24"/>
        </w:rPr>
        <w:t xml:space="preserve"> problema:</w:t>
      </w:r>
    </w:p>
    <w:p w14:paraId="3EC6AB79" w14:textId="77777777" w:rsidR="006C2C8A" w:rsidRPr="006C2C8A" w:rsidRDefault="006C2C8A" w:rsidP="00687C4A">
      <w:pPr>
        <w:spacing w:after="0" w:line="360" w:lineRule="auto"/>
        <w:jc w:val="both"/>
        <w:rPr>
          <w:color w:val="FF0000"/>
          <w:sz w:val="24"/>
          <w:szCs w:val="24"/>
        </w:rPr>
      </w:pPr>
      <w:r w:rsidRPr="006C2C8A">
        <w:rPr>
          <w:color w:val="FF0000"/>
          <w:sz w:val="24"/>
          <w:szCs w:val="24"/>
        </w:rPr>
        <w:t>-delimitação dos interesses metaindividuais</w:t>
      </w:r>
    </w:p>
    <w:p w14:paraId="66AD1D57" w14:textId="77777777" w:rsidR="006C2C8A" w:rsidRPr="006C2C8A" w:rsidRDefault="006C2C8A" w:rsidP="00687C4A">
      <w:pPr>
        <w:spacing w:after="0" w:line="360" w:lineRule="auto"/>
        <w:jc w:val="both"/>
        <w:rPr>
          <w:color w:val="FF0000"/>
          <w:sz w:val="24"/>
          <w:szCs w:val="24"/>
        </w:rPr>
      </w:pPr>
      <w:r w:rsidRPr="006C2C8A">
        <w:rPr>
          <w:color w:val="FF0000"/>
          <w:sz w:val="24"/>
          <w:szCs w:val="24"/>
        </w:rPr>
        <w:t>-alcance da legitimação do MP</w:t>
      </w:r>
    </w:p>
    <w:p w14:paraId="1A4B9163" w14:textId="77777777" w:rsidR="00687C4A" w:rsidRPr="00E0085E" w:rsidRDefault="00DB0FDF" w:rsidP="00687C4A">
      <w:pPr>
        <w:spacing w:after="0" w:line="360" w:lineRule="auto"/>
        <w:jc w:val="both"/>
        <w:rPr>
          <w:b/>
          <w:sz w:val="24"/>
          <w:szCs w:val="24"/>
        </w:rPr>
      </w:pPr>
      <w:r w:rsidRPr="00E0085E">
        <w:rPr>
          <w:b/>
          <w:sz w:val="24"/>
          <w:szCs w:val="24"/>
        </w:rPr>
        <w:t>Respostas:</w:t>
      </w:r>
    </w:p>
    <w:p w14:paraId="60154354" w14:textId="77777777" w:rsidR="002D183A" w:rsidRPr="00E0085E" w:rsidRDefault="0085473F" w:rsidP="00687C4A">
      <w:pPr>
        <w:spacing w:after="0" w:line="360" w:lineRule="auto"/>
        <w:jc w:val="both"/>
        <w:rPr>
          <w:sz w:val="24"/>
          <w:szCs w:val="24"/>
        </w:rPr>
      </w:pPr>
      <w:r w:rsidRPr="00E0085E">
        <w:rPr>
          <w:sz w:val="24"/>
          <w:szCs w:val="24"/>
        </w:rPr>
        <w:t>Interesse individual homogêneo.</w:t>
      </w:r>
    </w:p>
    <w:p w14:paraId="2AC4C87B" w14:textId="77777777" w:rsidR="00C20756" w:rsidRPr="00E0085E" w:rsidRDefault="00447922" w:rsidP="00687C4A">
      <w:pPr>
        <w:spacing w:after="0" w:line="360" w:lineRule="auto"/>
        <w:jc w:val="both"/>
        <w:rPr>
          <w:sz w:val="24"/>
          <w:szCs w:val="24"/>
        </w:rPr>
      </w:pPr>
      <w:r w:rsidRPr="00E0085E">
        <w:rPr>
          <w:sz w:val="24"/>
          <w:szCs w:val="24"/>
        </w:rPr>
        <w:t>Ação Civil Pública.</w:t>
      </w:r>
    </w:p>
    <w:p w14:paraId="5A4BDDCA" w14:textId="77777777" w:rsidR="003465C4" w:rsidRPr="00E0085E" w:rsidRDefault="003465C4" w:rsidP="00687C4A">
      <w:pPr>
        <w:spacing w:after="0" w:line="360" w:lineRule="auto"/>
        <w:jc w:val="both"/>
        <w:rPr>
          <w:sz w:val="24"/>
          <w:szCs w:val="24"/>
        </w:rPr>
      </w:pPr>
      <w:r w:rsidRPr="00E0085E">
        <w:rPr>
          <w:sz w:val="24"/>
          <w:szCs w:val="24"/>
        </w:rPr>
        <w:lastRenderedPageBreak/>
        <w:t xml:space="preserve">Embora o contrato seja anterior à vigência do CDC, os tribunais aplicam as normas </w:t>
      </w:r>
      <w:r w:rsidR="0002584D" w:rsidRPr="00E0085E">
        <w:rPr>
          <w:sz w:val="24"/>
          <w:szCs w:val="24"/>
        </w:rPr>
        <w:t>consumeristas</w:t>
      </w:r>
      <w:r w:rsidRPr="00E0085E">
        <w:rPr>
          <w:sz w:val="24"/>
          <w:szCs w:val="24"/>
        </w:rPr>
        <w:t xml:space="preserve"> para determinar abusividade de cláusulas. </w:t>
      </w:r>
    </w:p>
    <w:p w14:paraId="2B8876AF" w14:textId="77777777" w:rsidR="0085473F" w:rsidRPr="00E0085E" w:rsidRDefault="0085473F" w:rsidP="00687C4A">
      <w:pPr>
        <w:spacing w:after="0" w:line="360" w:lineRule="auto"/>
        <w:jc w:val="both"/>
        <w:rPr>
          <w:sz w:val="24"/>
          <w:szCs w:val="24"/>
        </w:rPr>
      </w:pPr>
    </w:p>
    <w:p w14:paraId="2D3DEB6C" w14:textId="77777777" w:rsidR="00887445" w:rsidRPr="00E0085E" w:rsidRDefault="00887445" w:rsidP="00447922">
      <w:pPr>
        <w:spacing w:after="0" w:line="360" w:lineRule="auto"/>
        <w:jc w:val="both"/>
        <w:rPr>
          <w:color w:val="1A1A1A"/>
          <w:sz w:val="24"/>
          <w:szCs w:val="24"/>
          <w:shd w:val="clear" w:color="auto" w:fill="FFFFFF"/>
        </w:rPr>
      </w:pPr>
      <w:r w:rsidRPr="00E0085E">
        <w:rPr>
          <w:color w:val="1A1A1A"/>
          <w:sz w:val="24"/>
          <w:szCs w:val="24"/>
          <w:shd w:val="clear" w:color="auto" w:fill="FFFFFF"/>
        </w:rPr>
        <w:t>“</w:t>
      </w:r>
      <w:r w:rsidR="00447922" w:rsidRPr="00E0085E">
        <w:rPr>
          <w:color w:val="1A1A1A"/>
          <w:sz w:val="24"/>
          <w:szCs w:val="24"/>
          <w:shd w:val="clear" w:color="auto" w:fill="FFFFFF"/>
        </w:rPr>
        <w:t>Como instituição responsável pela defesa judicial de direitos individuais indisponíveis, o Ministério Público tem legitimidade para propor ação civil pública visando</w:t>
      </w:r>
      <w:r w:rsidR="003465C4" w:rsidRPr="00E0085E">
        <w:rPr>
          <w:color w:val="1A1A1A"/>
          <w:sz w:val="24"/>
          <w:szCs w:val="24"/>
          <w:shd w:val="clear" w:color="auto" w:fill="FFFFFF"/>
        </w:rPr>
        <w:t xml:space="preserve"> o direito à saúde</w:t>
      </w:r>
      <w:r w:rsidR="00447922" w:rsidRPr="00E0085E">
        <w:rPr>
          <w:color w:val="1A1A1A"/>
          <w:sz w:val="24"/>
          <w:szCs w:val="24"/>
          <w:shd w:val="clear" w:color="auto" w:fill="FFFFFF"/>
        </w:rPr>
        <w:t>. Nessas hipóteses, trata-se da proteção do direito fundamental à saúde, com direta relevância social.</w:t>
      </w:r>
      <w:r w:rsidRPr="00E0085E">
        <w:rPr>
          <w:color w:val="1A1A1A"/>
          <w:sz w:val="24"/>
          <w:szCs w:val="24"/>
          <w:shd w:val="clear" w:color="auto" w:fill="FFFFFF"/>
        </w:rPr>
        <w:t>”</w:t>
      </w:r>
    </w:p>
    <w:p w14:paraId="3B7D4B87" w14:textId="77777777" w:rsidR="00447922" w:rsidRPr="00E0085E" w:rsidRDefault="00447922" w:rsidP="00447922">
      <w:pPr>
        <w:spacing w:after="0" w:line="360" w:lineRule="auto"/>
        <w:jc w:val="both"/>
        <w:rPr>
          <w:sz w:val="24"/>
          <w:szCs w:val="24"/>
        </w:rPr>
      </w:pPr>
      <w:r w:rsidRPr="00E0085E">
        <w:rPr>
          <w:color w:val="1A1A1A"/>
          <w:sz w:val="24"/>
          <w:szCs w:val="24"/>
          <w:shd w:val="clear" w:color="auto" w:fill="FFFFFF"/>
        </w:rPr>
        <w:t xml:space="preserve">(STJ, </w:t>
      </w:r>
      <w:proofErr w:type="spellStart"/>
      <w:r w:rsidRPr="00E0085E">
        <w:rPr>
          <w:color w:val="1A1A1A"/>
          <w:sz w:val="24"/>
          <w:szCs w:val="24"/>
          <w:shd w:val="clear" w:color="auto" w:fill="FFFFFF"/>
        </w:rPr>
        <w:t>REsp</w:t>
      </w:r>
      <w:proofErr w:type="spellEnd"/>
      <w:r w:rsidRPr="00E0085E">
        <w:rPr>
          <w:color w:val="1A1A1A"/>
          <w:sz w:val="24"/>
          <w:szCs w:val="24"/>
          <w:shd w:val="clear" w:color="auto" w:fill="FFFFFF"/>
        </w:rPr>
        <w:t xml:space="preserve"> n</w:t>
      </w:r>
      <w:r w:rsidRPr="00E0085E">
        <w:rPr>
          <w:sz w:val="24"/>
          <w:szCs w:val="24"/>
        </w:rPr>
        <w:t xml:space="preserve">º 1.712.776 – BA, </w:t>
      </w:r>
      <w:proofErr w:type="gramStart"/>
      <w:r w:rsidRPr="00E0085E">
        <w:rPr>
          <w:sz w:val="24"/>
          <w:szCs w:val="24"/>
        </w:rPr>
        <w:t>RELATOR :</w:t>
      </w:r>
      <w:proofErr w:type="gramEnd"/>
      <w:r w:rsidRPr="00E0085E">
        <w:rPr>
          <w:sz w:val="24"/>
          <w:szCs w:val="24"/>
        </w:rPr>
        <w:t xml:space="preserve"> MINISTRO ANTONIO CARLOS FERREIRA, RECORRENTE : MINISTÉRIO PÚBLICO DO ESTADO DA BAHIA, RECORRIDO : VITALMED - SERVICOS DE EMERGENCIA MEDICA LTDA, DJe 19/12/2018).</w:t>
      </w:r>
    </w:p>
    <w:p w14:paraId="50C743D9" w14:textId="77777777" w:rsidR="00447922" w:rsidRPr="00E0085E" w:rsidRDefault="00447922" w:rsidP="00687C4A">
      <w:pPr>
        <w:spacing w:after="0" w:line="360" w:lineRule="auto"/>
        <w:jc w:val="both"/>
        <w:rPr>
          <w:sz w:val="24"/>
          <w:szCs w:val="24"/>
        </w:rPr>
      </w:pPr>
    </w:p>
    <w:p w14:paraId="0782B274" w14:textId="77777777" w:rsidR="0085473F" w:rsidRPr="00E0085E" w:rsidRDefault="0085473F" w:rsidP="00687C4A">
      <w:pPr>
        <w:spacing w:after="0" w:line="360" w:lineRule="auto"/>
        <w:jc w:val="both"/>
        <w:rPr>
          <w:sz w:val="24"/>
          <w:szCs w:val="24"/>
        </w:rPr>
      </w:pPr>
      <w:r w:rsidRPr="00E0085E">
        <w:rPr>
          <w:sz w:val="24"/>
          <w:szCs w:val="24"/>
        </w:rPr>
        <w:t>STJ:</w:t>
      </w:r>
    </w:p>
    <w:p w14:paraId="3C04BEB8" w14:textId="77777777" w:rsidR="0085473F" w:rsidRPr="00E0085E" w:rsidRDefault="0085473F" w:rsidP="00687C4A">
      <w:pPr>
        <w:spacing w:after="0" w:line="360" w:lineRule="auto"/>
        <w:jc w:val="both"/>
        <w:rPr>
          <w:i/>
          <w:sz w:val="24"/>
          <w:szCs w:val="24"/>
        </w:rPr>
      </w:pPr>
      <w:r w:rsidRPr="00E0085E">
        <w:rPr>
          <w:i/>
          <w:sz w:val="24"/>
          <w:szCs w:val="24"/>
        </w:rPr>
        <w:t>DIREITO CIVIL E CONSUMIDOR. SEGURO SAÚDE. CONTRATAÇÃO ANTERIOR À VIGÊNCIA DA LEI 9.656/98. DOENÇA PRÉ-EXISTENTE. OMISSÃO IRRELEVANTE. LONGO PERÍODO DE SAÚDE E ADIMPLEMENTO CONTRATUAL ANTES DA MANIFESTAÇÃO DA DOENÇA. - As disposições da Lei 9.656/98 só se aplicam aos contratos celebrados a partir de sua vigência, bem como para os contratos que, celebrados anteriormente, foram adaptados para seu regime. A Lei 9.656/98 não retroage para atingir o contrato celebrado por segurados que, no exercício de sua liberdade de escolha, mantiveram seus planos antigos sem qualquer adaptação. - O segurado perde direito à indenização, nos termos do art. 766, CC/2002, (art. 1.444/CC1916) se tiver feito declarações inverídicas quando poderia fazê-las verdadeiras e completas. E isso não se verifica se não tiver ciência de seu real estado de saúde. Precedentes. - Excepcionalmente, a omissão do segurado não é relevante quando contrata seguro e mantém vida regular por vários anos, demonstrando que possuía, ainda, razoável estado de saúde quando da contratação da apólice. - Aufere vantagem manifestamente exagerada, de forma abusiva e em contrariedade à boa-fé objetiva, o segurador que, após longo período recebendo os prêmios devidos pelo segurado, nega cobertura, sob a alegação de que se trata de doença pré-existente. Recurso Especial provido.</w:t>
      </w:r>
    </w:p>
    <w:p w14:paraId="1D1563A0" w14:textId="77777777" w:rsidR="0085473F" w:rsidRPr="00E0085E" w:rsidRDefault="0085473F" w:rsidP="00687C4A">
      <w:pPr>
        <w:spacing w:after="0" w:line="360" w:lineRule="auto"/>
        <w:jc w:val="both"/>
        <w:rPr>
          <w:sz w:val="24"/>
          <w:szCs w:val="24"/>
        </w:rPr>
      </w:pPr>
      <w:r w:rsidRPr="00E0085E">
        <w:rPr>
          <w:sz w:val="24"/>
          <w:szCs w:val="24"/>
        </w:rPr>
        <w:t>(STJ, RECURSO ESPECIAL Nº 1.080.973</w:t>
      </w:r>
      <w:r w:rsidR="00284A79" w:rsidRPr="00E0085E">
        <w:rPr>
          <w:sz w:val="24"/>
          <w:szCs w:val="24"/>
        </w:rPr>
        <w:t xml:space="preserve"> - SP (2008/0173809-5) RELATORA</w:t>
      </w:r>
      <w:r w:rsidRPr="00E0085E">
        <w:rPr>
          <w:sz w:val="24"/>
          <w:szCs w:val="24"/>
        </w:rPr>
        <w:t>: MINISTRA NANCY ANDRIGHI, RECORRENTE: CRISTIANE SOUZA RODRIGUES, RECORRIDO: SUL AMÉRICA COMPANHIA DE SEGURO SAÚDE</w:t>
      </w:r>
      <w:r w:rsidR="00191F0D" w:rsidRPr="00E0085E">
        <w:rPr>
          <w:sz w:val="24"/>
          <w:szCs w:val="24"/>
        </w:rPr>
        <w:t>, DJe 3/2/2009</w:t>
      </w:r>
      <w:r w:rsidRPr="00E0085E">
        <w:rPr>
          <w:sz w:val="24"/>
          <w:szCs w:val="24"/>
        </w:rPr>
        <w:t>).</w:t>
      </w:r>
    </w:p>
    <w:p w14:paraId="589BAF3D" w14:textId="77777777" w:rsidR="00447922" w:rsidRDefault="00447922" w:rsidP="00687C4A">
      <w:pPr>
        <w:spacing w:after="0" w:line="360" w:lineRule="auto"/>
        <w:jc w:val="both"/>
        <w:rPr>
          <w:sz w:val="24"/>
          <w:szCs w:val="24"/>
        </w:rPr>
      </w:pPr>
    </w:p>
    <w:p w14:paraId="679EA740" w14:textId="77777777" w:rsidR="00E0085E" w:rsidRPr="00E0085E" w:rsidRDefault="00E0085E" w:rsidP="00687C4A">
      <w:pPr>
        <w:spacing w:after="0" w:line="360" w:lineRule="auto"/>
        <w:jc w:val="both"/>
        <w:rPr>
          <w:sz w:val="24"/>
          <w:szCs w:val="24"/>
        </w:rPr>
      </w:pPr>
    </w:p>
    <w:p w14:paraId="4C833843" w14:textId="77777777" w:rsidR="00447922" w:rsidRDefault="00F032F3" w:rsidP="00687C4A">
      <w:pPr>
        <w:spacing w:after="0" w:line="360" w:lineRule="auto"/>
        <w:jc w:val="both"/>
        <w:rPr>
          <w:sz w:val="24"/>
          <w:szCs w:val="24"/>
        </w:rPr>
      </w:pPr>
      <w:r w:rsidRPr="00E0085E">
        <w:rPr>
          <w:b/>
          <w:sz w:val="24"/>
          <w:szCs w:val="24"/>
        </w:rPr>
        <w:t>2)</w:t>
      </w:r>
      <w:r w:rsidRPr="00E0085E">
        <w:rPr>
          <w:sz w:val="24"/>
          <w:szCs w:val="24"/>
        </w:rPr>
        <w:t xml:space="preserve"> O Ministério Público promoveu ação em face dos loteadores e do Município, a fim de obter a regularização de loteamento clandestino, para adequá-lo à legislação, ou, na impossibilidade de adequação, condenação à reparação dos danos ambientais e urbanísticos. O Juiz da causa determinou a exclusão da pessoa jurídica de direito público da ação, ao argumento que o Município não era parte legítima para respond</w:t>
      </w:r>
      <w:r w:rsidR="00E0085E" w:rsidRPr="00E0085E">
        <w:rPr>
          <w:sz w:val="24"/>
          <w:szCs w:val="24"/>
        </w:rPr>
        <w:t>ê</w:t>
      </w:r>
      <w:r w:rsidRPr="00E0085E">
        <w:rPr>
          <w:sz w:val="24"/>
          <w:szCs w:val="24"/>
        </w:rPr>
        <w:t>-la, isentando-o de responsabi</w:t>
      </w:r>
      <w:r w:rsidR="008B0E70" w:rsidRPr="00E0085E">
        <w:rPr>
          <w:sz w:val="24"/>
          <w:szCs w:val="24"/>
        </w:rPr>
        <w:t>lidade. Está correta a decisão?</w:t>
      </w:r>
    </w:p>
    <w:p w14:paraId="61123F66" w14:textId="77777777" w:rsidR="006C2C8A" w:rsidRPr="006C2C8A" w:rsidRDefault="006C2C8A" w:rsidP="00687C4A">
      <w:pPr>
        <w:spacing w:after="0" w:line="360" w:lineRule="auto"/>
        <w:jc w:val="both"/>
        <w:rPr>
          <w:b/>
          <w:color w:val="FF0000"/>
          <w:sz w:val="24"/>
          <w:szCs w:val="24"/>
        </w:rPr>
      </w:pPr>
      <w:r w:rsidRPr="006C2C8A">
        <w:rPr>
          <w:b/>
          <w:color w:val="FF0000"/>
          <w:sz w:val="24"/>
          <w:szCs w:val="24"/>
        </w:rPr>
        <w:t>Temas do problema:</w:t>
      </w:r>
    </w:p>
    <w:p w14:paraId="14171CD3" w14:textId="77777777" w:rsidR="006C2C8A" w:rsidRPr="006C2C8A" w:rsidRDefault="006C2C8A" w:rsidP="00687C4A">
      <w:pPr>
        <w:spacing w:after="0" w:line="360" w:lineRule="auto"/>
        <w:jc w:val="both"/>
        <w:rPr>
          <w:color w:val="FF0000"/>
          <w:sz w:val="24"/>
          <w:szCs w:val="24"/>
        </w:rPr>
      </w:pPr>
      <w:r w:rsidRPr="006C2C8A">
        <w:rPr>
          <w:color w:val="FF0000"/>
          <w:sz w:val="24"/>
          <w:szCs w:val="24"/>
        </w:rPr>
        <w:t>-legitimação da pessoa jurídica de direito público para responder</w:t>
      </w:r>
    </w:p>
    <w:p w14:paraId="55B98C4A" w14:textId="77777777" w:rsidR="006C2C8A" w:rsidRPr="006C2C8A" w:rsidRDefault="006C2C8A" w:rsidP="00687C4A">
      <w:pPr>
        <w:spacing w:after="0" w:line="360" w:lineRule="auto"/>
        <w:jc w:val="both"/>
        <w:rPr>
          <w:color w:val="FF0000"/>
          <w:sz w:val="24"/>
          <w:szCs w:val="24"/>
        </w:rPr>
      </w:pPr>
      <w:r w:rsidRPr="006C2C8A">
        <w:rPr>
          <w:color w:val="FF0000"/>
          <w:sz w:val="24"/>
          <w:szCs w:val="24"/>
        </w:rPr>
        <w:t xml:space="preserve">-responsabilidade pela ação ou omissão (dever de fiscalização, </w:t>
      </w:r>
      <w:r>
        <w:rPr>
          <w:color w:val="FF0000"/>
          <w:sz w:val="24"/>
          <w:szCs w:val="24"/>
        </w:rPr>
        <w:t xml:space="preserve">dever de fiscalizar uso e ocupação do solo urbano, </w:t>
      </w:r>
      <w:r w:rsidRPr="006C2C8A">
        <w:rPr>
          <w:color w:val="FF0000"/>
          <w:sz w:val="24"/>
          <w:szCs w:val="24"/>
        </w:rPr>
        <w:t>exercício do Poder de Polícia no Município)</w:t>
      </w:r>
    </w:p>
    <w:p w14:paraId="4A47D138" w14:textId="77777777" w:rsidR="008B0E70" w:rsidRDefault="008B0E70" w:rsidP="00687C4A">
      <w:pPr>
        <w:spacing w:after="0" w:line="360" w:lineRule="auto"/>
        <w:jc w:val="both"/>
      </w:pPr>
    </w:p>
    <w:p w14:paraId="40321F1F" w14:textId="77777777" w:rsidR="008B0E70" w:rsidRDefault="008B0E70" w:rsidP="00687C4A">
      <w:pPr>
        <w:spacing w:after="0" w:line="360" w:lineRule="auto"/>
        <w:jc w:val="both"/>
        <w:rPr>
          <w:b/>
        </w:rPr>
      </w:pPr>
      <w:r>
        <w:rPr>
          <w:b/>
        </w:rPr>
        <w:t>Respostas:</w:t>
      </w:r>
    </w:p>
    <w:p w14:paraId="5DE0B091" w14:textId="77777777" w:rsidR="00E0085E" w:rsidRPr="00E0085E" w:rsidRDefault="00E0085E" w:rsidP="00687C4A">
      <w:pPr>
        <w:spacing w:after="0" w:line="360" w:lineRule="auto"/>
        <w:jc w:val="both"/>
        <w:rPr>
          <w:rFonts w:cstheme="minorHAnsi"/>
          <w:sz w:val="24"/>
          <w:szCs w:val="24"/>
        </w:rPr>
      </w:pPr>
      <w:r w:rsidRPr="00E0085E">
        <w:rPr>
          <w:rFonts w:cstheme="minorHAnsi"/>
          <w:sz w:val="24"/>
          <w:szCs w:val="24"/>
        </w:rPr>
        <w:t>Não, os Municípios são responsáveis pela regularização de lotes em espaços urbanos.</w:t>
      </w:r>
    </w:p>
    <w:p w14:paraId="0FE28F62" w14:textId="77777777" w:rsidR="00E0085E" w:rsidRPr="00E0085E" w:rsidRDefault="00E0085E" w:rsidP="00E0085E">
      <w:pPr>
        <w:shd w:val="clear" w:color="auto" w:fill="FFFFFF"/>
        <w:spacing w:before="240" w:after="240" w:line="300" w:lineRule="atLeast"/>
        <w:jc w:val="both"/>
        <w:rPr>
          <w:rFonts w:eastAsia="Times New Roman" w:cstheme="minorHAnsi"/>
          <w:sz w:val="24"/>
          <w:szCs w:val="24"/>
          <w:lang w:eastAsia="pt-BR"/>
        </w:rPr>
      </w:pPr>
      <w:r w:rsidRPr="00E0085E">
        <w:rPr>
          <w:rFonts w:eastAsia="Times New Roman" w:cstheme="minorHAnsi"/>
          <w:sz w:val="24"/>
          <w:szCs w:val="24"/>
          <w:lang w:eastAsia="pt-BR"/>
        </w:rPr>
        <w:t xml:space="preserve">STJ: </w:t>
      </w:r>
    </w:p>
    <w:p w14:paraId="01A35AE0" w14:textId="77777777" w:rsidR="00E0085E" w:rsidRPr="00E0085E" w:rsidRDefault="00E0085E" w:rsidP="007C2369">
      <w:pPr>
        <w:shd w:val="clear" w:color="auto" w:fill="FFFFFF"/>
        <w:spacing w:after="0" w:line="360" w:lineRule="auto"/>
        <w:jc w:val="both"/>
        <w:rPr>
          <w:rFonts w:eastAsia="Times New Roman" w:cstheme="minorHAnsi"/>
          <w:sz w:val="24"/>
          <w:szCs w:val="24"/>
          <w:lang w:eastAsia="pt-BR"/>
        </w:rPr>
      </w:pPr>
      <w:r w:rsidRPr="00E0085E">
        <w:rPr>
          <w:rFonts w:eastAsia="Times New Roman" w:cstheme="minorHAnsi"/>
          <w:sz w:val="24"/>
          <w:szCs w:val="24"/>
          <w:lang w:eastAsia="pt-BR"/>
        </w:rPr>
        <w:t>Os municípios são os legítimos responsáveis pela regularização de loteamentos urbanos irregulares, em virtude de serem os entes encarregados de disciplinar o uso, ocupação e parcelamento do solo.</w:t>
      </w:r>
    </w:p>
    <w:p w14:paraId="72E206A8" w14:textId="77777777" w:rsidR="00E0085E" w:rsidRPr="00E0085E" w:rsidRDefault="00E0085E" w:rsidP="007C2369">
      <w:pPr>
        <w:shd w:val="clear" w:color="auto" w:fill="FFFFFF"/>
        <w:spacing w:after="0" w:line="360" w:lineRule="auto"/>
        <w:jc w:val="both"/>
        <w:rPr>
          <w:rFonts w:eastAsia="Times New Roman" w:cstheme="minorHAnsi"/>
          <w:sz w:val="24"/>
          <w:szCs w:val="24"/>
          <w:lang w:eastAsia="pt-BR"/>
        </w:rPr>
      </w:pPr>
      <w:r w:rsidRPr="00E0085E">
        <w:rPr>
          <w:rFonts w:eastAsia="Times New Roman" w:cstheme="minorHAnsi"/>
          <w:sz w:val="24"/>
          <w:szCs w:val="24"/>
          <w:lang w:eastAsia="pt-BR"/>
        </w:rPr>
        <w:t>Uma das decisões sintetiza a posição do STJ sobre o assunto: “É pacífico o entendimento desta Corte Superior de que o Município tem o poder-dever de agir para fiscalizar e regularizar loteamento irregular, pois é o responsável pelo parcelamento, uso e ocupação do solo urbano, atividade essa que é vinculada, e não discricionária”.</w:t>
      </w:r>
    </w:p>
    <w:p w14:paraId="64265F94" w14:textId="77777777" w:rsidR="00E0085E" w:rsidRPr="00E0085E" w:rsidRDefault="00E0085E" w:rsidP="007C2369">
      <w:pPr>
        <w:shd w:val="clear" w:color="auto" w:fill="FFFFFF"/>
        <w:spacing w:after="0" w:line="360" w:lineRule="auto"/>
        <w:jc w:val="both"/>
        <w:rPr>
          <w:rFonts w:eastAsia="Times New Roman" w:cstheme="minorHAnsi"/>
          <w:sz w:val="24"/>
          <w:szCs w:val="24"/>
          <w:lang w:eastAsia="pt-BR"/>
        </w:rPr>
      </w:pPr>
      <w:r w:rsidRPr="007C2369">
        <w:rPr>
          <w:rFonts w:eastAsia="Times New Roman" w:cstheme="minorHAnsi"/>
          <w:bCs/>
          <w:sz w:val="24"/>
          <w:szCs w:val="24"/>
          <w:lang w:eastAsia="pt-BR"/>
        </w:rPr>
        <w:t>Benfeitorias</w:t>
      </w:r>
    </w:p>
    <w:p w14:paraId="2F2DA295" w14:textId="77777777" w:rsidR="00E0085E" w:rsidRPr="00E0085E" w:rsidRDefault="00E0085E" w:rsidP="007C2369">
      <w:pPr>
        <w:shd w:val="clear" w:color="auto" w:fill="FFFFFF"/>
        <w:spacing w:after="0" w:line="360" w:lineRule="auto"/>
        <w:jc w:val="both"/>
        <w:rPr>
          <w:rFonts w:eastAsia="Times New Roman" w:cstheme="minorHAnsi"/>
          <w:sz w:val="24"/>
          <w:szCs w:val="24"/>
          <w:lang w:eastAsia="pt-BR"/>
        </w:rPr>
      </w:pPr>
      <w:r w:rsidRPr="00E0085E">
        <w:rPr>
          <w:rFonts w:eastAsia="Times New Roman" w:cstheme="minorHAnsi"/>
          <w:sz w:val="24"/>
          <w:szCs w:val="24"/>
          <w:lang w:eastAsia="pt-BR"/>
        </w:rPr>
        <w:t>Com base nesse entendimento, os ministros rejeitam ações de municípios, por exemplo, com o objetivo de se eximirem da responsabilidade. Nas decisões elencadas, é possível observar que os municípios podem até mesmo cobrar dos particulares as benfeitorias realizadas, mas não podem se abster de proceder à regularização.</w:t>
      </w:r>
    </w:p>
    <w:p w14:paraId="04C3049A" w14:textId="77777777" w:rsidR="00E0085E" w:rsidRPr="00E0085E" w:rsidRDefault="00E0085E" w:rsidP="007C2369">
      <w:pPr>
        <w:shd w:val="clear" w:color="auto" w:fill="FFFFFF"/>
        <w:spacing w:after="0" w:line="360" w:lineRule="auto"/>
        <w:jc w:val="both"/>
        <w:rPr>
          <w:rFonts w:eastAsia="Times New Roman" w:cstheme="minorHAnsi"/>
          <w:sz w:val="24"/>
          <w:szCs w:val="24"/>
          <w:lang w:eastAsia="pt-BR"/>
        </w:rPr>
      </w:pPr>
      <w:r w:rsidRPr="00E0085E">
        <w:rPr>
          <w:rFonts w:eastAsia="Times New Roman" w:cstheme="minorHAnsi"/>
          <w:sz w:val="24"/>
          <w:szCs w:val="24"/>
          <w:lang w:eastAsia="pt-BR"/>
        </w:rPr>
        <w:t xml:space="preserve">“É subsidiária a responsabilidade do ente municipal pelas obras de infraestrutura necessárias à regularização de loteamento privado, quando ainda é possível cobrar do </w:t>
      </w:r>
      <w:r w:rsidRPr="00E0085E">
        <w:rPr>
          <w:rFonts w:eastAsia="Times New Roman" w:cstheme="minorHAnsi"/>
          <w:sz w:val="24"/>
          <w:szCs w:val="24"/>
          <w:lang w:eastAsia="pt-BR"/>
        </w:rPr>
        <w:lastRenderedPageBreak/>
        <w:t>loteador o cumprimento de suas obrigações”, resume outro acórdão selecionado na pesquisa.</w:t>
      </w:r>
    </w:p>
    <w:p w14:paraId="48942C96" w14:textId="77777777" w:rsidR="00E0085E" w:rsidRPr="00E0085E" w:rsidRDefault="00E0085E" w:rsidP="007C2369">
      <w:pPr>
        <w:shd w:val="clear" w:color="auto" w:fill="FFFFFF"/>
        <w:spacing w:after="0" w:line="360" w:lineRule="auto"/>
        <w:jc w:val="both"/>
        <w:rPr>
          <w:rFonts w:eastAsia="Times New Roman" w:cstheme="minorHAnsi"/>
          <w:sz w:val="24"/>
          <w:szCs w:val="24"/>
          <w:lang w:eastAsia="pt-BR"/>
        </w:rPr>
      </w:pPr>
      <w:r w:rsidRPr="00E0085E">
        <w:rPr>
          <w:rFonts w:eastAsia="Times New Roman" w:cstheme="minorHAnsi"/>
          <w:sz w:val="24"/>
          <w:szCs w:val="24"/>
          <w:lang w:eastAsia="pt-BR"/>
        </w:rPr>
        <w:t xml:space="preserve">As decisões também implicam a legitimidade dos </w:t>
      </w:r>
      <w:r w:rsidR="003F4BCE" w:rsidRPr="00E0085E">
        <w:rPr>
          <w:rFonts w:eastAsia="Times New Roman" w:cstheme="minorHAnsi"/>
          <w:sz w:val="24"/>
          <w:szCs w:val="24"/>
          <w:lang w:eastAsia="pt-BR"/>
        </w:rPr>
        <w:t>municípios de</w:t>
      </w:r>
      <w:r w:rsidRPr="00E0085E">
        <w:rPr>
          <w:rFonts w:eastAsia="Times New Roman" w:cstheme="minorHAnsi"/>
          <w:sz w:val="24"/>
          <w:szCs w:val="24"/>
          <w:lang w:eastAsia="pt-BR"/>
        </w:rPr>
        <w:t xml:space="preserve"> figurarem como réus em ações civis públicas que buscam a regularização destes espaços ou até mesmo em demandas que buscam ressarcimento decorrente de dano ambiental, entre outras possibilidades.</w:t>
      </w:r>
    </w:p>
    <w:p w14:paraId="777F4982" w14:textId="77777777" w:rsidR="00E0085E" w:rsidRPr="00E0085E" w:rsidRDefault="00E0085E" w:rsidP="007C2369">
      <w:pPr>
        <w:spacing w:after="0" w:line="360" w:lineRule="auto"/>
        <w:jc w:val="both"/>
        <w:textAlignment w:val="center"/>
        <w:rPr>
          <w:rFonts w:eastAsia="Times New Roman" w:cstheme="minorHAnsi"/>
          <w:b/>
          <w:bCs/>
          <w:sz w:val="24"/>
          <w:szCs w:val="24"/>
          <w:shd w:val="clear" w:color="auto" w:fill="FFFFFF"/>
          <w:lang w:eastAsia="pt-BR"/>
        </w:rPr>
      </w:pPr>
    </w:p>
    <w:p w14:paraId="69340A51" w14:textId="77777777" w:rsidR="00E0085E" w:rsidRPr="00E0085E" w:rsidRDefault="00E0085E" w:rsidP="007C2369">
      <w:pPr>
        <w:spacing w:after="0" w:line="360" w:lineRule="auto"/>
        <w:jc w:val="both"/>
        <w:textAlignment w:val="center"/>
        <w:rPr>
          <w:rFonts w:cstheme="minorHAnsi"/>
          <w:sz w:val="24"/>
          <w:szCs w:val="24"/>
        </w:rPr>
      </w:pPr>
      <w:r w:rsidRPr="00E0085E">
        <w:rPr>
          <w:rFonts w:cstheme="minorHAnsi"/>
          <w:sz w:val="24"/>
          <w:szCs w:val="24"/>
        </w:rPr>
        <w:t>PROCESSUAL CIVIL. ADMINISTRATIVO. RESPONSABILIDADE DO MUNICÍPIO. LOTEAMENTO. OBRAS DE INFRAESTRUTURA. EXEGESE DO ART. 40 DA LEI 6.766/79. DISCRICIONARIEDADE ADMINISTRATIVA. 1. Segundo entendimento do Superior Tribunal de Justiça, "o Município tem o poder-dever de agir para fiscalizar e regularizar loteamento irregular, pois é o responsável pelo parcelamento, uso e ocupação do solo urbano, atividade essa que é vinculada" (</w:t>
      </w:r>
      <w:proofErr w:type="spellStart"/>
      <w:r w:rsidRPr="00E0085E">
        <w:rPr>
          <w:rFonts w:cstheme="minorHAnsi"/>
          <w:sz w:val="24"/>
          <w:szCs w:val="24"/>
        </w:rPr>
        <w:t>AgRg</w:t>
      </w:r>
      <w:proofErr w:type="spellEnd"/>
      <w:r w:rsidRPr="00E0085E">
        <w:rPr>
          <w:rFonts w:cstheme="minorHAnsi"/>
          <w:sz w:val="24"/>
          <w:szCs w:val="24"/>
        </w:rPr>
        <w:t xml:space="preserve"> no </w:t>
      </w:r>
      <w:proofErr w:type="spellStart"/>
      <w:r w:rsidRPr="00E0085E">
        <w:rPr>
          <w:rFonts w:cstheme="minorHAnsi"/>
          <w:sz w:val="24"/>
          <w:szCs w:val="24"/>
        </w:rPr>
        <w:t>AREsp</w:t>
      </w:r>
      <w:proofErr w:type="spellEnd"/>
      <w:r w:rsidRPr="00E0085E">
        <w:rPr>
          <w:rFonts w:cstheme="minorHAnsi"/>
          <w:sz w:val="24"/>
          <w:szCs w:val="24"/>
        </w:rPr>
        <w:t xml:space="preserve"> 446.051/SP, Rel. Ministro Herman Benjamin, Segunda Turma, julgado em 27/03/2014, DJe 22/04/2014). 2. Todavia, "o art. 40 da Lei n. 6.766/1979 concede ao município o direito e não a obrigação de realização de obras de infraestruturas em loteamento, o que revela uma faculdade do ente federativo, sob o critério de conveniência e oportunidade" (</w:t>
      </w:r>
      <w:proofErr w:type="spellStart"/>
      <w:r w:rsidRPr="00E0085E">
        <w:rPr>
          <w:rFonts w:cstheme="minorHAnsi"/>
          <w:sz w:val="24"/>
          <w:szCs w:val="24"/>
        </w:rPr>
        <w:t>REsp</w:t>
      </w:r>
      <w:proofErr w:type="spellEnd"/>
      <w:r w:rsidRPr="00E0085E">
        <w:rPr>
          <w:rFonts w:cstheme="minorHAnsi"/>
          <w:sz w:val="24"/>
          <w:szCs w:val="24"/>
        </w:rPr>
        <w:t xml:space="preserve"> 859.905/RS, Rel. Ministro Mauro Campbell Marques, Rel. p/ Acórdão Ministro Cesar </w:t>
      </w:r>
      <w:proofErr w:type="spellStart"/>
      <w:r w:rsidRPr="00E0085E">
        <w:rPr>
          <w:rFonts w:cstheme="minorHAnsi"/>
          <w:sz w:val="24"/>
          <w:szCs w:val="24"/>
        </w:rPr>
        <w:t>Asfor</w:t>
      </w:r>
      <w:proofErr w:type="spellEnd"/>
      <w:r w:rsidRPr="00E0085E">
        <w:rPr>
          <w:rFonts w:cstheme="minorHAnsi"/>
          <w:sz w:val="24"/>
          <w:szCs w:val="24"/>
        </w:rPr>
        <w:t xml:space="preserve"> Rocha, Segunda Turma, julgado em 1º/09/2011, DJe 16/03/2012). Agravo regimental improvido.</w:t>
      </w:r>
    </w:p>
    <w:p w14:paraId="0C7CBCA4" w14:textId="77777777" w:rsidR="00E0085E" w:rsidRPr="00BB110D" w:rsidRDefault="00E0085E" w:rsidP="00BB110D">
      <w:pPr>
        <w:spacing w:after="0" w:line="360" w:lineRule="auto"/>
        <w:jc w:val="both"/>
        <w:textAlignment w:val="center"/>
        <w:rPr>
          <w:rFonts w:cstheme="minorHAnsi"/>
          <w:sz w:val="24"/>
          <w:szCs w:val="24"/>
        </w:rPr>
      </w:pPr>
      <w:r w:rsidRPr="00E0085E">
        <w:rPr>
          <w:rFonts w:cstheme="minorHAnsi"/>
          <w:sz w:val="24"/>
          <w:szCs w:val="24"/>
        </w:rPr>
        <w:t xml:space="preserve">(STJ, </w:t>
      </w:r>
      <w:proofErr w:type="spellStart"/>
      <w:r w:rsidRPr="00E0085E">
        <w:rPr>
          <w:rFonts w:cstheme="minorHAnsi"/>
          <w:sz w:val="24"/>
          <w:szCs w:val="24"/>
        </w:rPr>
        <w:t>AgRg</w:t>
      </w:r>
      <w:proofErr w:type="spellEnd"/>
      <w:r w:rsidRPr="00E0085E">
        <w:rPr>
          <w:rFonts w:cstheme="minorHAnsi"/>
          <w:sz w:val="24"/>
          <w:szCs w:val="24"/>
        </w:rPr>
        <w:t xml:space="preserve"> no RECURSO ESPECIAL Nº 1.459.774 - RS (2014/0036708-4), </w:t>
      </w:r>
      <w:proofErr w:type="gramStart"/>
      <w:r w:rsidRPr="00E0085E">
        <w:rPr>
          <w:rFonts w:cstheme="minorHAnsi"/>
          <w:sz w:val="24"/>
          <w:szCs w:val="24"/>
        </w:rPr>
        <w:t>RELATOR :</w:t>
      </w:r>
      <w:proofErr w:type="gramEnd"/>
      <w:r w:rsidRPr="00E0085E">
        <w:rPr>
          <w:rFonts w:cstheme="minorHAnsi"/>
          <w:sz w:val="24"/>
          <w:szCs w:val="24"/>
        </w:rPr>
        <w:t xml:space="preserve"> MINISTRO HUMBERTO MARTINS, AGRAVANTE : MINISTÉRIO PÚBLICO DO ESTADO DO RIO GRANDE DO SUL, AGRAVADO : MUNICÍPIO DE CAXIAS DO SUL, INTERES. : ÁLVARO WILSON COVOLAN, INTERES. : GERVIS DAMIAN).</w:t>
      </w:r>
    </w:p>
    <w:p w14:paraId="285D92AE" w14:textId="77777777" w:rsidR="00E0085E" w:rsidRPr="00BB110D" w:rsidRDefault="00E0085E" w:rsidP="00BB110D">
      <w:pPr>
        <w:spacing w:after="0" w:line="360" w:lineRule="auto"/>
        <w:jc w:val="both"/>
        <w:textAlignment w:val="center"/>
        <w:rPr>
          <w:rFonts w:ascii="Verdana" w:eastAsia="Times New Roman" w:hAnsi="Verdana" w:cs="Times New Roman"/>
          <w:b/>
          <w:bCs/>
          <w:color w:val="414F55"/>
          <w:sz w:val="24"/>
          <w:szCs w:val="24"/>
          <w:shd w:val="clear" w:color="auto" w:fill="FFFFFF"/>
          <w:lang w:eastAsia="pt-BR"/>
        </w:rPr>
      </w:pPr>
    </w:p>
    <w:p w14:paraId="28D0F268" w14:textId="77777777" w:rsidR="003F4BCE" w:rsidRPr="00E0085E" w:rsidRDefault="003F4BCE" w:rsidP="00BB110D">
      <w:pPr>
        <w:spacing w:after="0" w:line="360" w:lineRule="auto"/>
        <w:jc w:val="both"/>
        <w:textAlignment w:val="center"/>
        <w:rPr>
          <w:rFonts w:ascii="Verdana" w:eastAsia="Times New Roman" w:hAnsi="Verdana" w:cs="Times New Roman"/>
          <w:b/>
          <w:bCs/>
          <w:color w:val="414F55"/>
          <w:sz w:val="24"/>
          <w:szCs w:val="24"/>
          <w:shd w:val="clear" w:color="auto" w:fill="FFFFFF"/>
          <w:lang w:eastAsia="pt-BR"/>
        </w:rPr>
      </w:pPr>
    </w:p>
    <w:p w14:paraId="72F04769" w14:textId="77777777" w:rsidR="003F4BCE" w:rsidRDefault="003F4BCE" w:rsidP="00BB110D">
      <w:pPr>
        <w:spacing w:after="0" w:line="360" w:lineRule="auto"/>
        <w:jc w:val="both"/>
        <w:rPr>
          <w:sz w:val="24"/>
          <w:szCs w:val="24"/>
        </w:rPr>
      </w:pPr>
      <w:r w:rsidRPr="00BB110D">
        <w:rPr>
          <w:b/>
          <w:sz w:val="24"/>
          <w:szCs w:val="24"/>
        </w:rPr>
        <w:t xml:space="preserve">3) </w:t>
      </w:r>
      <w:r w:rsidRPr="00BB110D">
        <w:rPr>
          <w:sz w:val="24"/>
          <w:szCs w:val="24"/>
        </w:rPr>
        <w:t xml:space="preserve">Associação de proteção aos animais, sediada na cidade do Rio de Janeiro, promoveu ação civil pública visando a proibir a realização de provas de laço em rodeios, realizadas em determinada cidade do interior de São Paulo. Alega a associação autora que tais provas, com frequência, lesionam os animais participantes, causando-lhes dor e chegando a matá-los. A associação autora pode ser considerada parte legítima para </w:t>
      </w:r>
      <w:r w:rsidRPr="00BB110D">
        <w:rPr>
          <w:sz w:val="24"/>
          <w:szCs w:val="24"/>
        </w:rPr>
        <w:lastRenderedPageBreak/>
        <w:t xml:space="preserve">propositura dessa ação? Em sua fundamentação leve em conta os requisitos legais de legitimidade e a natureza do bem jurídico protegido. </w:t>
      </w:r>
    </w:p>
    <w:p w14:paraId="06F079DD" w14:textId="77777777" w:rsidR="006C2C8A" w:rsidRPr="006C2C8A" w:rsidRDefault="006C2C8A" w:rsidP="00BB110D">
      <w:pPr>
        <w:spacing w:after="0" w:line="360" w:lineRule="auto"/>
        <w:jc w:val="both"/>
        <w:rPr>
          <w:b/>
          <w:color w:val="FF0000"/>
          <w:sz w:val="24"/>
          <w:szCs w:val="24"/>
        </w:rPr>
      </w:pPr>
      <w:r w:rsidRPr="006C2C8A">
        <w:rPr>
          <w:b/>
          <w:color w:val="FF0000"/>
          <w:sz w:val="24"/>
          <w:szCs w:val="24"/>
        </w:rPr>
        <w:t>Temas do problema:</w:t>
      </w:r>
    </w:p>
    <w:p w14:paraId="527FCA5B" w14:textId="77777777" w:rsidR="006C2C8A" w:rsidRDefault="006C2C8A" w:rsidP="00BB110D">
      <w:pPr>
        <w:spacing w:after="0" w:line="360" w:lineRule="auto"/>
        <w:jc w:val="both"/>
        <w:rPr>
          <w:color w:val="FF0000"/>
          <w:sz w:val="24"/>
          <w:szCs w:val="24"/>
        </w:rPr>
      </w:pPr>
      <w:r w:rsidRPr="006C2C8A">
        <w:rPr>
          <w:color w:val="FF0000"/>
          <w:sz w:val="24"/>
          <w:szCs w:val="24"/>
        </w:rPr>
        <w:t>-</w:t>
      </w:r>
      <w:r>
        <w:rPr>
          <w:color w:val="FF0000"/>
          <w:sz w:val="24"/>
          <w:szCs w:val="24"/>
        </w:rPr>
        <w:t>Há limitação territorial quanto à legitimação das associações?</w:t>
      </w:r>
    </w:p>
    <w:p w14:paraId="0B82F24F" w14:textId="77777777" w:rsidR="006C2C8A" w:rsidRPr="006C2C8A" w:rsidRDefault="006C2C8A" w:rsidP="00BB110D">
      <w:pPr>
        <w:spacing w:after="0" w:line="360" w:lineRule="auto"/>
        <w:jc w:val="both"/>
        <w:rPr>
          <w:color w:val="FF0000"/>
          <w:sz w:val="24"/>
          <w:szCs w:val="24"/>
        </w:rPr>
      </w:pPr>
      <w:r>
        <w:rPr>
          <w:color w:val="FF0000"/>
          <w:sz w:val="24"/>
          <w:szCs w:val="24"/>
        </w:rPr>
        <w:t>-Exige-se, na verificação da pertinência temática, também a ligação territorial?</w:t>
      </w:r>
    </w:p>
    <w:p w14:paraId="39966DBB" w14:textId="77777777" w:rsidR="003F4BCE" w:rsidRPr="00BB110D" w:rsidRDefault="003F4BCE" w:rsidP="00BB110D">
      <w:pPr>
        <w:spacing w:after="0" w:line="360" w:lineRule="auto"/>
        <w:jc w:val="both"/>
        <w:rPr>
          <w:sz w:val="24"/>
          <w:szCs w:val="24"/>
        </w:rPr>
      </w:pPr>
    </w:p>
    <w:p w14:paraId="5AFC7F24" w14:textId="77777777" w:rsidR="008B0E70" w:rsidRDefault="003F4BCE" w:rsidP="00BB110D">
      <w:pPr>
        <w:spacing w:after="0" w:line="360" w:lineRule="auto"/>
        <w:jc w:val="both"/>
        <w:rPr>
          <w:sz w:val="24"/>
          <w:szCs w:val="24"/>
        </w:rPr>
      </w:pPr>
      <w:r w:rsidRPr="00BB110D">
        <w:rPr>
          <w:b/>
          <w:sz w:val="24"/>
          <w:szCs w:val="24"/>
        </w:rPr>
        <w:t>Respostas:</w:t>
      </w:r>
      <w:r w:rsidRPr="00BB110D">
        <w:rPr>
          <w:sz w:val="24"/>
          <w:szCs w:val="24"/>
        </w:rPr>
        <w:t xml:space="preserve"> </w:t>
      </w:r>
    </w:p>
    <w:p w14:paraId="23A66A9C" w14:textId="77777777" w:rsidR="003F4BCE" w:rsidRDefault="00667CAB" w:rsidP="00BB110D">
      <w:pPr>
        <w:spacing w:after="0" w:line="360" w:lineRule="auto"/>
        <w:jc w:val="both"/>
        <w:rPr>
          <w:rFonts w:cstheme="minorHAnsi"/>
          <w:color w:val="000000"/>
          <w:sz w:val="24"/>
          <w:szCs w:val="24"/>
          <w:shd w:val="clear" w:color="auto" w:fill="FFFFFF"/>
        </w:rPr>
      </w:pPr>
      <w:r>
        <w:rPr>
          <w:rFonts w:cstheme="minorHAnsi"/>
          <w:sz w:val="24"/>
          <w:szCs w:val="24"/>
        </w:rPr>
        <w:t>Salvo melhor juízo, a</w:t>
      </w:r>
      <w:r w:rsidR="000E535F" w:rsidRPr="000E535F">
        <w:rPr>
          <w:rFonts w:cstheme="minorHAnsi"/>
          <w:sz w:val="24"/>
          <w:szCs w:val="24"/>
        </w:rPr>
        <w:t xml:space="preserve"> associação é parte legítima, desde que </w:t>
      </w:r>
      <w:r w:rsidR="000E535F" w:rsidRPr="000E535F">
        <w:rPr>
          <w:rFonts w:cstheme="minorHAnsi"/>
          <w:color w:val="000000"/>
          <w:sz w:val="24"/>
          <w:szCs w:val="24"/>
          <w:shd w:val="clear" w:color="auto" w:fill="FFFFFF"/>
        </w:rPr>
        <w:t>legalmente constituídas há pelo menos um ano e que incluam entre seus fins institucionais a defesa dos interesses e direitos protegidos por este código, dispensada a autorização assemblear.</w:t>
      </w:r>
    </w:p>
    <w:p w14:paraId="4254B70B" w14:textId="77777777" w:rsidR="00667CAB" w:rsidRDefault="00667CAB" w:rsidP="00BB110D">
      <w:pPr>
        <w:spacing w:after="0" w:line="360" w:lineRule="auto"/>
        <w:jc w:val="both"/>
        <w:rPr>
          <w:rFonts w:cstheme="minorHAnsi"/>
          <w:color w:val="000000"/>
          <w:sz w:val="24"/>
          <w:szCs w:val="24"/>
          <w:shd w:val="clear" w:color="auto" w:fill="FFFFFF"/>
        </w:rPr>
      </w:pPr>
      <w:r>
        <w:rPr>
          <w:rFonts w:cstheme="minorHAnsi"/>
          <w:color w:val="000000"/>
          <w:sz w:val="24"/>
          <w:szCs w:val="24"/>
          <w:shd w:val="clear" w:color="auto" w:fill="FFFFFF"/>
        </w:rPr>
        <w:t>Além disso, a jurisprudência entende que a filiação deve ter ocorrido na petição inicial, com menção expressa dos associados.</w:t>
      </w:r>
    </w:p>
    <w:p w14:paraId="46FEE8B4" w14:textId="77777777" w:rsidR="00667CAB" w:rsidRPr="000E535F" w:rsidRDefault="00667CAB" w:rsidP="00BB110D">
      <w:pPr>
        <w:spacing w:after="0" w:line="360" w:lineRule="auto"/>
        <w:jc w:val="both"/>
        <w:rPr>
          <w:rFonts w:cstheme="minorHAnsi"/>
          <w:b/>
          <w:sz w:val="24"/>
          <w:szCs w:val="24"/>
        </w:rPr>
      </w:pPr>
    </w:p>
    <w:p w14:paraId="3C3214B6" w14:textId="77777777" w:rsidR="003F4BCE" w:rsidRPr="00BB110D" w:rsidRDefault="00EE4134" w:rsidP="00BB110D">
      <w:pPr>
        <w:spacing w:after="0" w:line="360" w:lineRule="auto"/>
        <w:jc w:val="both"/>
        <w:rPr>
          <w:sz w:val="24"/>
          <w:szCs w:val="24"/>
        </w:rPr>
      </w:pPr>
      <w:r>
        <w:rPr>
          <w:sz w:val="24"/>
          <w:szCs w:val="24"/>
        </w:rPr>
        <w:t xml:space="preserve">O art. 225, VII da CR/88 proíbe </w:t>
      </w:r>
      <w:r w:rsidR="00BB110D" w:rsidRPr="00BB110D">
        <w:rPr>
          <w:sz w:val="24"/>
          <w:szCs w:val="24"/>
        </w:rPr>
        <w:t>a prática de qualquer ato que submeta os animais a situação de tortura ou crueldade, a Lei Federal 10.519/2002, considera o rodeio um esporte legal, dispondo sobre a promoção e fiscalização da defesa sanitária animal quando da realização do rodeio. Por sua vez, no âmbito estadual</w:t>
      </w:r>
      <w:r>
        <w:rPr>
          <w:sz w:val="24"/>
          <w:szCs w:val="24"/>
        </w:rPr>
        <w:t xml:space="preserve"> (MG)</w:t>
      </w:r>
      <w:r w:rsidR="00BB110D" w:rsidRPr="00BB110D">
        <w:rPr>
          <w:sz w:val="24"/>
          <w:szCs w:val="24"/>
        </w:rPr>
        <w:t>, a Lei 13.605/2000, também aponta as condições para a proteção e a integridade física dos animais do rodeio.</w:t>
      </w:r>
    </w:p>
    <w:p w14:paraId="6851635B" w14:textId="77777777" w:rsidR="00BB110D" w:rsidRPr="00BB110D" w:rsidRDefault="00BB110D" w:rsidP="00BB110D">
      <w:pPr>
        <w:spacing w:after="0" w:line="360" w:lineRule="auto"/>
        <w:jc w:val="both"/>
        <w:rPr>
          <w:sz w:val="24"/>
          <w:szCs w:val="24"/>
        </w:rPr>
      </w:pPr>
    </w:p>
    <w:p w14:paraId="155D80B7" w14:textId="77777777" w:rsidR="00BB110D" w:rsidRPr="00BB110D" w:rsidRDefault="00BB110D" w:rsidP="00BB110D">
      <w:pPr>
        <w:spacing w:after="0" w:line="360" w:lineRule="auto"/>
        <w:jc w:val="both"/>
        <w:rPr>
          <w:sz w:val="24"/>
          <w:szCs w:val="24"/>
        </w:rPr>
      </w:pPr>
    </w:p>
    <w:p w14:paraId="3F1F9A1D" w14:textId="77777777" w:rsidR="00BB110D" w:rsidRPr="00BB110D" w:rsidRDefault="00BB110D" w:rsidP="00BB110D">
      <w:pPr>
        <w:spacing w:after="0" w:line="360" w:lineRule="auto"/>
        <w:jc w:val="both"/>
        <w:rPr>
          <w:sz w:val="24"/>
          <w:szCs w:val="24"/>
        </w:rPr>
      </w:pPr>
      <w:r w:rsidRPr="00BB110D">
        <w:rPr>
          <w:sz w:val="24"/>
          <w:szCs w:val="24"/>
        </w:rPr>
        <w:t>STJ:</w:t>
      </w:r>
    </w:p>
    <w:p w14:paraId="3A6815C4" w14:textId="77777777" w:rsidR="00BB110D" w:rsidRPr="00DB34CD" w:rsidRDefault="00BB110D" w:rsidP="00BB110D">
      <w:pPr>
        <w:spacing w:after="0" w:line="360" w:lineRule="auto"/>
        <w:jc w:val="both"/>
        <w:rPr>
          <w:i/>
          <w:color w:val="000000"/>
          <w:sz w:val="24"/>
          <w:szCs w:val="24"/>
        </w:rPr>
      </w:pPr>
      <w:r w:rsidRPr="00DB34CD">
        <w:rPr>
          <w:i/>
          <w:color w:val="000000"/>
          <w:sz w:val="24"/>
          <w:szCs w:val="24"/>
        </w:rPr>
        <w:t>“PROCESSO CIVIL - RECURSO ESPECIAL - FESTA DE PEÃO DE BOIADEIRO - UTILIZAÇÃO DE PETRECHOS QUE SUPOSTAMENTE CONFIGURAM EM CRUELDADE COM OS ANIMAIS - SEDÉM - LAUDOS PERICIAIS EXAMINADOS EM 1ª E 2º GRAUS - APÓS EXAMINADAS AS PROVAS, FOI CONSTATADA A IMPOSSIBILIDADE DE AFERIR A REAÇÃO CAUSADA NO ANIMAL - AFASTADA A HIPÓTESE DE CRUELDADE - PRETENDIDA REFORMA - NÃO-ACOLHIMENTO - CONDENAÇÃO DO MINISTÉRIO PÚBLICO EM HONORÁRIOS - RECURSOS ESPECIAIS DO </w:t>
      </w:r>
      <w:r w:rsidRPr="00DB34CD">
        <w:rPr>
          <w:i/>
          <w:iCs/>
          <w:color w:val="000000"/>
          <w:sz w:val="24"/>
          <w:szCs w:val="24"/>
        </w:rPr>
        <w:t>PARQUET</w:t>
      </w:r>
      <w:r w:rsidRPr="00DB34CD">
        <w:rPr>
          <w:i/>
          <w:color w:val="000000"/>
          <w:sz w:val="24"/>
          <w:szCs w:val="24"/>
        </w:rPr>
        <w:t xml:space="preserve"> E DA UNIÃO PROTETORA DOS ANIMAIS - INCIDÊNCIA DA SÚMULA N. 7 DO STJ - RECURSO INTERPOSTO PELA LETRA "B" NÃO-CONHECIDO, EM RAZÃO DA AUSÊNCIA DE PREQUESTIONAMENTO - ACOLHIDA, EM PARTE, DO RECURSO </w:t>
      </w:r>
      <w:r w:rsidRPr="00DB34CD">
        <w:rPr>
          <w:i/>
          <w:color w:val="000000"/>
          <w:sz w:val="24"/>
          <w:szCs w:val="24"/>
        </w:rPr>
        <w:lastRenderedPageBreak/>
        <w:t>DO MINISTÉRIO PÚBLICO PARA AFASTAR A CONDENAÇÃO EM HONORÁRIOS ADVOCATÍCIOS.”</w:t>
      </w:r>
    </w:p>
    <w:p w14:paraId="4617C1C4" w14:textId="77777777" w:rsidR="00BB110D" w:rsidRPr="00BD7D94" w:rsidRDefault="00BB110D" w:rsidP="00DB34CD">
      <w:pPr>
        <w:spacing w:after="0" w:line="360" w:lineRule="auto"/>
        <w:jc w:val="both"/>
        <w:rPr>
          <w:rFonts w:cstheme="minorHAnsi"/>
          <w:color w:val="000000"/>
          <w:sz w:val="24"/>
          <w:szCs w:val="24"/>
        </w:rPr>
      </w:pPr>
      <w:r w:rsidRPr="00BB110D">
        <w:rPr>
          <w:color w:val="000000"/>
          <w:sz w:val="24"/>
          <w:szCs w:val="24"/>
        </w:rPr>
        <w:t xml:space="preserve">(STJ, </w:t>
      </w:r>
      <w:proofErr w:type="spellStart"/>
      <w:r w:rsidRPr="00DB34CD">
        <w:rPr>
          <w:rFonts w:cstheme="minorHAnsi"/>
          <w:color w:val="000000"/>
          <w:sz w:val="24"/>
          <w:szCs w:val="24"/>
        </w:rPr>
        <w:t>REsp</w:t>
      </w:r>
      <w:proofErr w:type="spellEnd"/>
      <w:r w:rsidRPr="00DB34CD">
        <w:rPr>
          <w:rFonts w:cstheme="minorHAnsi"/>
          <w:color w:val="000000"/>
          <w:sz w:val="24"/>
          <w:szCs w:val="24"/>
        </w:rPr>
        <w:t xml:space="preserve"> 363.949-</w:t>
      </w:r>
      <w:r w:rsidRPr="00BD7D94">
        <w:rPr>
          <w:rFonts w:cstheme="minorHAnsi"/>
          <w:color w:val="000000"/>
          <w:sz w:val="24"/>
          <w:szCs w:val="24"/>
        </w:rPr>
        <w:t xml:space="preserve">SP, Relator Ministro </w:t>
      </w:r>
      <w:proofErr w:type="spellStart"/>
      <w:r w:rsidRPr="00BD7D94">
        <w:rPr>
          <w:rFonts w:cstheme="minorHAnsi"/>
          <w:color w:val="000000"/>
          <w:sz w:val="24"/>
          <w:szCs w:val="24"/>
        </w:rPr>
        <w:t>Franciulli</w:t>
      </w:r>
      <w:proofErr w:type="spellEnd"/>
      <w:r w:rsidRPr="00BD7D94">
        <w:rPr>
          <w:rFonts w:cstheme="minorHAnsi"/>
          <w:color w:val="000000"/>
          <w:sz w:val="24"/>
          <w:szCs w:val="24"/>
        </w:rPr>
        <w:t xml:space="preserve"> Netto, Recorrente: MP/SP, Recorrente: União Internacional Protetora dos animais – UIPA, Recorrido: Município de São Bernardo do Campo).</w:t>
      </w:r>
    </w:p>
    <w:p w14:paraId="18715392" w14:textId="77777777" w:rsidR="00DB34CD" w:rsidRPr="00BD7D94" w:rsidRDefault="00DB34CD" w:rsidP="00DB34CD">
      <w:pPr>
        <w:spacing w:after="0" w:line="360" w:lineRule="auto"/>
        <w:jc w:val="both"/>
        <w:rPr>
          <w:rFonts w:cstheme="minorHAnsi"/>
          <w:color w:val="000000"/>
          <w:sz w:val="24"/>
          <w:szCs w:val="24"/>
        </w:rPr>
      </w:pPr>
    </w:p>
    <w:p w14:paraId="4E9FD9EF" w14:textId="77777777" w:rsidR="00DB34CD" w:rsidRPr="00BD7D94" w:rsidRDefault="00BD7D94" w:rsidP="00DB34CD">
      <w:pPr>
        <w:spacing w:after="0" w:line="360" w:lineRule="auto"/>
        <w:jc w:val="both"/>
        <w:rPr>
          <w:rFonts w:cstheme="minorHAnsi"/>
          <w:color w:val="000000"/>
          <w:sz w:val="24"/>
          <w:szCs w:val="24"/>
        </w:rPr>
      </w:pPr>
      <w:r w:rsidRPr="00BD7D94">
        <w:rPr>
          <w:rFonts w:cstheme="minorHAnsi"/>
          <w:color w:val="000000"/>
          <w:sz w:val="24"/>
          <w:szCs w:val="24"/>
        </w:rPr>
        <w:t>TJSP:</w:t>
      </w:r>
    </w:p>
    <w:p w14:paraId="6578941E" w14:textId="77777777" w:rsidR="00BD7D94" w:rsidRPr="00BD7D94" w:rsidRDefault="00BD7D94" w:rsidP="00DB34CD">
      <w:pPr>
        <w:spacing w:after="0" w:line="360" w:lineRule="auto"/>
        <w:jc w:val="both"/>
        <w:rPr>
          <w:rFonts w:cstheme="minorHAnsi"/>
          <w:color w:val="000000"/>
          <w:sz w:val="24"/>
          <w:szCs w:val="24"/>
        </w:rPr>
      </w:pPr>
    </w:p>
    <w:p w14:paraId="5DD72B1F" w14:textId="77777777" w:rsidR="00BD7D94" w:rsidRPr="00BD7D94" w:rsidRDefault="00BD7D94" w:rsidP="00DB34CD">
      <w:pPr>
        <w:spacing w:after="0" w:line="360" w:lineRule="auto"/>
        <w:jc w:val="both"/>
        <w:rPr>
          <w:rFonts w:cstheme="minorHAnsi"/>
          <w:color w:val="000000"/>
          <w:sz w:val="24"/>
          <w:szCs w:val="24"/>
        </w:rPr>
      </w:pPr>
      <w:r w:rsidRPr="00BD7D94">
        <w:rPr>
          <w:rFonts w:cstheme="minorHAnsi"/>
          <w:i/>
          <w:color w:val="000000"/>
          <w:sz w:val="24"/>
          <w:szCs w:val="24"/>
          <w:shd w:val="clear" w:color="auto" w:fill="FFFFFF"/>
        </w:rPr>
        <w:t>“APELAÇÃO – MEIO AMBIENTE – AÇÃO CIVIL PÚBLICA – RODEIOS E PROVAS COM ANIMAIS – Atividades não vedadas por lei – Proibição, apenas, do uso de apetrechos técnicos que causem sofrimento no animal – Provas que podem ser realizadas com atendimento dos critérios, limites e exigências estabelecidas na Lei Federal nº 10.519/02 e da Lei Estadual nº 10.359/99, que disciplinam o uso de tais equipamentos – Declaração de inconstitucionalidade de dispositivos das Leis Municipais nº 1.044/17 e 1.046/17 – Prevalência das disposições da legislação federal e estadual a respeito da matéria – Ausência de demonstração concreta de que os animais foram submetidos a maus tratos no evento realizado – Indenização por danos morais coletivos indevida – RECURSO IMPROVIDO. “</w:t>
      </w:r>
      <w:r w:rsidRPr="00BD7D94">
        <w:rPr>
          <w:rFonts w:cstheme="minorHAnsi"/>
          <w:i/>
          <w:color w:val="000000"/>
          <w:sz w:val="24"/>
          <w:szCs w:val="24"/>
        </w:rPr>
        <w:br/>
      </w:r>
      <w:r w:rsidRPr="00BD7D94">
        <w:rPr>
          <w:rFonts w:cstheme="minorHAnsi"/>
          <w:color w:val="000000"/>
          <w:sz w:val="24"/>
          <w:szCs w:val="24"/>
          <w:shd w:val="clear" w:color="auto" w:fill="FFFFFF"/>
        </w:rPr>
        <w:t>(</w:t>
      </w:r>
      <w:proofErr w:type="gramStart"/>
      <w:r w:rsidRPr="00BD7D94">
        <w:rPr>
          <w:rFonts w:cstheme="minorHAnsi"/>
          <w:color w:val="000000"/>
          <w:sz w:val="24"/>
          <w:szCs w:val="24"/>
          <w:shd w:val="clear" w:color="auto" w:fill="FFFFFF"/>
        </w:rPr>
        <w:t>TJSP;  Apelação</w:t>
      </w:r>
      <w:proofErr w:type="gramEnd"/>
      <w:r w:rsidRPr="00BD7D94">
        <w:rPr>
          <w:rFonts w:cstheme="minorHAnsi"/>
          <w:color w:val="000000"/>
          <w:sz w:val="24"/>
          <w:szCs w:val="24"/>
          <w:shd w:val="clear" w:color="auto" w:fill="FFFFFF"/>
        </w:rPr>
        <w:t xml:space="preserve"> Cível 1000875-13.2017.8.26.0145; Relator (a): </w:t>
      </w:r>
      <w:proofErr w:type="spellStart"/>
      <w:r w:rsidRPr="00BD7D94">
        <w:rPr>
          <w:rFonts w:cstheme="minorHAnsi"/>
          <w:color w:val="000000"/>
          <w:sz w:val="24"/>
          <w:szCs w:val="24"/>
          <w:shd w:val="clear" w:color="auto" w:fill="FFFFFF"/>
        </w:rPr>
        <w:t>Luis</w:t>
      </w:r>
      <w:proofErr w:type="spellEnd"/>
      <w:r w:rsidRPr="00BD7D94">
        <w:rPr>
          <w:rFonts w:cstheme="minorHAnsi"/>
          <w:color w:val="000000"/>
          <w:sz w:val="24"/>
          <w:szCs w:val="24"/>
          <w:shd w:val="clear" w:color="auto" w:fill="FFFFFF"/>
        </w:rPr>
        <w:t xml:space="preserve"> Fernando </w:t>
      </w:r>
      <w:proofErr w:type="spellStart"/>
      <w:r w:rsidRPr="00BD7D94">
        <w:rPr>
          <w:rFonts w:cstheme="minorHAnsi"/>
          <w:color w:val="000000"/>
          <w:sz w:val="24"/>
          <w:szCs w:val="24"/>
          <w:shd w:val="clear" w:color="auto" w:fill="FFFFFF"/>
        </w:rPr>
        <w:t>Nishi</w:t>
      </w:r>
      <w:proofErr w:type="spellEnd"/>
      <w:r w:rsidRPr="00BD7D94">
        <w:rPr>
          <w:rFonts w:cstheme="minorHAnsi"/>
          <w:color w:val="000000"/>
          <w:sz w:val="24"/>
          <w:szCs w:val="24"/>
          <w:shd w:val="clear" w:color="auto" w:fill="FFFFFF"/>
        </w:rPr>
        <w:t>; Órgão Julgador: 2ª Câmara Reservada ao Meio Ambiente; Foro de Conchas - 1ª Vara; Data do Julgamento: 22/09/2015; Data de Registro: 30/03/2020).</w:t>
      </w:r>
    </w:p>
    <w:p w14:paraId="229E3781" w14:textId="77777777" w:rsidR="00BD7D94" w:rsidRPr="00DB34CD" w:rsidRDefault="00BD7D94" w:rsidP="00DB34CD">
      <w:pPr>
        <w:spacing w:after="0" w:line="360" w:lineRule="auto"/>
        <w:jc w:val="both"/>
        <w:rPr>
          <w:rFonts w:cstheme="minorHAnsi"/>
          <w:color w:val="000000"/>
          <w:sz w:val="24"/>
          <w:szCs w:val="24"/>
        </w:rPr>
      </w:pPr>
    </w:p>
    <w:p w14:paraId="2AC41147" w14:textId="77777777" w:rsidR="00DB34CD" w:rsidRDefault="00DB34CD" w:rsidP="00DB34CD">
      <w:pPr>
        <w:spacing w:after="0" w:line="360" w:lineRule="auto"/>
        <w:jc w:val="both"/>
        <w:rPr>
          <w:rFonts w:cstheme="minorHAnsi"/>
          <w:color w:val="000000"/>
          <w:sz w:val="24"/>
          <w:szCs w:val="24"/>
          <w:shd w:val="clear" w:color="auto" w:fill="FFFFFF"/>
        </w:rPr>
      </w:pPr>
      <w:r>
        <w:rPr>
          <w:rFonts w:cstheme="minorHAnsi"/>
          <w:color w:val="000000"/>
          <w:sz w:val="24"/>
          <w:szCs w:val="24"/>
          <w:shd w:val="clear" w:color="auto" w:fill="FFFFFF"/>
        </w:rPr>
        <w:t>“</w:t>
      </w:r>
      <w:r w:rsidRPr="00DB34CD">
        <w:rPr>
          <w:rFonts w:cstheme="minorHAnsi"/>
          <w:i/>
          <w:color w:val="000000"/>
          <w:sz w:val="24"/>
          <w:szCs w:val="24"/>
          <w:shd w:val="clear" w:color="auto" w:fill="FFFFFF"/>
        </w:rPr>
        <w:t xml:space="preserve">AÇÃO CIVIL PÚBLICA AMBIENTAL - AJUIZAMENTO COM O FIM DE COIBIR A REALIZAÇÃO DE PROVA DE RODEIO DENOMINADA BULLDOG - MAUS TRATOS - NÃO RECONHECIMENTO – EXPRESSA AUTORIZAÇÃO LEGAL – ART. 3º, IV, DA LEI Nº 13.364/16 - SENTENÇA DE PROCEDÊNCIA REFORMADA - RECURSO PROVIDO. Conquanto imprescindível o reconhecimento quanto à vedação de práticas, pela Constituição Federal (art. 225, VII), relacionadas a maus tratos, dores, choques e feridas de toda sorte em animais utilizados em rodeios e eventos afins, não há proibição constitucional à presença de animais em eventos voltados à exposição ou à utilização em torneios leiteiros ou desportivos (força, velocidade ou destreza), por não importarem, na essência, em práticas cruéis ou dolorosas, até porque a prova denominada bulldog é </w:t>
      </w:r>
      <w:r w:rsidRPr="00DB34CD">
        <w:rPr>
          <w:rFonts w:cstheme="minorHAnsi"/>
          <w:i/>
          <w:color w:val="000000"/>
          <w:sz w:val="24"/>
          <w:szCs w:val="24"/>
          <w:shd w:val="clear" w:color="auto" w:fill="FFFFFF"/>
        </w:rPr>
        <w:lastRenderedPageBreak/>
        <w:t>expressamente permitida, nos termos da Lei nº 13.364/16."</w:t>
      </w:r>
      <w:r w:rsidRPr="00DB34CD">
        <w:rPr>
          <w:rFonts w:cstheme="minorHAnsi"/>
          <w:color w:val="000000"/>
          <w:sz w:val="24"/>
          <w:szCs w:val="24"/>
        </w:rPr>
        <w:br/>
      </w:r>
      <w:r w:rsidRPr="00DB34CD">
        <w:rPr>
          <w:rFonts w:cstheme="minorHAnsi"/>
          <w:color w:val="000000"/>
          <w:sz w:val="24"/>
          <w:szCs w:val="24"/>
          <w:shd w:val="clear" w:color="auto" w:fill="FFFFFF"/>
        </w:rPr>
        <w:t xml:space="preserve">(TJSP;  Apelação Cível 1006538-88.2014.8.26.0066; Relator (a): Paulo </w:t>
      </w:r>
      <w:proofErr w:type="spellStart"/>
      <w:r w:rsidRPr="00DB34CD">
        <w:rPr>
          <w:rFonts w:cstheme="minorHAnsi"/>
          <w:color w:val="000000"/>
          <w:sz w:val="24"/>
          <w:szCs w:val="24"/>
          <w:shd w:val="clear" w:color="auto" w:fill="FFFFFF"/>
        </w:rPr>
        <w:t>Ayrosa</w:t>
      </w:r>
      <w:proofErr w:type="spellEnd"/>
      <w:r w:rsidRPr="00DB34CD">
        <w:rPr>
          <w:rFonts w:cstheme="minorHAnsi"/>
          <w:color w:val="000000"/>
          <w:sz w:val="24"/>
          <w:szCs w:val="24"/>
          <w:shd w:val="clear" w:color="auto" w:fill="FFFFFF"/>
        </w:rPr>
        <w:t>; Órgão Julgador: 2ª Câmara Reservada ao Meio Ambiente; Foro de Barretos - 2ª Vara Cível; Data do Julgamento: 07/11/2019; Data de Registro: 21/11/2019)</w:t>
      </w:r>
      <w:r w:rsidR="003A6B69">
        <w:rPr>
          <w:rFonts w:cstheme="minorHAnsi"/>
          <w:color w:val="000000"/>
          <w:sz w:val="24"/>
          <w:szCs w:val="24"/>
          <w:shd w:val="clear" w:color="auto" w:fill="FFFFFF"/>
        </w:rPr>
        <w:t>.</w:t>
      </w:r>
    </w:p>
    <w:p w14:paraId="3ED79A39" w14:textId="77777777" w:rsidR="003A6B69" w:rsidRDefault="003A6B69" w:rsidP="00DB34CD">
      <w:pPr>
        <w:spacing w:after="0" w:line="360" w:lineRule="auto"/>
        <w:jc w:val="both"/>
        <w:rPr>
          <w:rFonts w:cstheme="minorHAnsi"/>
          <w:color w:val="000000"/>
          <w:sz w:val="24"/>
          <w:szCs w:val="24"/>
          <w:shd w:val="clear" w:color="auto" w:fill="FFFFFF"/>
        </w:rPr>
      </w:pPr>
    </w:p>
    <w:p w14:paraId="704456D8" w14:textId="77777777" w:rsidR="003A6B69" w:rsidRPr="003A6B69" w:rsidRDefault="003A6B69" w:rsidP="00DB34CD">
      <w:pPr>
        <w:spacing w:after="0" w:line="360" w:lineRule="auto"/>
        <w:jc w:val="both"/>
        <w:rPr>
          <w:rFonts w:cstheme="minorHAnsi"/>
          <w:i/>
          <w:color w:val="000000"/>
          <w:sz w:val="24"/>
          <w:szCs w:val="24"/>
          <w:shd w:val="clear" w:color="auto" w:fill="FFFFFF"/>
        </w:rPr>
      </w:pPr>
    </w:p>
    <w:p w14:paraId="08C48A05" w14:textId="77777777" w:rsidR="003A6B69" w:rsidRDefault="003A6B69" w:rsidP="00DB34CD">
      <w:pPr>
        <w:spacing w:after="0" w:line="360" w:lineRule="auto"/>
        <w:jc w:val="both"/>
        <w:rPr>
          <w:i/>
          <w:sz w:val="24"/>
          <w:szCs w:val="24"/>
        </w:rPr>
      </w:pPr>
      <w:r w:rsidRPr="003A6B69">
        <w:rPr>
          <w:i/>
          <w:sz w:val="24"/>
          <w:szCs w:val="24"/>
        </w:rPr>
        <w:t xml:space="preserve">“APELAÇÃO. Ação civil pública. Realização de rodeio. Sentença de parcial procedência, afastando a responsabilidade atribuída à ré, em razão do evento impugnado não ter ocorrido, bem como reconhecendo a possibilidade de concessão de futuros alvarás pelo Poder Público local, desde que observada a legislação pertinente e após rigorosa fiscalização dos órgãos públicos competentes. Apelo das partes requerendo a alteração do panorama decidido. (...), Órgão ministerial que busca coibir a realização de rodeio, com prática de maus tratos a animais e em perímetro urbano. Ausência de proibição à realização de rodeios e eventos congêneres, desde que observadas as restrições previstas pela Lei nº 10.519/02, que busca afastar ferimentos em animais. Aplicação do Decreto nº 40.400/95. Vedação da realização de rodeios em área do perímetro urbano, caso inexista autorização por parte do órgão sanitário. Recurso do demandante parcialmente provido e apelo da Municipalidade desprovido. </w:t>
      </w:r>
    </w:p>
    <w:p w14:paraId="76EF8481" w14:textId="77777777" w:rsidR="003A6B69" w:rsidRDefault="003A6B69" w:rsidP="00DB34CD">
      <w:pPr>
        <w:spacing w:after="0" w:line="360" w:lineRule="auto"/>
        <w:jc w:val="both"/>
        <w:rPr>
          <w:sz w:val="24"/>
          <w:szCs w:val="24"/>
        </w:rPr>
      </w:pPr>
      <w:r w:rsidRPr="003A6B69">
        <w:rPr>
          <w:sz w:val="24"/>
          <w:szCs w:val="24"/>
        </w:rPr>
        <w:t>(TJSP; Apelação 1002038-76.2017.8.26.0032; Relator (a): Roberto Maia; Órgão Julgador: 2ª Câmara Reservada ao Meio Ambiente; Foro de Araçatuba - Vara da Fazenda Pública; Data do Julgamento: 09/08/2018; Data de Registro: 10/08/2018)</w:t>
      </w:r>
      <w:r w:rsidR="001C1E38">
        <w:rPr>
          <w:sz w:val="24"/>
          <w:szCs w:val="24"/>
        </w:rPr>
        <w:t>.</w:t>
      </w:r>
    </w:p>
    <w:p w14:paraId="5DBB4CE3" w14:textId="77777777" w:rsidR="001C1E38" w:rsidRDefault="001C1E38" w:rsidP="00DB34CD">
      <w:pPr>
        <w:spacing w:after="0" w:line="360" w:lineRule="auto"/>
        <w:jc w:val="both"/>
        <w:rPr>
          <w:sz w:val="24"/>
          <w:szCs w:val="24"/>
        </w:rPr>
      </w:pPr>
    </w:p>
    <w:p w14:paraId="75817C66" w14:textId="77777777" w:rsidR="00575045" w:rsidRDefault="001C1E38" w:rsidP="00DB34CD">
      <w:pPr>
        <w:spacing w:after="0" w:line="360" w:lineRule="auto"/>
        <w:jc w:val="both"/>
        <w:rPr>
          <w:sz w:val="24"/>
          <w:szCs w:val="24"/>
        </w:rPr>
      </w:pPr>
      <w:r>
        <w:rPr>
          <w:b/>
          <w:sz w:val="24"/>
          <w:szCs w:val="24"/>
        </w:rPr>
        <w:t>4)</w:t>
      </w:r>
      <w:r w:rsidR="006A7F26">
        <w:rPr>
          <w:b/>
          <w:sz w:val="24"/>
          <w:szCs w:val="24"/>
        </w:rPr>
        <w:t xml:space="preserve"> </w:t>
      </w:r>
      <w:r w:rsidR="00613E21">
        <w:rPr>
          <w:sz w:val="24"/>
          <w:szCs w:val="24"/>
        </w:rPr>
        <w:t>O MP</w:t>
      </w:r>
      <w:r w:rsidR="006A7F26">
        <w:rPr>
          <w:sz w:val="24"/>
          <w:szCs w:val="24"/>
        </w:rPr>
        <w:t xml:space="preserve"> propõe ação, objetivando a condenação da empresa “ABC” por práticas de atos que provocaram danos ao meio ambiente, tendo em vista a emissão de poluentes pelas chaminés que não possuem os filtros adequados. </w:t>
      </w:r>
      <w:r w:rsidR="00575045">
        <w:rPr>
          <w:sz w:val="24"/>
          <w:szCs w:val="24"/>
        </w:rPr>
        <w:t>Além disso, há indicadores recentes de que os gases tóxicos provocam doenças pulmonares nos moradores da região. O pedido feito na ação ajuizada pelo órgão ministerial foi somente para que a empresa seja condenada ao cumprimento de obrigação de fazer (para a instalação dos filtros adequados) sob pena de multa, e pagamento de dano moral difusos, mediante o recolhimento de valor ao Fundo de Interesses Difusos.</w:t>
      </w:r>
    </w:p>
    <w:p w14:paraId="038E5064" w14:textId="77777777" w:rsidR="00575045" w:rsidRPr="004241E7" w:rsidRDefault="00575045" w:rsidP="00DB34CD">
      <w:pPr>
        <w:spacing w:after="0" w:line="360" w:lineRule="auto"/>
        <w:jc w:val="both"/>
        <w:rPr>
          <w:rFonts w:cstheme="minorHAnsi"/>
          <w:sz w:val="24"/>
          <w:szCs w:val="24"/>
        </w:rPr>
      </w:pPr>
      <w:r w:rsidRPr="004241E7">
        <w:rPr>
          <w:rFonts w:cstheme="minorHAnsi"/>
          <w:sz w:val="24"/>
          <w:szCs w:val="24"/>
        </w:rPr>
        <w:t>Pergunta-se:</w:t>
      </w:r>
    </w:p>
    <w:p w14:paraId="05AEBF35" w14:textId="77777777" w:rsidR="001C1E38" w:rsidRPr="004241E7" w:rsidRDefault="00575045" w:rsidP="00DB34CD">
      <w:pPr>
        <w:spacing w:after="0" w:line="360" w:lineRule="auto"/>
        <w:jc w:val="both"/>
        <w:rPr>
          <w:rFonts w:cstheme="minorHAnsi"/>
          <w:b/>
          <w:sz w:val="24"/>
          <w:szCs w:val="24"/>
        </w:rPr>
      </w:pPr>
      <w:r w:rsidRPr="004241E7">
        <w:rPr>
          <w:rFonts w:cstheme="minorHAnsi"/>
          <w:sz w:val="24"/>
          <w:szCs w:val="24"/>
        </w:rPr>
        <w:t xml:space="preserve">a) Qual é a espécie de interesse tutelado nessa ação? </w:t>
      </w:r>
      <w:r w:rsidR="001C1E38" w:rsidRPr="004241E7">
        <w:rPr>
          <w:rFonts w:cstheme="minorHAnsi"/>
          <w:b/>
          <w:sz w:val="24"/>
          <w:szCs w:val="24"/>
        </w:rPr>
        <w:t xml:space="preserve"> </w:t>
      </w:r>
    </w:p>
    <w:p w14:paraId="1BEA148B" w14:textId="77777777" w:rsidR="00613E21" w:rsidRPr="004241E7" w:rsidRDefault="00613E21" w:rsidP="00DB34CD">
      <w:pPr>
        <w:spacing w:after="0" w:line="360" w:lineRule="auto"/>
        <w:jc w:val="both"/>
        <w:rPr>
          <w:rFonts w:cstheme="minorHAnsi"/>
          <w:b/>
          <w:sz w:val="24"/>
          <w:szCs w:val="24"/>
        </w:rPr>
      </w:pPr>
    </w:p>
    <w:p w14:paraId="7E22EC7D" w14:textId="77777777" w:rsidR="006C2C8A" w:rsidRDefault="006C2C8A" w:rsidP="00DB34CD">
      <w:pPr>
        <w:spacing w:after="0" w:line="360" w:lineRule="auto"/>
        <w:jc w:val="both"/>
        <w:rPr>
          <w:rFonts w:cstheme="minorHAnsi"/>
          <w:b/>
          <w:color w:val="FF0000"/>
          <w:sz w:val="24"/>
          <w:szCs w:val="24"/>
        </w:rPr>
      </w:pPr>
      <w:r>
        <w:rPr>
          <w:rFonts w:cstheme="minorHAnsi"/>
          <w:b/>
          <w:color w:val="FF0000"/>
          <w:sz w:val="24"/>
          <w:szCs w:val="24"/>
        </w:rPr>
        <w:t>Temas abordados no problema:</w:t>
      </w:r>
    </w:p>
    <w:p w14:paraId="1CD76901" w14:textId="77777777" w:rsidR="006C2C8A" w:rsidRPr="006C2C8A" w:rsidRDefault="006C2C8A" w:rsidP="00DB34CD">
      <w:pPr>
        <w:spacing w:after="0" w:line="360" w:lineRule="auto"/>
        <w:jc w:val="both"/>
        <w:rPr>
          <w:rFonts w:cstheme="minorHAnsi"/>
          <w:color w:val="FF0000"/>
          <w:sz w:val="24"/>
          <w:szCs w:val="24"/>
        </w:rPr>
      </w:pPr>
      <w:r>
        <w:rPr>
          <w:rFonts w:cstheme="minorHAnsi"/>
          <w:color w:val="FF0000"/>
          <w:sz w:val="24"/>
          <w:szCs w:val="24"/>
        </w:rPr>
        <w:t>-delimitação dos interesses. Identificação do interesse no caso concreto</w:t>
      </w:r>
    </w:p>
    <w:p w14:paraId="0EE40CEE" w14:textId="77777777" w:rsidR="00613E21" w:rsidRPr="004241E7" w:rsidRDefault="00613E21" w:rsidP="00DB34CD">
      <w:pPr>
        <w:spacing w:after="0" w:line="360" w:lineRule="auto"/>
        <w:jc w:val="both"/>
        <w:rPr>
          <w:rFonts w:cstheme="minorHAnsi"/>
          <w:sz w:val="24"/>
          <w:szCs w:val="24"/>
        </w:rPr>
      </w:pPr>
      <w:r w:rsidRPr="004241E7">
        <w:rPr>
          <w:rFonts w:cstheme="minorHAnsi"/>
          <w:b/>
          <w:sz w:val="24"/>
          <w:szCs w:val="24"/>
        </w:rPr>
        <w:t>Resposta:</w:t>
      </w:r>
    </w:p>
    <w:p w14:paraId="5DD0B776" w14:textId="77777777" w:rsidR="004241E7" w:rsidRPr="004241E7" w:rsidRDefault="004241E7" w:rsidP="004241E7">
      <w:pPr>
        <w:spacing w:after="0" w:line="360" w:lineRule="auto"/>
        <w:jc w:val="both"/>
        <w:rPr>
          <w:rFonts w:cstheme="minorHAnsi"/>
          <w:sz w:val="24"/>
          <w:szCs w:val="24"/>
        </w:rPr>
      </w:pPr>
      <w:r w:rsidRPr="004241E7">
        <w:rPr>
          <w:rFonts w:cstheme="minorHAnsi"/>
          <w:sz w:val="24"/>
          <w:szCs w:val="24"/>
        </w:rPr>
        <w:t>Salvo melhor juízo, i</w:t>
      </w:r>
      <w:r w:rsidR="00613E21" w:rsidRPr="004241E7">
        <w:rPr>
          <w:rFonts w:cstheme="minorHAnsi"/>
          <w:sz w:val="24"/>
          <w:szCs w:val="24"/>
        </w:rPr>
        <w:t>nteres</w:t>
      </w:r>
      <w:r w:rsidRPr="004241E7">
        <w:rPr>
          <w:rFonts w:cstheme="minorHAnsi"/>
          <w:sz w:val="24"/>
          <w:szCs w:val="24"/>
        </w:rPr>
        <w:t xml:space="preserve">se difuso por estarem ligados por uma situação fática, sendo que não há vínculo jurídico exato e prévio entre elas. Além disso, caracterizam-se pela indivisibilidade do objeto, com a comunhão do destino aos respectivos titulares. </w:t>
      </w:r>
    </w:p>
    <w:p w14:paraId="2B1B2221" w14:textId="77777777" w:rsidR="001C1E38" w:rsidRDefault="001C1E38" w:rsidP="00DB34CD">
      <w:pPr>
        <w:spacing w:after="0" w:line="360" w:lineRule="auto"/>
        <w:jc w:val="both"/>
        <w:rPr>
          <w:rFonts w:cstheme="minorHAnsi"/>
          <w:b/>
          <w:color w:val="000000"/>
          <w:sz w:val="24"/>
          <w:szCs w:val="24"/>
        </w:rPr>
      </w:pPr>
    </w:p>
    <w:p w14:paraId="3A37779F" w14:textId="77777777" w:rsidR="00E32B45" w:rsidRDefault="00E32B45" w:rsidP="00DB34CD">
      <w:pPr>
        <w:spacing w:after="0" w:line="360" w:lineRule="auto"/>
        <w:jc w:val="both"/>
        <w:rPr>
          <w:rFonts w:cstheme="minorHAnsi"/>
          <w:b/>
          <w:color w:val="000000"/>
          <w:sz w:val="24"/>
          <w:szCs w:val="24"/>
        </w:rPr>
      </w:pPr>
    </w:p>
    <w:p w14:paraId="7CF4DC16" w14:textId="77777777" w:rsidR="00E32B45" w:rsidRDefault="00E32B45" w:rsidP="00DB34CD">
      <w:pPr>
        <w:spacing w:after="0" w:line="360" w:lineRule="auto"/>
        <w:jc w:val="both"/>
        <w:rPr>
          <w:rFonts w:cstheme="minorHAnsi"/>
          <w:b/>
          <w:color w:val="000000"/>
          <w:sz w:val="24"/>
          <w:szCs w:val="24"/>
        </w:rPr>
      </w:pPr>
      <w:bookmarkStart w:id="0" w:name="_GoBack"/>
      <w:bookmarkEnd w:id="0"/>
    </w:p>
    <w:p w14:paraId="4EF46D65" w14:textId="1E0A0C98" w:rsidR="00B93833" w:rsidRDefault="00965485" w:rsidP="00DB34CD">
      <w:pPr>
        <w:spacing w:after="0" w:line="360" w:lineRule="auto"/>
        <w:jc w:val="both"/>
        <w:rPr>
          <w:rFonts w:cstheme="minorHAnsi"/>
          <w:b/>
          <w:color w:val="000000"/>
          <w:sz w:val="24"/>
          <w:szCs w:val="24"/>
        </w:rPr>
      </w:pPr>
      <w:r>
        <w:rPr>
          <w:rFonts w:cstheme="minorHAnsi"/>
          <w:b/>
          <w:color w:val="000000"/>
          <w:sz w:val="24"/>
          <w:szCs w:val="24"/>
        </w:rPr>
        <w:t>QUADRO ELUCIDATIVO PARA IDENTIFICAÇÃO DO INTERESSE:</w:t>
      </w:r>
    </w:p>
    <w:p w14:paraId="0291DD98" w14:textId="77777777" w:rsidR="00965485" w:rsidRDefault="00965485" w:rsidP="00DB34CD">
      <w:pPr>
        <w:spacing w:after="0" w:line="360" w:lineRule="auto"/>
        <w:jc w:val="both"/>
        <w:rPr>
          <w:rFonts w:cstheme="minorHAnsi"/>
          <w:b/>
          <w:color w:val="000000"/>
          <w:sz w:val="24"/>
          <w:szCs w:val="24"/>
        </w:rPr>
      </w:pPr>
    </w:p>
    <w:tbl>
      <w:tblPr>
        <w:tblStyle w:val="Tabelacomgrade"/>
        <w:tblW w:w="9848" w:type="dxa"/>
        <w:tblLayout w:type="fixed"/>
        <w:tblLook w:val="04A0" w:firstRow="1" w:lastRow="0" w:firstColumn="1" w:lastColumn="0" w:noHBand="0" w:noVBand="1"/>
      </w:tblPr>
      <w:tblGrid>
        <w:gridCol w:w="1413"/>
        <w:gridCol w:w="1701"/>
        <w:gridCol w:w="1701"/>
        <w:gridCol w:w="2512"/>
        <w:gridCol w:w="2521"/>
      </w:tblGrid>
      <w:tr w:rsidR="00B647DB" w:rsidRPr="00B647DB" w14:paraId="18234047" w14:textId="236A8D12" w:rsidTr="00B647DB">
        <w:tc>
          <w:tcPr>
            <w:tcW w:w="1413" w:type="dxa"/>
          </w:tcPr>
          <w:p w14:paraId="6A54BACA" w14:textId="69EE5C7F" w:rsidR="00B647DB" w:rsidRPr="00B647DB" w:rsidRDefault="00B647DB" w:rsidP="00243D51">
            <w:pPr>
              <w:spacing w:line="360" w:lineRule="auto"/>
              <w:jc w:val="center"/>
              <w:rPr>
                <w:rFonts w:cstheme="minorHAnsi"/>
                <w:b/>
                <w:color w:val="000000"/>
              </w:rPr>
            </w:pPr>
            <w:r w:rsidRPr="00B647DB">
              <w:rPr>
                <w:rFonts w:cstheme="minorHAnsi"/>
                <w:b/>
                <w:color w:val="000000"/>
              </w:rPr>
              <w:t>Interesse</w:t>
            </w:r>
          </w:p>
        </w:tc>
        <w:tc>
          <w:tcPr>
            <w:tcW w:w="1701" w:type="dxa"/>
          </w:tcPr>
          <w:p w14:paraId="4F8ECB4C" w14:textId="08F5291C" w:rsidR="00B647DB" w:rsidRPr="00243D51" w:rsidRDefault="00B647DB" w:rsidP="00243D51">
            <w:pPr>
              <w:spacing w:line="360" w:lineRule="auto"/>
              <w:jc w:val="center"/>
              <w:rPr>
                <w:rFonts w:cstheme="minorHAnsi"/>
                <w:b/>
                <w:color w:val="000000"/>
              </w:rPr>
            </w:pPr>
            <w:r w:rsidRPr="00243D51">
              <w:rPr>
                <w:rFonts w:cstheme="minorHAnsi"/>
                <w:b/>
                <w:color w:val="000000"/>
              </w:rPr>
              <w:t>Base legal</w:t>
            </w:r>
          </w:p>
        </w:tc>
        <w:tc>
          <w:tcPr>
            <w:tcW w:w="1701" w:type="dxa"/>
          </w:tcPr>
          <w:p w14:paraId="3419FC60" w14:textId="3C5F0D68" w:rsidR="00B647DB" w:rsidRPr="00243D51" w:rsidRDefault="00243D51" w:rsidP="00243D51">
            <w:pPr>
              <w:spacing w:line="360" w:lineRule="auto"/>
              <w:jc w:val="center"/>
              <w:rPr>
                <w:rFonts w:cstheme="minorHAnsi"/>
                <w:b/>
                <w:color w:val="000000"/>
              </w:rPr>
            </w:pPr>
            <w:r w:rsidRPr="00243D51">
              <w:rPr>
                <w:rFonts w:cstheme="minorHAnsi"/>
                <w:b/>
                <w:color w:val="000000"/>
              </w:rPr>
              <w:t>Interessados</w:t>
            </w:r>
          </w:p>
        </w:tc>
        <w:tc>
          <w:tcPr>
            <w:tcW w:w="2512" w:type="dxa"/>
          </w:tcPr>
          <w:p w14:paraId="63F3B994" w14:textId="2611EDF8" w:rsidR="00B647DB" w:rsidRPr="00243D51" w:rsidRDefault="000329A0" w:rsidP="00243D51">
            <w:pPr>
              <w:spacing w:line="360" w:lineRule="auto"/>
              <w:jc w:val="center"/>
              <w:rPr>
                <w:rFonts w:cstheme="minorHAnsi"/>
                <w:b/>
                <w:color w:val="000000"/>
              </w:rPr>
            </w:pPr>
            <w:r>
              <w:rPr>
                <w:rFonts w:cstheme="minorHAnsi"/>
                <w:b/>
                <w:color w:val="000000"/>
              </w:rPr>
              <w:t>Origem</w:t>
            </w:r>
          </w:p>
        </w:tc>
        <w:tc>
          <w:tcPr>
            <w:tcW w:w="2521" w:type="dxa"/>
          </w:tcPr>
          <w:p w14:paraId="49B2A36F" w14:textId="74B9DB95" w:rsidR="00B647DB" w:rsidRPr="00243D51" w:rsidRDefault="00243D51" w:rsidP="00243D51">
            <w:pPr>
              <w:spacing w:line="360" w:lineRule="auto"/>
              <w:jc w:val="center"/>
              <w:rPr>
                <w:rFonts w:cstheme="minorHAnsi"/>
                <w:b/>
                <w:color w:val="000000"/>
              </w:rPr>
            </w:pPr>
            <w:r w:rsidRPr="00243D51">
              <w:rPr>
                <w:rFonts w:cstheme="minorHAnsi"/>
                <w:b/>
                <w:color w:val="000000"/>
              </w:rPr>
              <w:t>Objeto</w:t>
            </w:r>
          </w:p>
        </w:tc>
      </w:tr>
      <w:tr w:rsidR="00B647DB" w:rsidRPr="00B647DB" w14:paraId="7E69B2EA" w14:textId="6534C67E" w:rsidTr="00B647DB">
        <w:tc>
          <w:tcPr>
            <w:tcW w:w="1413" w:type="dxa"/>
          </w:tcPr>
          <w:p w14:paraId="1B65B1A5" w14:textId="01915063" w:rsidR="00B647DB" w:rsidRPr="00B647DB" w:rsidRDefault="00B647DB" w:rsidP="00B647DB">
            <w:pPr>
              <w:spacing w:line="360" w:lineRule="auto"/>
              <w:jc w:val="center"/>
              <w:rPr>
                <w:rFonts w:cstheme="minorHAnsi"/>
                <w:b/>
                <w:color w:val="000000"/>
              </w:rPr>
            </w:pPr>
            <w:r w:rsidRPr="00B647DB">
              <w:rPr>
                <w:rFonts w:cstheme="minorHAnsi"/>
                <w:b/>
                <w:color w:val="000000"/>
              </w:rPr>
              <w:t>Difuso</w:t>
            </w:r>
          </w:p>
        </w:tc>
        <w:tc>
          <w:tcPr>
            <w:tcW w:w="1701" w:type="dxa"/>
          </w:tcPr>
          <w:p w14:paraId="275CD638" w14:textId="1F9D261A" w:rsidR="00B647DB" w:rsidRPr="00B647DB" w:rsidRDefault="00B647DB" w:rsidP="00B647DB">
            <w:pPr>
              <w:spacing w:line="360" w:lineRule="auto"/>
              <w:jc w:val="both"/>
              <w:rPr>
                <w:rFonts w:cstheme="minorHAnsi"/>
                <w:b/>
                <w:color w:val="000000"/>
                <w:sz w:val="20"/>
                <w:szCs w:val="20"/>
              </w:rPr>
            </w:pPr>
            <w:r w:rsidRPr="00B647DB">
              <w:rPr>
                <w:rFonts w:cstheme="minorHAnsi"/>
                <w:sz w:val="20"/>
                <w:szCs w:val="20"/>
              </w:rPr>
              <w:t>A</w:t>
            </w:r>
            <w:r w:rsidRPr="00B647DB">
              <w:rPr>
                <w:rFonts w:cstheme="minorHAnsi"/>
                <w:sz w:val="20"/>
                <w:szCs w:val="20"/>
              </w:rPr>
              <w:t>rtigo 81, parágrafo único, inciso I, do C</w:t>
            </w:r>
            <w:r>
              <w:rPr>
                <w:rFonts w:cstheme="minorHAnsi"/>
                <w:sz w:val="20"/>
                <w:szCs w:val="20"/>
              </w:rPr>
              <w:t>DC.</w:t>
            </w:r>
          </w:p>
        </w:tc>
        <w:tc>
          <w:tcPr>
            <w:tcW w:w="1701" w:type="dxa"/>
          </w:tcPr>
          <w:p w14:paraId="2F92DC90" w14:textId="0FD2A1F2" w:rsidR="00B647DB" w:rsidRPr="00B647DB" w:rsidRDefault="00B647DB" w:rsidP="00B647DB">
            <w:pPr>
              <w:spacing w:line="360" w:lineRule="auto"/>
              <w:jc w:val="both"/>
              <w:rPr>
                <w:rFonts w:cstheme="minorHAnsi"/>
                <w:b/>
                <w:color w:val="000000"/>
                <w:sz w:val="20"/>
                <w:szCs w:val="20"/>
              </w:rPr>
            </w:pPr>
            <w:r w:rsidRPr="00B647DB">
              <w:rPr>
                <w:rFonts w:cstheme="minorHAnsi"/>
                <w:sz w:val="20"/>
                <w:szCs w:val="20"/>
              </w:rPr>
              <w:t>G</w:t>
            </w:r>
            <w:r w:rsidRPr="00B647DB">
              <w:rPr>
                <w:rFonts w:cstheme="minorHAnsi"/>
                <w:sz w:val="20"/>
                <w:szCs w:val="20"/>
              </w:rPr>
              <w:t xml:space="preserve">rupo </w:t>
            </w:r>
            <w:r w:rsidRPr="002D0704">
              <w:rPr>
                <w:rFonts w:cstheme="minorHAnsi"/>
                <w:b/>
                <w:sz w:val="20"/>
                <w:szCs w:val="20"/>
                <w:u w:val="single"/>
              </w:rPr>
              <w:t>indeterminado</w:t>
            </w:r>
            <w:r w:rsidRPr="00B647DB">
              <w:rPr>
                <w:rFonts w:cstheme="minorHAnsi"/>
                <w:sz w:val="20"/>
                <w:szCs w:val="20"/>
              </w:rPr>
              <w:t xml:space="preserve"> ou indeterminável de pessoas</w:t>
            </w:r>
          </w:p>
        </w:tc>
        <w:tc>
          <w:tcPr>
            <w:tcW w:w="2512" w:type="dxa"/>
          </w:tcPr>
          <w:p w14:paraId="4D341A57" w14:textId="77777777" w:rsidR="00B647DB" w:rsidRDefault="00B647DB" w:rsidP="00B647DB">
            <w:pPr>
              <w:spacing w:line="360" w:lineRule="auto"/>
              <w:jc w:val="both"/>
              <w:rPr>
                <w:rFonts w:cstheme="minorHAnsi"/>
                <w:sz w:val="20"/>
                <w:szCs w:val="20"/>
              </w:rPr>
            </w:pPr>
            <w:r w:rsidRPr="00B647DB">
              <w:rPr>
                <w:rFonts w:cstheme="minorHAnsi"/>
                <w:sz w:val="20"/>
                <w:szCs w:val="20"/>
              </w:rPr>
              <w:t>Li</w:t>
            </w:r>
            <w:r w:rsidRPr="00B647DB">
              <w:rPr>
                <w:rFonts w:cstheme="minorHAnsi"/>
                <w:sz w:val="20"/>
                <w:szCs w:val="20"/>
              </w:rPr>
              <w:t>gados por uma situação fática</w:t>
            </w:r>
            <w:r>
              <w:rPr>
                <w:rFonts w:cstheme="minorHAnsi"/>
                <w:sz w:val="20"/>
                <w:szCs w:val="20"/>
              </w:rPr>
              <w:t>.</w:t>
            </w:r>
          </w:p>
          <w:p w14:paraId="30245F53" w14:textId="4837923B" w:rsidR="00B647DB" w:rsidRPr="00B647DB" w:rsidRDefault="00B647DB" w:rsidP="00B647DB">
            <w:pPr>
              <w:spacing w:line="360" w:lineRule="auto"/>
              <w:jc w:val="both"/>
              <w:rPr>
                <w:rFonts w:cstheme="minorHAnsi"/>
                <w:b/>
                <w:color w:val="000000"/>
                <w:sz w:val="20"/>
                <w:szCs w:val="20"/>
              </w:rPr>
            </w:pPr>
            <w:r w:rsidRPr="00B647DB">
              <w:rPr>
                <w:rFonts w:cstheme="minorHAnsi"/>
                <w:sz w:val="20"/>
                <w:szCs w:val="20"/>
              </w:rPr>
              <w:t>Não há vínculo jurídico exato e prévio entre elas</w:t>
            </w:r>
          </w:p>
        </w:tc>
        <w:tc>
          <w:tcPr>
            <w:tcW w:w="2521" w:type="dxa"/>
          </w:tcPr>
          <w:p w14:paraId="34AFC291" w14:textId="427B753D" w:rsidR="00B647DB" w:rsidRPr="00B647DB" w:rsidRDefault="00B647DB" w:rsidP="00B647DB">
            <w:pPr>
              <w:spacing w:line="360" w:lineRule="auto"/>
              <w:jc w:val="both"/>
              <w:rPr>
                <w:rFonts w:cstheme="minorHAnsi"/>
                <w:sz w:val="20"/>
                <w:szCs w:val="20"/>
              </w:rPr>
            </w:pPr>
            <w:r w:rsidRPr="00B647DB">
              <w:rPr>
                <w:rFonts w:cstheme="minorHAnsi"/>
                <w:sz w:val="20"/>
                <w:szCs w:val="20"/>
              </w:rPr>
              <w:t>In</w:t>
            </w:r>
            <w:r w:rsidRPr="00B647DB">
              <w:rPr>
                <w:rFonts w:cstheme="minorHAnsi"/>
                <w:sz w:val="20"/>
                <w:szCs w:val="20"/>
              </w:rPr>
              <w:t>divisibilidade do objeto, com a comunhão do destino aos respectivos titulares</w:t>
            </w:r>
          </w:p>
        </w:tc>
      </w:tr>
      <w:tr w:rsidR="00B647DB" w:rsidRPr="00B647DB" w14:paraId="0612F11F" w14:textId="55C7F2A4" w:rsidTr="00B647DB">
        <w:tc>
          <w:tcPr>
            <w:tcW w:w="1413" w:type="dxa"/>
          </w:tcPr>
          <w:p w14:paraId="3801AAF4" w14:textId="62E3621B" w:rsidR="00B647DB" w:rsidRPr="00B647DB" w:rsidRDefault="00B647DB" w:rsidP="00B647DB">
            <w:pPr>
              <w:spacing w:line="360" w:lineRule="auto"/>
              <w:jc w:val="center"/>
              <w:rPr>
                <w:rFonts w:cstheme="minorHAnsi"/>
                <w:b/>
                <w:color w:val="000000"/>
              </w:rPr>
            </w:pPr>
            <w:r w:rsidRPr="00B647DB">
              <w:rPr>
                <w:rFonts w:cstheme="minorHAnsi"/>
                <w:b/>
                <w:color w:val="000000"/>
              </w:rPr>
              <w:t>Coletivo em sentido estrito</w:t>
            </w:r>
          </w:p>
        </w:tc>
        <w:tc>
          <w:tcPr>
            <w:tcW w:w="1701" w:type="dxa"/>
          </w:tcPr>
          <w:p w14:paraId="33081481" w14:textId="0476A5B5" w:rsidR="00B647DB" w:rsidRPr="00B647DB" w:rsidRDefault="00B647DB" w:rsidP="00B647DB">
            <w:pPr>
              <w:spacing w:line="360" w:lineRule="auto"/>
              <w:jc w:val="both"/>
              <w:rPr>
                <w:rFonts w:cstheme="minorHAnsi"/>
                <w:b/>
                <w:color w:val="000000"/>
                <w:sz w:val="20"/>
                <w:szCs w:val="20"/>
              </w:rPr>
            </w:pPr>
            <w:r w:rsidRPr="00B647DB">
              <w:rPr>
                <w:rFonts w:cstheme="minorHAnsi"/>
                <w:sz w:val="20"/>
                <w:szCs w:val="20"/>
              </w:rPr>
              <w:t>A</w:t>
            </w:r>
            <w:r w:rsidRPr="00B647DB">
              <w:rPr>
                <w:rFonts w:cstheme="minorHAnsi"/>
                <w:sz w:val="20"/>
                <w:szCs w:val="20"/>
              </w:rPr>
              <w:t>rtigo 81, parágrafo único, inciso II, do C</w:t>
            </w:r>
            <w:r>
              <w:rPr>
                <w:rFonts w:cstheme="minorHAnsi"/>
                <w:sz w:val="20"/>
                <w:szCs w:val="20"/>
              </w:rPr>
              <w:t>DC.</w:t>
            </w:r>
          </w:p>
        </w:tc>
        <w:tc>
          <w:tcPr>
            <w:tcW w:w="1701" w:type="dxa"/>
          </w:tcPr>
          <w:p w14:paraId="580765BD" w14:textId="304D1BA4" w:rsidR="00B647DB" w:rsidRPr="00B647DB" w:rsidRDefault="00B647DB" w:rsidP="00B647DB">
            <w:pPr>
              <w:spacing w:line="360" w:lineRule="auto"/>
              <w:jc w:val="both"/>
              <w:rPr>
                <w:rFonts w:cstheme="minorHAnsi"/>
                <w:b/>
                <w:color w:val="000000"/>
                <w:sz w:val="20"/>
                <w:szCs w:val="20"/>
              </w:rPr>
            </w:pPr>
            <w:r w:rsidRPr="00B647DB">
              <w:rPr>
                <w:rFonts w:cstheme="minorHAnsi"/>
                <w:sz w:val="20"/>
                <w:szCs w:val="20"/>
              </w:rPr>
              <w:t xml:space="preserve">Determinado </w:t>
            </w:r>
            <w:r w:rsidRPr="00B647DB">
              <w:rPr>
                <w:rFonts w:cstheme="minorHAnsi"/>
                <w:sz w:val="20"/>
                <w:szCs w:val="20"/>
              </w:rPr>
              <w:t>grupo, categoria ou classe de pessoas</w:t>
            </w:r>
          </w:p>
        </w:tc>
        <w:tc>
          <w:tcPr>
            <w:tcW w:w="2512" w:type="dxa"/>
          </w:tcPr>
          <w:p w14:paraId="2ED6EB70" w14:textId="351F70F2" w:rsidR="00B647DB" w:rsidRPr="00B647DB" w:rsidRDefault="00B647DB" w:rsidP="00B647DB">
            <w:pPr>
              <w:spacing w:line="360" w:lineRule="auto"/>
              <w:jc w:val="both"/>
              <w:rPr>
                <w:rFonts w:cstheme="minorHAnsi"/>
                <w:b/>
                <w:color w:val="000000"/>
                <w:sz w:val="20"/>
                <w:szCs w:val="20"/>
              </w:rPr>
            </w:pPr>
            <w:r w:rsidRPr="00B647DB">
              <w:rPr>
                <w:rFonts w:cstheme="minorHAnsi"/>
                <w:sz w:val="20"/>
                <w:szCs w:val="20"/>
              </w:rPr>
              <w:t>Li</w:t>
            </w:r>
            <w:r w:rsidRPr="00B647DB">
              <w:rPr>
                <w:rFonts w:cstheme="minorHAnsi"/>
                <w:sz w:val="20"/>
                <w:szCs w:val="20"/>
              </w:rPr>
              <w:t xml:space="preserve">gadas por uma </w:t>
            </w:r>
            <w:r w:rsidRPr="002D0704">
              <w:rPr>
                <w:rFonts w:cstheme="minorHAnsi"/>
                <w:b/>
                <w:sz w:val="20"/>
                <w:szCs w:val="20"/>
                <w:u w:val="single"/>
              </w:rPr>
              <w:t>relação jurídica</w:t>
            </w:r>
          </w:p>
        </w:tc>
        <w:tc>
          <w:tcPr>
            <w:tcW w:w="2521" w:type="dxa"/>
          </w:tcPr>
          <w:p w14:paraId="5A94D106" w14:textId="0FB30B50" w:rsidR="00B647DB" w:rsidRPr="00B647DB" w:rsidRDefault="00B647DB" w:rsidP="00B647DB">
            <w:pPr>
              <w:spacing w:line="360" w:lineRule="auto"/>
              <w:jc w:val="both"/>
              <w:rPr>
                <w:rFonts w:cstheme="minorHAnsi"/>
                <w:sz w:val="20"/>
                <w:szCs w:val="20"/>
              </w:rPr>
            </w:pPr>
            <w:r w:rsidRPr="00B647DB">
              <w:rPr>
                <w:rFonts w:cstheme="minorHAnsi"/>
                <w:sz w:val="20"/>
                <w:szCs w:val="20"/>
              </w:rPr>
              <w:t>Indivisibilidade do objeto</w:t>
            </w:r>
            <w:r w:rsidRPr="00B647DB">
              <w:rPr>
                <w:rFonts w:cstheme="minorHAnsi"/>
                <w:sz w:val="20"/>
                <w:szCs w:val="20"/>
              </w:rPr>
              <w:t xml:space="preserve">. </w:t>
            </w:r>
            <w:r w:rsidRPr="00B647DB">
              <w:rPr>
                <w:rFonts w:cstheme="minorHAnsi"/>
                <w:sz w:val="20"/>
                <w:szCs w:val="20"/>
              </w:rPr>
              <w:t>E</w:t>
            </w:r>
            <w:r w:rsidRPr="00B647DB">
              <w:rPr>
                <w:rFonts w:cstheme="minorHAnsi"/>
                <w:sz w:val="20"/>
                <w:szCs w:val="20"/>
              </w:rPr>
              <w:t>xemplo</w:t>
            </w:r>
            <w:r w:rsidRPr="00B647DB">
              <w:rPr>
                <w:rFonts w:cstheme="minorHAnsi"/>
                <w:sz w:val="20"/>
                <w:szCs w:val="20"/>
              </w:rPr>
              <w:t>s:</w:t>
            </w:r>
            <w:r w:rsidRPr="00B647DB">
              <w:rPr>
                <w:rFonts w:cstheme="minorHAnsi"/>
                <w:sz w:val="20"/>
                <w:szCs w:val="20"/>
              </w:rPr>
              <w:t xml:space="preserve"> sindicatos, associações ou partidos políticos. </w:t>
            </w:r>
          </w:p>
          <w:p w14:paraId="72B45FBB" w14:textId="77777777" w:rsidR="00B647DB" w:rsidRPr="00B647DB" w:rsidRDefault="00B647DB" w:rsidP="00B647DB">
            <w:pPr>
              <w:spacing w:line="360" w:lineRule="auto"/>
              <w:jc w:val="both"/>
              <w:rPr>
                <w:rFonts w:cstheme="minorHAnsi"/>
                <w:b/>
                <w:color w:val="000000"/>
                <w:sz w:val="20"/>
                <w:szCs w:val="20"/>
              </w:rPr>
            </w:pPr>
          </w:p>
        </w:tc>
      </w:tr>
      <w:tr w:rsidR="00B647DB" w:rsidRPr="00B647DB" w14:paraId="535A4679" w14:textId="0CC98731" w:rsidTr="00B647DB">
        <w:tc>
          <w:tcPr>
            <w:tcW w:w="1413" w:type="dxa"/>
          </w:tcPr>
          <w:p w14:paraId="1FB8E60A" w14:textId="6DFD3ABA" w:rsidR="00B647DB" w:rsidRPr="00B647DB" w:rsidRDefault="00B647DB" w:rsidP="00B647DB">
            <w:pPr>
              <w:spacing w:line="360" w:lineRule="auto"/>
              <w:jc w:val="center"/>
              <w:rPr>
                <w:rFonts w:cstheme="minorHAnsi"/>
                <w:b/>
                <w:color w:val="000000"/>
              </w:rPr>
            </w:pPr>
            <w:r w:rsidRPr="00B647DB">
              <w:rPr>
                <w:rFonts w:cstheme="minorHAnsi"/>
                <w:b/>
                <w:color w:val="000000"/>
              </w:rPr>
              <w:t>Individual Homogêneo</w:t>
            </w:r>
          </w:p>
        </w:tc>
        <w:tc>
          <w:tcPr>
            <w:tcW w:w="1701" w:type="dxa"/>
          </w:tcPr>
          <w:p w14:paraId="135DD4D1" w14:textId="10BA79C4" w:rsidR="00B647DB" w:rsidRPr="00B647DB" w:rsidRDefault="00B647DB" w:rsidP="00B647DB">
            <w:pPr>
              <w:spacing w:line="360" w:lineRule="auto"/>
              <w:jc w:val="both"/>
              <w:rPr>
                <w:rFonts w:cstheme="minorHAnsi"/>
                <w:b/>
                <w:color w:val="000000"/>
                <w:sz w:val="20"/>
                <w:szCs w:val="20"/>
              </w:rPr>
            </w:pPr>
            <w:r w:rsidRPr="00B647DB">
              <w:rPr>
                <w:rFonts w:cstheme="minorHAnsi"/>
                <w:sz w:val="20"/>
                <w:szCs w:val="20"/>
              </w:rPr>
              <w:t>A</w:t>
            </w:r>
            <w:r w:rsidRPr="00B647DB">
              <w:rPr>
                <w:rFonts w:cstheme="minorHAnsi"/>
                <w:sz w:val="20"/>
                <w:szCs w:val="20"/>
              </w:rPr>
              <w:t>rtigo 81, parágrafo único, inciso III, do C</w:t>
            </w:r>
            <w:r>
              <w:rPr>
                <w:rFonts w:cstheme="minorHAnsi"/>
                <w:sz w:val="20"/>
                <w:szCs w:val="20"/>
              </w:rPr>
              <w:t>DC.</w:t>
            </w:r>
          </w:p>
        </w:tc>
        <w:tc>
          <w:tcPr>
            <w:tcW w:w="1701" w:type="dxa"/>
          </w:tcPr>
          <w:p w14:paraId="11BA1ED6" w14:textId="41C80BAA" w:rsidR="00B647DB" w:rsidRPr="00B647DB" w:rsidRDefault="00B647DB" w:rsidP="00B647DB">
            <w:pPr>
              <w:spacing w:line="360" w:lineRule="auto"/>
              <w:jc w:val="both"/>
              <w:rPr>
                <w:rFonts w:cstheme="minorHAnsi"/>
                <w:b/>
                <w:color w:val="000000"/>
                <w:sz w:val="20"/>
                <w:szCs w:val="20"/>
              </w:rPr>
            </w:pPr>
            <w:r w:rsidRPr="00B647DB">
              <w:rPr>
                <w:rFonts w:cstheme="minorHAnsi"/>
                <w:sz w:val="20"/>
                <w:szCs w:val="20"/>
              </w:rPr>
              <w:t>G</w:t>
            </w:r>
            <w:r w:rsidRPr="00B647DB">
              <w:rPr>
                <w:rFonts w:cstheme="minorHAnsi"/>
                <w:sz w:val="20"/>
                <w:szCs w:val="20"/>
              </w:rPr>
              <w:t>rupo determinado ou determinável de pessoas</w:t>
            </w:r>
          </w:p>
        </w:tc>
        <w:tc>
          <w:tcPr>
            <w:tcW w:w="2512" w:type="dxa"/>
          </w:tcPr>
          <w:p w14:paraId="2D8FF2BC" w14:textId="77777777" w:rsidR="00B647DB" w:rsidRDefault="00B647DB" w:rsidP="00B647DB">
            <w:pPr>
              <w:spacing w:line="360" w:lineRule="auto"/>
              <w:jc w:val="both"/>
              <w:rPr>
                <w:rFonts w:cstheme="minorHAnsi"/>
                <w:sz w:val="20"/>
                <w:szCs w:val="20"/>
              </w:rPr>
            </w:pPr>
            <w:r w:rsidRPr="00B647DB">
              <w:rPr>
                <w:rFonts w:cstheme="minorHAnsi"/>
                <w:sz w:val="20"/>
                <w:szCs w:val="20"/>
              </w:rPr>
              <w:t>O</w:t>
            </w:r>
            <w:r w:rsidRPr="00B647DB">
              <w:rPr>
                <w:rFonts w:cstheme="minorHAnsi"/>
                <w:sz w:val="20"/>
                <w:szCs w:val="20"/>
              </w:rPr>
              <w:t>rigem ou fato comum que ocasionou a lesão aos interessados individuais</w:t>
            </w:r>
            <w:r>
              <w:rPr>
                <w:rFonts w:cstheme="minorHAnsi"/>
                <w:sz w:val="20"/>
                <w:szCs w:val="20"/>
              </w:rPr>
              <w:t>.</w:t>
            </w:r>
          </w:p>
          <w:p w14:paraId="2C3DA11B" w14:textId="071164F5" w:rsidR="00B647DB" w:rsidRPr="00B647DB" w:rsidRDefault="00B647DB" w:rsidP="00B647DB">
            <w:pPr>
              <w:spacing w:line="360" w:lineRule="auto"/>
              <w:jc w:val="both"/>
              <w:rPr>
                <w:rFonts w:cstheme="minorHAnsi"/>
                <w:b/>
                <w:color w:val="000000"/>
                <w:sz w:val="20"/>
                <w:szCs w:val="20"/>
              </w:rPr>
            </w:pPr>
            <w:r w:rsidRPr="00B647DB">
              <w:rPr>
                <w:rFonts w:cstheme="minorHAnsi"/>
                <w:sz w:val="20"/>
                <w:szCs w:val="20"/>
              </w:rPr>
              <w:t>Não há relação jurídica entre os interessados</w:t>
            </w:r>
            <w:r>
              <w:rPr>
                <w:rFonts w:cstheme="minorHAnsi"/>
                <w:sz w:val="20"/>
                <w:szCs w:val="20"/>
              </w:rPr>
              <w:t>.</w:t>
            </w:r>
          </w:p>
        </w:tc>
        <w:tc>
          <w:tcPr>
            <w:tcW w:w="2521" w:type="dxa"/>
          </w:tcPr>
          <w:p w14:paraId="2A5418D3" w14:textId="62C5B874" w:rsidR="00B647DB" w:rsidRPr="00B647DB" w:rsidRDefault="00B647DB" w:rsidP="00B647DB">
            <w:pPr>
              <w:spacing w:line="360" w:lineRule="auto"/>
              <w:jc w:val="both"/>
              <w:rPr>
                <w:rFonts w:cstheme="minorHAnsi"/>
                <w:b/>
                <w:color w:val="000000"/>
                <w:sz w:val="20"/>
                <w:szCs w:val="20"/>
              </w:rPr>
            </w:pPr>
            <w:r w:rsidRPr="002D0704">
              <w:rPr>
                <w:rFonts w:cstheme="minorHAnsi"/>
                <w:b/>
                <w:sz w:val="20"/>
                <w:szCs w:val="20"/>
                <w:u w:val="single"/>
              </w:rPr>
              <w:t>D</w:t>
            </w:r>
            <w:r w:rsidRPr="002D0704">
              <w:rPr>
                <w:rFonts w:cstheme="minorHAnsi"/>
                <w:b/>
                <w:sz w:val="20"/>
                <w:szCs w:val="20"/>
                <w:u w:val="single"/>
              </w:rPr>
              <w:t>ivisibilidade do objeto</w:t>
            </w:r>
            <w:r w:rsidRPr="00B647DB">
              <w:rPr>
                <w:rFonts w:cstheme="minorHAnsi"/>
                <w:sz w:val="20"/>
                <w:szCs w:val="20"/>
              </w:rPr>
              <w:t>.</w:t>
            </w:r>
          </w:p>
        </w:tc>
      </w:tr>
    </w:tbl>
    <w:p w14:paraId="1215AE43" w14:textId="065FDA7C" w:rsidR="00B93833" w:rsidRPr="001C1E38" w:rsidRDefault="00B93833" w:rsidP="00DB34CD">
      <w:pPr>
        <w:spacing w:after="0" w:line="360" w:lineRule="auto"/>
        <w:jc w:val="both"/>
        <w:rPr>
          <w:rFonts w:cstheme="minorHAnsi"/>
          <w:b/>
          <w:color w:val="000000"/>
          <w:sz w:val="24"/>
          <w:szCs w:val="24"/>
        </w:rPr>
      </w:pPr>
    </w:p>
    <w:sectPr w:rsidR="00B93833" w:rsidRPr="001C1E3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2C2D"/>
    <w:multiLevelType w:val="hybridMultilevel"/>
    <w:tmpl w:val="F0965F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DC62ECB"/>
    <w:multiLevelType w:val="multilevel"/>
    <w:tmpl w:val="9C388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C0003B7"/>
    <w:multiLevelType w:val="hybridMultilevel"/>
    <w:tmpl w:val="84CCEC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360"/>
    <w:rsid w:val="0002584D"/>
    <w:rsid w:val="000329A0"/>
    <w:rsid w:val="000E535F"/>
    <w:rsid w:val="0012080C"/>
    <w:rsid w:val="00191F0D"/>
    <w:rsid w:val="001C1E38"/>
    <w:rsid w:val="00243D51"/>
    <w:rsid w:val="00284A79"/>
    <w:rsid w:val="002D0704"/>
    <w:rsid w:val="002D183A"/>
    <w:rsid w:val="002E3774"/>
    <w:rsid w:val="003465C4"/>
    <w:rsid w:val="003A6B69"/>
    <w:rsid w:val="003F4BCE"/>
    <w:rsid w:val="004241E7"/>
    <w:rsid w:val="00447922"/>
    <w:rsid w:val="00575045"/>
    <w:rsid w:val="00613E21"/>
    <w:rsid w:val="00667CAB"/>
    <w:rsid w:val="00687C4A"/>
    <w:rsid w:val="006A7F26"/>
    <w:rsid w:val="006C2C8A"/>
    <w:rsid w:val="00762474"/>
    <w:rsid w:val="007C2369"/>
    <w:rsid w:val="0085473F"/>
    <w:rsid w:val="00887445"/>
    <w:rsid w:val="008B0E70"/>
    <w:rsid w:val="009179CF"/>
    <w:rsid w:val="0094446B"/>
    <w:rsid w:val="00965485"/>
    <w:rsid w:val="00A57360"/>
    <w:rsid w:val="00B647DB"/>
    <w:rsid w:val="00B93833"/>
    <w:rsid w:val="00BB110D"/>
    <w:rsid w:val="00BD7D94"/>
    <w:rsid w:val="00BF25B4"/>
    <w:rsid w:val="00C20756"/>
    <w:rsid w:val="00D66699"/>
    <w:rsid w:val="00DB0FDF"/>
    <w:rsid w:val="00DB34CD"/>
    <w:rsid w:val="00E0085E"/>
    <w:rsid w:val="00E32B45"/>
    <w:rsid w:val="00E9037C"/>
    <w:rsid w:val="00EE4134"/>
    <w:rsid w:val="00F032F3"/>
    <w:rsid w:val="00F27E98"/>
    <w:rsid w:val="00FF5B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E0698"/>
  <w15:chartTrackingRefBased/>
  <w15:docId w15:val="{5ADB297B-33E8-499F-823E-97707AA75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E008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2080C"/>
    <w:pPr>
      <w:ind w:left="720"/>
      <w:contextualSpacing/>
    </w:pPr>
  </w:style>
  <w:style w:type="character" w:styleId="Hyperlink">
    <w:name w:val="Hyperlink"/>
    <w:basedOn w:val="Fontepargpadro"/>
    <w:uiPriority w:val="99"/>
    <w:semiHidden/>
    <w:unhideWhenUsed/>
    <w:rsid w:val="00C20756"/>
    <w:rPr>
      <w:color w:val="0000FF"/>
      <w:u w:val="single"/>
    </w:rPr>
  </w:style>
  <w:style w:type="paragraph" w:styleId="NormalWeb">
    <w:name w:val="Normal (Web)"/>
    <w:basedOn w:val="Normal"/>
    <w:uiPriority w:val="99"/>
    <w:semiHidden/>
    <w:unhideWhenUsed/>
    <w:rsid w:val="002D183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0085E"/>
    <w:rPr>
      <w:rFonts w:ascii="Times New Roman" w:eastAsia="Times New Roman" w:hAnsi="Times New Roman" w:cs="Times New Roman"/>
      <w:b/>
      <w:bCs/>
      <w:kern w:val="36"/>
      <w:sz w:val="48"/>
      <w:szCs w:val="48"/>
      <w:lang w:eastAsia="pt-BR"/>
    </w:rPr>
  </w:style>
  <w:style w:type="character" w:styleId="Forte">
    <w:name w:val="Strong"/>
    <w:basedOn w:val="Fontepargpadro"/>
    <w:uiPriority w:val="22"/>
    <w:qFormat/>
    <w:rsid w:val="00E0085E"/>
    <w:rPr>
      <w:b/>
      <w:bCs/>
    </w:rPr>
  </w:style>
  <w:style w:type="character" w:styleId="nfase">
    <w:name w:val="Emphasis"/>
    <w:basedOn w:val="Fontepargpadro"/>
    <w:uiPriority w:val="20"/>
    <w:qFormat/>
    <w:rsid w:val="00E0085E"/>
    <w:rPr>
      <w:i/>
      <w:iCs/>
    </w:rPr>
  </w:style>
  <w:style w:type="character" w:customStyle="1" w:styleId="texto">
    <w:name w:val="texto"/>
    <w:basedOn w:val="Fontepargpadro"/>
    <w:rsid w:val="00E0085E"/>
  </w:style>
  <w:style w:type="character" w:customStyle="1" w:styleId="destaque">
    <w:name w:val="destaque"/>
    <w:basedOn w:val="Fontepargpadro"/>
    <w:rsid w:val="00E0085E"/>
  </w:style>
  <w:style w:type="character" w:customStyle="1" w:styleId="objtextosrelprocessos">
    <w:name w:val="obj_textos_rel_processos"/>
    <w:basedOn w:val="Fontepargpadro"/>
    <w:rsid w:val="00E0085E"/>
  </w:style>
  <w:style w:type="table" w:styleId="Tabelacomgrade">
    <w:name w:val="Table Grid"/>
    <w:basedOn w:val="Tabelanormal"/>
    <w:uiPriority w:val="39"/>
    <w:rsid w:val="00B938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389469">
      <w:bodyDiv w:val="1"/>
      <w:marLeft w:val="0"/>
      <w:marRight w:val="0"/>
      <w:marTop w:val="0"/>
      <w:marBottom w:val="0"/>
      <w:divBdr>
        <w:top w:val="none" w:sz="0" w:space="0" w:color="auto"/>
        <w:left w:val="none" w:sz="0" w:space="0" w:color="auto"/>
        <w:bottom w:val="none" w:sz="0" w:space="0" w:color="auto"/>
        <w:right w:val="none" w:sz="0" w:space="0" w:color="auto"/>
      </w:divBdr>
    </w:div>
    <w:div w:id="1064988318">
      <w:bodyDiv w:val="1"/>
      <w:marLeft w:val="0"/>
      <w:marRight w:val="0"/>
      <w:marTop w:val="0"/>
      <w:marBottom w:val="0"/>
      <w:divBdr>
        <w:top w:val="none" w:sz="0" w:space="0" w:color="auto"/>
        <w:left w:val="none" w:sz="0" w:space="0" w:color="auto"/>
        <w:bottom w:val="none" w:sz="0" w:space="0" w:color="auto"/>
        <w:right w:val="none" w:sz="0" w:space="0" w:color="auto"/>
      </w:divBdr>
    </w:div>
    <w:div w:id="1730029582">
      <w:bodyDiv w:val="1"/>
      <w:marLeft w:val="0"/>
      <w:marRight w:val="0"/>
      <w:marTop w:val="0"/>
      <w:marBottom w:val="0"/>
      <w:divBdr>
        <w:top w:val="none" w:sz="0" w:space="0" w:color="auto"/>
        <w:left w:val="none" w:sz="0" w:space="0" w:color="auto"/>
        <w:bottom w:val="none" w:sz="0" w:space="0" w:color="auto"/>
        <w:right w:val="none" w:sz="0" w:space="0" w:color="auto"/>
      </w:divBdr>
      <w:divsChild>
        <w:div w:id="1999963506">
          <w:marLeft w:val="510"/>
          <w:marRight w:val="210"/>
          <w:marTop w:val="0"/>
          <w:marBottom w:val="0"/>
          <w:divBdr>
            <w:top w:val="none" w:sz="0" w:space="0" w:color="auto"/>
            <w:left w:val="none" w:sz="0" w:space="0" w:color="auto"/>
            <w:bottom w:val="none" w:sz="0" w:space="0" w:color="auto"/>
            <w:right w:val="none" w:sz="0" w:space="0" w:color="auto"/>
          </w:divBdr>
        </w:div>
        <w:div w:id="682710856">
          <w:marLeft w:val="480"/>
          <w:marRight w:val="0"/>
          <w:marTop w:val="0"/>
          <w:marBottom w:val="0"/>
          <w:divBdr>
            <w:top w:val="none" w:sz="0" w:space="0" w:color="auto"/>
            <w:left w:val="none" w:sz="0" w:space="0" w:color="auto"/>
            <w:bottom w:val="none" w:sz="0" w:space="0" w:color="auto"/>
            <w:right w:val="none" w:sz="0" w:space="0" w:color="auto"/>
          </w:divBdr>
          <w:divsChild>
            <w:div w:id="1994983504">
              <w:marLeft w:val="0"/>
              <w:marRight w:val="0"/>
              <w:marTop w:val="0"/>
              <w:marBottom w:val="0"/>
              <w:divBdr>
                <w:top w:val="none" w:sz="0" w:space="0" w:color="auto"/>
                <w:left w:val="none" w:sz="0" w:space="0" w:color="auto"/>
                <w:bottom w:val="none" w:sz="0" w:space="0" w:color="auto"/>
                <w:right w:val="none" w:sz="0" w:space="0" w:color="auto"/>
              </w:divBdr>
            </w:div>
            <w:div w:id="979384375">
              <w:marLeft w:val="330"/>
              <w:marRight w:val="0"/>
              <w:marTop w:val="450"/>
              <w:marBottom w:val="0"/>
              <w:divBdr>
                <w:top w:val="none" w:sz="0" w:space="0" w:color="auto"/>
                <w:left w:val="none" w:sz="0" w:space="0" w:color="auto"/>
                <w:bottom w:val="none" w:sz="0" w:space="0" w:color="auto"/>
                <w:right w:val="none" w:sz="0" w:space="0" w:color="auto"/>
              </w:divBdr>
            </w:div>
          </w:divsChild>
        </w:div>
        <w:div w:id="2019889816">
          <w:marLeft w:val="495"/>
          <w:marRight w:val="0"/>
          <w:marTop w:val="300"/>
          <w:marBottom w:val="300"/>
          <w:divBdr>
            <w:top w:val="none" w:sz="0" w:space="0" w:color="auto"/>
            <w:left w:val="none" w:sz="0" w:space="0" w:color="auto"/>
            <w:bottom w:val="none" w:sz="0" w:space="0" w:color="auto"/>
            <w:right w:val="none" w:sz="0" w:space="0" w:color="auto"/>
          </w:divBdr>
        </w:div>
      </w:divsChild>
    </w:div>
    <w:div w:id="2046707095">
      <w:bodyDiv w:val="1"/>
      <w:marLeft w:val="0"/>
      <w:marRight w:val="0"/>
      <w:marTop w:val="0"/>
      <w:marBottom w:val="0"/>
      <w:divBdr>
        <w:top w:val="none" w:sz="0" w:space="0" w:color="auto"/>
        <w:left w:val="none" w:sz="0" w:space="0" w:color="auto"/>
        <w:bottom w:val="none" w:sz="0" w:space="0" w:color="auto"/>
        <w:right w:val="none" w:sz="0" w:space="0" w:color="auto"/>
      </w:divBdr>
      <w:divsChild>
        <w:div w:id="950281208">
          <w:marLeft w:val="0"/>
          <w:marRight w:val="0"/>
          <w:marTop w:val="0"/>
          <w:marBottom w:val="0"/>
          <w:divBdr>
            <w:top w:val="none" w:sz="0" w:space="0" w:color="auto"/>
            <w:left w:val="none" w:sz="0" w:space="0" w:color="auto"/>
            <w:bottom w:val="none" w:sz="0" w:space="0" w:color="auto"/>
            <w:right w:val="none" w:sz="0" w:space="0" w:color="auto"/>
          </w:divBdr>
        </w:div>
      </w:divsChild>
    </w:div>
    <w:div w:id="204795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2263</Words>
  <Characters>12226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Paixão</dc:creator>
  <cp:keywords/>
  <dc:description/>
  <cp:lastModifiedBy>Vivian Paixão</cp:lastModifiedBy>
  <cp:revision>9</cp:revision>
  <dcterms:created xsi:type="dcterms:W3CDTF">2020-04-03T23:21:00Z</dcterms:created>
  <dcterms:modified xsi:type="dcterms:W3CDTF">2020-04-03T23:44:00Z</dcterms:modified>
</cp:coreProperties>
</file>