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548A" w14:textId="77777777" w:rsidR="00CF4DCD" w:rsidRPr="000E56E4" w:rsidRDefault="00CF4DCD" w:rsidP="000E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direito </w:t>
      </w:r>
      <w:proofErr w:type="spellStart"/>
      <w:proofErr w:type="gram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neo-moderno</w:t>
      </w:r>
      <w:proofErr w:type="spellEnd"/>
      <w:proofErr w:type="gramEnd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das políticas públicas</w:t>
      </w:r>
    </w:p>
    <w:p w14:paraId="5A8E2CCA" w14:textId="77777777" w:rsidR="00EE5043" w:rsidRPr="000E56E4" w:rsidRDefault="00EE5043" w:rsidP="000E56E4">
      <w:pPr>
        <w:pStyle w:val="NormalWeb"/>
        <w:spacing w:before="0" w:beforeAutospacing="0" w:after="0" w:afterAutospacing="0"/>
        <w:jc w:val="center"/>
        <w:rPr>
          <w:i/>
          <w:iCs/>
        </w:rPr>
      </w:pPr>
      <w:r w:rsidRPr="000E56E4">
        <w:rPr>
          <w:i/>
          <w:iCs/>
        </w:rPr>
        <w:t xml:space="preserve">Charles-Albert </w:t>
      </w:r>
      <w:proofErr w:type="spellStart"/>
      <w:r w:rsidRPr="000E56E4">
        <w:rPr>
          <w:i/>
          <w:iCs/>
        </w:rPr>
        <w:t>Morand</w:t>
      </w:r>
      <w:proofErr w:type="spellEnd"/>
    </w:p>
    <w:p w14:paraId="1B59287D" w14:textId="77777777" w:rsidR="00EE5043" w:rsidRPr="000E56E4" w:rsidRDefault="00EE5043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2F47D" w14:textId="77777777" w:rsidR="00985EE1" w:rsidRPr="000E56E4" w:rsidRDefault="00CF4DCD" w:rsidP="000E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direito do estado reflexivo</w:t>
      </w:r>
    </w:p>
    <w:p w14:paraId="431A3846" w14:textId="77777777" w:rsidR="00CF4DCD" w:rsidRPr="000E56E4" w:rsidRDefault="00CF4DCD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EDBF9A" w14:textId="77777777" w:rsidR="00086D3D" w:rsidRPr="000E56E4" w:rsidRDefault="00086D3D" w:rsidP="000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Traduzido do francês por Isabela Ruiz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customMarkFollows="1" w:id="1"/>
        <w:t>*</w:t>
      </w:r>
    </w:p>
    <w:p w14:paraId="3EDC5F8C" w14:textId="77777777" w:rsidR="00086D3D" w:rsidRPr="000E56E4" w:rsidRDefault="00086D3D" w:rsidP="000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Revisado por __________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customMarkFollows="1" w:id="2"/>
        <w:t>**</w:t>
      </w:r>
    </w:p>
    <w:p w14:paraId="274A4737" w14:textId="77777777" w:rsidR="00086D3D" w:rsidRPr="000E56E4" w:rsidRDefault="00086D3D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9ADC26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teóricos da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autopoiese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consideram que, </w:t>
      </w:r>
      <w:r w:rsidR="00D412C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ra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zão </w:t>
      </w:r>
      <w:proofErr w:type="gramStart"/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programas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incapazes de agir </w:t>
      </w:r>
      <w:r w:rsidR="00D412C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eficientemente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coerção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sistemas (economia, cultura etc.), </w:t>
      </w:r>
      <w:r w:rsidR="00A97DF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igualmente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desesperadamente fechados. Esses programas geralmente têm efeitos nocivos e </w:t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desperdício de tempo e dinheiro</w:t>
      </w:r>
      <w:r w:rsidR="00C459D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"/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Uma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intervenção autoritária e direta </w:t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sistemas fechados é tão ineficaz quanto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de </w:t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canhoneiras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política </w:t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porrete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459D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propõem, a partir 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análise, a substituição dos programas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programas relacionais </w:t>
      </w:r>
      <w:r w:rsidR="00D412C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produzindo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direito reflexivo</w:t>
      </w:r>
      <w:r w:rsidR="00C459D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AFC8F79" w14:textId="77777777" w:rsidR="00CF4DCD" w:rsidRPr="000E56E4" w:rsidRDefault="00C459D5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reflexivo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propulsivo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flexibilizado</w:t>
      </w:r>
      <w:proofErr w:type="gramEnd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alguns falam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catalisador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leva em conta as reações dos destinatários de seus comandos ou que procura se adaptar à lógica dos sistemas que ele tenta influenciar. </w:t>
      </w:r>
      <w:r w:rsidR="00BF562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 demonstra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 </w:t>
      </w:r>
      <w:proofErr w:type="spellStart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Willke</w:t>
      </w:r>
      <w:proofErr w:type="spellEnd"/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empatia sistêmica. Ele procura entender o modo operacional de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outro</w:t>
      </w:r>
      <w:proofErr w:type="gramEnd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 e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extrair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consequências para suas operações internas. O corporativismo social,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desenvolveu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final do século XIX na Alemanha, </w:t>
      </w:r>
      <w:proofErr w:type="gramStart"/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gramEnd"/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Áustria,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Holanda e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Suíça como resultado da transformação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corporações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grupos de interesse</w:t>
      </w:r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alcança o mais alto grau de empatia sistêmica.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 assegura a mediação entre o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e a sociedade civil. Os grupos de interesse podem,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graças a uma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participação garantida e constante na tomada de decisões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estatais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assegurar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levem em consideração seu modus operandi interno. No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domínio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econômico, o Estado renuncia a uma parcela de dominação que se tornou incerta para ele, mas os grupos renunciam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seu lado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parte da liberdade, também incerta. À medida que as relações se intensificam e se tornam 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regulares, observamos o nascimento de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estrutura que garante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maneira estável,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confrontação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uma harmonização </w:t>
      </w:r>
      <w:r w:rsidR="00FB1D8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 pontos de vista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5A0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e da economia</w:t>
      </w:r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corporativismo social é o mecanismo mais maduro e mais bem-sucedido para garantir essa harmonização. A crítica dos </w:t>
      </w:r>
      <w:r w:rsidR="00C47191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adeptos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autopoiese</w:t>
      </w:r>
      <w:proofErr w:type="spellEnd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191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respeito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191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programas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C47191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excessiva na medida em que a maioria dos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stados </w:t>
      </w:r>
      <w:r w:rsidR="00C47191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renunciou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espontaneamente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como resultado de movimentos sociais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produzir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políticas públicas puramente autoritárias 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introduziram nas suas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ações </w:t>
      </w:r>
      <w:proofErr w:type="gramStart"/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dose de reflexibilidade. </w:t>
      </w:r>
      <w:proofErr w:type="spellStart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Willke</w:t>
      </w:r>
      <w:proofErr w:type="spellEnd"/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tão crítico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respeito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programas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reconhece implicitamente, citando Rose</w:t>
      </w:r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eles representam uma estrutura mais teóric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 que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prática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democracias: “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políticas sociais dos 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stados modernos consistem mais em atos de cooperação do que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soberania. El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podem ter sucesso se estiverem em harmonia com o comportamento independente d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indivíduos,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famílias 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pequenos grupos sociais que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poderiam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resistir ou reagir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imprevisível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política </w:t>
      </w:r>
      <w:r w:rsidR="005E5D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governamental</w:t>
      </w:r>
      <w:r w:rsidR="00EB6AD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FB1D8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a teoria </w:t>
      </w:r>
      <w:proofErr w:type="spellStart"/>
      <w:r w:rsidR="00FB1D8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ética</w:t>
      </w:r>
      <w:proofErr w:type="spellEnd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fez uma crítica fantástica aos programas 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307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exagerando sua natureza rígida e autoritária,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ela conserva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o seu valor explicativo para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dificuldade de agir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direito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sistemas sociais cada vez mais fechados e a necessidade de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recorrer o mais amplamente possível aos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programas relacionais.</w:t>
      </w:r>
    </w:p>
    <w:p w14:paraId="0618DD7E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empatia sistêmica é alcançada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seja pela negociação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soluções que podem ser dadas aos problemas sociais,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levando em consideração os pontos de vista e os critérios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os at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ores influenciados se movem. O 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reflexivo procede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reduzindo,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negociação, suas capacidades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heteron</w:t>
      </w:r>
      <w:r w:rsidR="00FB1D8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ormativas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teóricas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respeitando as faculdades de auto-organização dos grupos que ele busca dirigir.</w:t>
      </w:r>
    </w:p>
    <w:p w14:paraId="02F5D7A9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modelo do </w:t>
      </w:r>
      <w:r w:rsidR="002A438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reflexivo tem mais valor heurístico do que outros. </w:t>
      </w:r>
      <w:r w:rsidR="005E556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 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epresenta um desenvolvimento do </w:t>
      </w:r>
      <w:r w:rsidR="005E556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propulsivo inerente à existência d</w:t>
      </w:r>
      <w:r w:rsidR="005E556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 instituições democráticas. O 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5E556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propulsivo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autoritário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só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concebível em forma pura em um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totalitário. E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le 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ncontrou sua expressão plena em países que recorreram a um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planificação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rígid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Alemanha do Terceiro Reich, como a União Soviética e naqueles que,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provisória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estabeleceram uma economia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guerra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reconstrução.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instituição da democracia introduz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ela sozinha,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certa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dose 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reflexividade na medida em que os eleitores são chamados a julgar e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reorientar as políticas públicas adotadas por seus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governantes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Ela t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efeito colateral </w:t>
      </w:r>
      <w:r w:rsidR="009623B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importante. Ao garantir múltiplos direitos aos litigantes,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 a resistência d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indivíduos e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a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comandos autoritários. Ao desenvolver essa capacidade de resistência, a democracia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dirigentes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introduzir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dose de </w:t>
      </w:r>
      <w:r w:rsidR="002E62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adoção e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D3495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regulamentos autoritários. Uma democracia direta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abrangente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com que essa necessidade de </w:t>
      </w:r>
      <w:r w:rsidR="002E62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cresça </w:t>
      </w:r>
      <w:r w:rsidR="00AD39B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geométrica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C5F1A4E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dosagem da reflexibilidade varia enormemente de um país para outro. </w:t>
      </w:r>
      <w:r w:rsidR="002E62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Numa escala que tentaria medi-la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Suíça e a França ocupariam </w:t>
      </w:r>
      <w:r w:rsidR="00E9479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posições extremas. A Suíça constitui o 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reflexivo por excelência, um </w:t>
      </w:r>
      <w:r w:rsidR="00E9479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proofErr w:type="spellStart"/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neo-corporativista</w:t>
      </w:r>
      <w:proofErr w:type="spellEnd"/>
      <w:proofErr w:type="gramEnd"/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2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As instituições d</w:t>
      </w:r>
      <w:r w:rsidR="002E62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democracia direta tornam a </w:t>
      </w:r>
      <w:r w:rsidR="002E62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indispensável. Nenhuma política pública pode ser adotada sem </w:t>
      </w:r>
      <w:r w:rsidR="006626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que aconteçam grandes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negociações com os grupos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 procedimento de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obrigatório e institucionalizado fornece a estrutura para a discussão, que deve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normalmente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resultar em compromissos aceitáveis pelo menos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grupos influentes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susceptíveis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provocar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referendo ou </w:t>
      </w:r>
      <w:r w:rsidR="004E48C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desempenhar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papel em uma campanha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referend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ária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Além do procedimento de 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institucionalizad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ocorrem vastas negociações não oficiais. O federalismo de execução, por outro lado, 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zonas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negociação 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relativas à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aplicação </w:t>
      </w:r>
      <w:r w:rsidR="00A7358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autoridades federais e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cantonais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 </w:t>
      </w:r>
      <w:r w:rsidR="00F527D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aquela</w:t>
      </w:r>
      <w:r w:rsidR="001632F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1632F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de interesse loca</w:t>
      </w:r>
      <w:r w:rsidR="001632F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com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comunas</w:t>
      </w:r>
      <w:r w:rsidR="00380ED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cuja autonomia é garantida. A n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egociação e </w:t>
      </w:r>
      <w:r w:rsidR="00380ED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compromisso </w:t>
      </w:r>
      <w:r w:rsidR="00F527D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atravessam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527D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uma ponta a outra 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de formação e </w:t>
      </w:r>
      <w:r w:rsidR="00F527D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aplicação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527D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780E6BF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políticas públicas, que parecem ser as mais autoritárias à primeira vista,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garantem, no entanto, um grande espaço à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consulta.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Num primeiro momento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nada parece mais vinculativo do que os valores-limite de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emissão consagrados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suíça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proteção ambiental. No entanto, o estabelecimento desses valore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s, que devem ser operados pelo g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overno, levando em consideração o estado da </w:t>
      </w:r>
      <w:r w:rsidR="005A76A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condições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exploração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caráter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economicamente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sustentável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limitações</w:t>
      </w:r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3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implica e é objeto de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negociações com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grupos </w:t>
      </w:r>
      <w:r w:rsidR="006A5D4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saneamento 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empresas que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ultrapassam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esses limites é feita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quadro de um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 que estabelec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 um diálogo com a autoridade. Ele se 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pera com base em um plano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pelas próprias empresas</w:t>
      </w:r>
      <w:r w:rsidR="00EB6AD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4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o respeito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valores é imperativo, a negociação diz respeito ao tempo necessário para a realização do saneamento e </w:t>
      </w:r>
      <w:r w:rsidR="00857C9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mitigamentos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podem ser concedidos. Sob a estrutura autoritária dos valores-limite de emissão, a lei estabelece uma segunda </w:t>
      </w:r>
      <w:r w:rsidR="006A5D4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compreende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diálogo e </w:t>
      </w:r>
      <w:r w:rsidR="006A5D4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7211803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E4">
        <w:rPr>
          <w:rFonts w:ascii="Times New Roman" w:hAnsi="Times New Roman" w:cs="Times New Roman"/>
          <w:sz w:val="24"/>
          <w:szCs w:val="24"/>
        </w:rPr>
        <w:t xml:space="preserve">A França é apresentada </w:t>
      </w:r>
      <w:r w:rsidR="006A5D48" w:rsidRPr="000E56E4">
        <w:rPr>
          <w:rFonts w:ascii="Times New Roman" w:hAnsi="Times New Roman" w:cs="Times New Roman"/>
          <w:sz w:val="24"/>
          <w:szCs w:val="24"/>
        </w:rPr>
        <w:t xml:space="preserve">tradicionalmente </w:t>
      </w:r>
      <w:r w:rsidRPr="000E56E4">
        <w:rPr>
          <w:rFonts w:ascii="Times New Roman" w:hAnsi="Times New Roman" w:cs="Times New Roman"/>
          <w:sz w:val="24"/>
          <w:szCs w:val="24"/>
        </w:rPr>
        <w:t>como</w:t>
      </w:r>
      <w:r w:rsidR="006A5D48" w:rsidRPr="000E56E4">
        <w:rPr>
          <w:rFonts w:ascii="Times New Roman" w:hAnsi="Times New Roman" w:cs="Times New Roman"/>
          <w:sz w:val="24"/>
          <w:szCs w:val="24"/>
        </w:rPr>
        <w:t xml:space="preserve"> o E</w:t>
      </w:r>
      <w:r w:rsidR="00EB6AD6" w:rsidRPr="000E56E4">
        <w:rPr>
          <w:rFonts w:ascii="Times New Roman" w:hAnsi="Times New Roman" w:cs="Times New Roman"/>
          <w:sz w:val="24"/>
          <w:szCs w:val="24"/>
        </w:rPr>
        <w:t>stado forte e centralizado</w:t>
      </w:r>
      <w:r w:rsidRPr="000E56E4">
        <w:rPr>
          <w:rFonts w:ascii="Times New Roman" w:hAnsi="Times New Roman" w:cs="Times New Roman"/>
          <w:sz w:val="24"/>
          <w:szCs w:val="24"/>
        </w:rPr>
        <w:t xml:space="preserve">, </w:t>
      </w:r>
      <w:r w:rsidR="00EB6AD6" w:rsidRPr="000E56E4">
        <w:rPr>
          <w:rFonts w:ascii="Times New Roman" w:hAnsi="Times New Roman" w:cs="Times New Roman"/>
          <w:sz w:val="24"/>
          <w:szCs w:val="24"/>
        </w:rPr>
        <w:t>“</w:t>
      </w:r>
      <w:r w:rsidRPr="000E56E4">
        <w:rPr>
          <w:rFonts w:ascii="Times New Roman" w:hAnsi="Times New Roman" w:cs="Times New Roman"/>
          <w:sz w:val="24"/>
          <w:szCs w:val="24"/>
        </w:rPr>
        <w:t>o protótipo</w:t>
      </w:r>
      <w:r w:rsidR="00382603" w:rsidRPr="000E56E4">
        <w:rPr>
          <w:rFonts w:ascii="Times New Roman" w:hAnsi="Times New Roman" w:cs="Times New Roman"/>
          <w:sz w:val="24"/>
          <w:szCs w:val="24"/>
        </w:rPr>
        <w:t xml:space="preserve"> do modelo estatista, no qual </w:t>
      </w:r>
      <w:r w:rsidRPr="000E56E4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382603" w:rsidRPr="00F80F54">
        <w:rPr>
          <w:rFonts w:ascii="Times New Roman" w:hAnsi="Times New Roman" w:cs="Times New Roman"/>
          <w:sz w:val="24"/>
          <w:szCs w:val="24"/>
        </w:rPr>
        <w:t>burocracias</w:t>
      </w:r>
      <w:r w:rsidRPr="000E56E4">
        <w:rPr>
          <w:rFonts w:ascii="Times New Roman" w:hAnsi="Times New Roman" w:cs="Times New Roman"/>
          <w:sz w:val="24"/>
          <w:szCs w:val="24"/>
        </w:rPr>
        <w:t xml:space="preserve">, gabinetes ministeriais e especialistas públicos desempenham um papel </w:t>
      </w:r>
      <w:r w:rsidR="006A5D48" w:rsidRPr="000E56E4">
        <w:rPr>
          <w:rFonts w:ascii="Times New Roman" w:hAnsi="Times New Roman" w:cs="Times New Roman"/>
          <w:sz w:val="24"/>
          <w:szCs w:val="24"/>
        </w:rPr>
        <w:t>preponderante</w:t>
      </w:r>
      <w:proofErr w:type="gramStart"/>
      <w:r w:rsidR="00EB6AD6" w:rsidRPr="000E56E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B6AD6" w:rsidRPr="000E56E4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Pr="000E56E4">
        <w:rPr>
          <w:rFonts w:ascii="Times New Roman" w:hAnsi="Times New Roman" w:cs="Times New Roman"/>
          <w:sz w:val="24"/>
          <w:szCs w:val="24"/>
        </w:rPr>
        <w:t xml:space="preserve">. A desconfiança </w:t>
      </w:r>
      <w:r w:rsidR="00382603" w:rsidRPr="000E56E4">
        <w:rPr>
          <w:rFonts w:ascii="Times New Roman" w:hAnsi="Times New Roman" w:cs="Times New Roman"/>
          <w:sz w:val="24"/>
          <w:szCs w:val="24"/>
        </w:rPr>
        <w:t>no que diz respeito ao corporativismo, a</w:t>
      </w:r>
      <w:r w:rsidRPr="000E56E4">
        <w:rPr>
          <w:rFonts w:ascii="Times New Roman" w:hAnsi="Times New Roman" w:cs="Times New Roman"/>
          <w:sz w:val="24"/>
          <w:szCs w:val="24"/>
        </w:rPr>
        <w:t xml:space="preserve">o federalismo, </w:t>
      </w:r>
      <w:r w:rsidR="00382603" w:rsidRPr="000E56E4">
        <w:rPr>
          <w:rFonts w:ascii="Times New Roman" w:hAnsi="Times New Roman" w:cs="Times New Roman"/>
          <w:sz w:val="24"/>
          <w:szCs w:val="24"/>
        </w:rPr>
        <w:t>a</w:t>
      </w:r>
      <w:r w:rsidRPr="000E56E4">
        <w:rPr>
          <w:rFonts w:ascii="Times New Roman" w:hAnsi="Times New Roman" w:cs="Times New Roman"/>
          <w:sz w:val="24"/>
          <w:szCs w:val="24"/>
        </w:rPr>
        <w:t xml:space="preserve"> tudo </w:t>
      </w:r>
      <w:r w:rsidR="00382603" w:rsidRPr="000E56E4">
        <w:rPr>
          <w:rFonts w:ascii="Times New Roman" w:hAnsi="Times New Roman" w:cs="Times New Roman"/>
          <w:sz w:val="24"/>
          <w:szCs w:val="24"/>
        </w:rPr>
        <w:t>aquilo</w:t>
      </w:r>
      <w:r w:rsidRPr="000E56E4">
        <w:rPr>
          <w:rFonts w:ascii="Times New Roman" w:hAnsi="Times New Roman" w:cs="Times New Roman"/>
          <w:sz w:val="24"/>
          <w:szCs w:val="24"/>
        </w:rPr>
        <w:t xml:space="preserve"> que divide e impede o tratamento igual dos indivíduos, tem raízes profundas. A supressão das empresas e a consolidação durante a Revolução do esforço de centralização empreendido pela monarquia explica a baixa propensão ao estabelecimento de estruturas reflexivas. Essa desconfiança </w:t>
      </w:r>
      <w:r w:rsidR="00382603" w:rsidRPr="000E56E4">
        <w:rPr>
          <w:rFonts w:ascii="Times New Roman" w:hAnsi="Times New Roman" w:cs="Times New Roman"/>
          <w:sz w:val="24"/>
          <w:szCs w:val="24"/>
        </w:rPr>
        <w:t>no que diz respeito</w:t>
      </w:r>
      <w:r w:rsidRPr="000E56E4">
        <w:rPr>
          <w:rFonts w:ascii="Times New Roman" w:hAnsi="Times New Roman" w:cs="Times New Roman"/>
          <w:sz w:val="24"/>
          <w:szCs w:val="24"/>
        </w:rPr>
        <w:t xml:space="preserve"> </w:t>
      </w:r>
      <w:r w:rsidR="00382603" w:rsidRPr="000E56E4">
        <w:rPr>
          <w:rFonts w:ascii="Times New Roman" w:hAnsi="Times New Roman" w:cs="Times New Roman"/>
          <w:sz w:val="24"/>
          <w:szCs w:val="24"/>
        </w:rPr>
        <w:t>àquilo que</w:t>
      </w:r>
      <w:r w:rsidRPr="000E56E4">
        <w:rPr>
          <w:rFonts w:ascii="Times New Roman" w:hAnsi="Times New Roman" w:cs="Times New Roman"/>
          <w:sz w:val="24"/>
          <w:szCs w:val="24"/>
        </w:rPr>
        <w:t xml:space="preserve"> divide se manifesta tanto </w:t>
      </w:r>
      <w:r w:rsidR="00382603" w:rsidRPr="000E56E4">
        <w:rPr>
          <w:rFonts w:ascii="Times New Roman" w:hAnsi="Times New Roman" w:cs="Times New Roman"/>
          <w:sz w:val="24"/>
          <w:szCs w:val="24"/>
        </w:rPr>
        <w:t>no nível</w:t>
      </w:r>
      <w:r w:rsidRPr="000E56E4">
        <w:rPr>
          <w:rFonts w:ascii="Times New Roman" w:hAnsi="Times New Roman" w:cs="Times New Roman"/>
          <w:sz w:val="24"/>
          <w:szCs w:val="24"/>
        </w:rPr>
        <w:t xml:space="preserve"> dos princípios constitucionais que se opõem a qualquer evolução em direção ao federalismo</w:t>
      </w:r>
      <w:r w:rsidR="00EB6AD6" w:rsidRPr="000E56E4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Pr="000E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6E4">
        <w:rPr>
          <w:rFonts w:ascii="Times New Roman" w:hAnsi="Times New Roman" w:cs="Times New Roman"/>
          <w:sz w:val="24"/>
          <w:szCs w:val="24"/>
        </w:rPr>
        <w:t>quanto na cultura política, resistente a</w:t>
      </w:r>
      <w:r w:rsidR="00382603" w:rsidRPr="000E56E4">
        <w:rPr>
          <w:rFonts w:ascii="Times New Roman" w:hAnsi="Times New Roman" w:cs="Times New Roman"/>
          <w:sz w:val="24"/>
          <w:szCs w:val="24"/>
        </w:rPr>
        <w:t>os</w:t>
      </w:r>
      <w:r w:rsidRPr="000E56E4">
        <w:rPr>
          <w:rFonts w:ascii="Times New Roman" w:hAnsi="Times New Roman" w:cs="Times New Roman"/>
          <w:sz w:val="24"/>
          <w:szCs w:val="24"/>
        </w:rPr>
        <w:t xml:space="preserve"> regimes particulares, </w:t>
      </w:r>
      <w:r w:rsidR="00382603" w:rsidRPr="000E56E4">
        <w:rPr>
          <w:rFonts w:ascii="Times New Roman" w:hAnsi="Times New Roman" w:cs="Times New Roman"/>
          <w:sz w:val="24"/>
          <w:szCs w:val="24"/>
        </w:rPr>
        <w:t xml:space="preserve">às </w:t>
      </w:r>
      <w:r w:rsidRPr="000E56E4">
        <w:rPr>
          <w:rFonts w:ascii="Times New Roman" w:hAnsi="Times New Roman" w:cs="Times New Roman"/>
          <w:sz w:val="24"/>
          <w:szCs w:val="24"/>
        </w:rPr>
        <w:t xml:space="preserve">discriminações positivas, </w:t>
      </w:r>
      <w:r w:rsidR="00382603" w:rsidRPr="000E56E4">
        <w:rPr>
          <w:rFonts w:ascii="Times New Roman" w:hAnsi="Times New Roman" w:cs="Times New Roman"/>
          <w:sz w:val="24"/>
          <w:szCs w:val="24"/>
        </w:rPr>
        <w:t xml:space="preserve">às </w:t>
      </w:r>
      <w:r w:rsidRPr="000E56E4">
        <w:rPr>
          <w:rFonts w:ascii="Times New Roman" w:hAnsi="Times New Roman" w:cs="Times New Roman"/>
          <w:sz w:val="24"/>
          <w:szCs w:val="24"/>
        </w:rPr>
        <w:t>regras negociadas, fonte</w:t>
      </w:r>
      <w:proofErr w:type="gramEnd"/>
      <w:r w:rsidRPr="000E56E4">
        <w:rPr>
          <w:rFonts w:ascii="Times New Roman" w:hAnsi="Times New Roman" w:cs="Times New Roman"/>
          <w:sz w:val="24"/>
          <w:szCs w:val="24"/>
        </w:rPr>
        <w:t xml:space="preserve"> de divisão e </w:t>
      </w:r>
      <w:r w:rsidR="00382603" w:rsidRPr="000E56E4">
        <w:rPr>
          <w:rFonts w:ascii="Times New Roman" w:hAnsi="Times New Roman" w:cs="Times New Roman"/>
          <w:sz w:val="24"/>
          <w:szCs w:val="24"/>
        </w:rPr>
        <w:t xml:space="preserve">da </w:t>
      </w:r>
      <w:r w:rsidRPr="000E56E4">
        <w:rPr>
          <w:rFonts w:ascii="Times New Roman" w:hAnsi="Times New Roman" w:cs="Times New Roman"/>
          <w:sz w:val="24"/>
          <w:szCs w:val="24"/>
        </w:rPr>
        <w:t>explosão</w:t>
      </w:r>
      <w:r w:rsidR="00382603" w:rsidRPr="000E56E4">
        <w:rPr>
          <w:rFonts w:ascii="Times New Roman" w:hAnsi="Times New Roman" w:cs="Times New Roman"/>
          <w:sz w:val="24"/>
          <w:szCs w:val="24"/>
        </w:rPr>
        <w:t xml:space="preserve"> das normas</w:t>
      </w:r>
      <w:r w:rsidRPr="000E56E4">
        <w:rPr>
          <w:rFonts w:ascii="Times New Roman" w:hAnsi="Times New Roman" w:cs="Times New Roman"/>
          <w:sz w:val="24"/>
          <w:szCs w:val="24"/>
        </w:rPr>
        <w:t>.</w:t>
      </w:r>
    </w:p>
    <w:p w14:paraId="1BA2F0C7" w14:textId="77777777" w:rsidR="00CF4DCD" w:rsidRPr="000E56E4" w:rsidRDefault="00CF4DCD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E4">
        <w:rPr>
          <w:rFonts w:ascii="Times New Roman" w:hAnsi="Times New Roman" w:cs="Times New Roman"/>
          <w:sz w:val="24"/>
          <w:szCs w:val="24"/>
        </w:rPr>
        <w:t>E, no entanto</w:t>
      </w:r>
      <w:r w:rsidR="00EB6AD6" w:rsidRPr="000E56E4">
        <w:rPr>
          <w:rFonts w:ascii="Times New Roman" w:hAnsi="Times New Roman" w:cs="Times New Roman"/>
          <w:sz w:val="24"/>
          <w:szCs w:val="24"/>
        </w:rPr>
        <w:t xml:space="preserve">, transformações consideráveis </w:t>
      </w:r>
      <w:r w:rsidRPr="000E56E4">
        <w:rPr>
          <w:rFonts w:ascii="Times New Roman" w:hAnsi="Times New Roman" w:cs="Times New Roman"/>
          <w:sz w:val="24"/>
          <w:szCs w:val="24"/>
        </w:rPr>
        <w:t>estão ocorrendo tanto n</w:t>
      </w:r>
      <w:r w:rsidR="00F841A6" w:rsidRPr="000E56E4">
        <w:rPr>
          <w:rFonts w:ascii="Times New Roman" w:hAnsi="Times New Roman" w:cs="Times New Roman"/>
          <w:sz w:val="24"/>
          <w:szCs w:val="24"/>
        </w:rPr>
        <w:t>o nível d</w:t>
      </w:r>
      <w:r w:rsidRPr="000E56E4">
        <w:rPr>
          <w:rFonts w:ascii="Times New Roman" w:hAnsi="Times New Roman" w:cs="Times New Roman"/>
          <w:sz w:val="24"/>
          <w:szCs w:val="24"/>
        </w:rPr>
        <w:t>a prática quanto</w:t>
      </w:r>
      <w:r w:rsidR="00EB6AD6" w:rsidRPr="000E56E4">
        <w:rPr>
          <w:rFonts w:ascii="Times New Roman" w:hAnsi="Times New Roman" w:cs="Times New Roman"/>
          <w:sz w:val="24"/>
          <w:szCs w:val="24"/>
        </w:rPr>
        <w:t xml:space="preserve"> n</w:t>
      </w:r>
      <w:r w:rsidR="00F841A6" w:rsidRPr="000E56E4">
        <w:rPr>
          <w:rFonts w:ascii="Times New Roman" w:hAnsi="Times New Roman" w:cs="Times New Roman"/>
          <w:sz w:val="24"/>
          <w:szCs w:val="24"/>
        </w:rPr>
        <w:t>o da</w:t>
      </w:r>
      <w:r w:rsidR="00EB6AD6" w:rsidRPr="000E56E4">
        <w:rPr>
          <w:rFonts w:ascii="Times New Roman" w:hAnsi="Times New Roman" w:cs="Times New Roman"/>
          <w:sz w:val="24"/>
          <w:szCs w:val="24"/>
        </w:rPr>
        <w:t xml:space="preserve"> cultura política. O método “</w:t>
      </w:r>
      <w:proofErr w:type="spellStart"/>
      <w:r w:rsidR="00EB6AD6" w:rsidRPr="000E56E4">
        <w:rPr>
          <w:rFonts w:ascii="Times New Roman" w:hAnsi="Times New Roman" w:cs="Times New Roman"/>
          <w:sz w:val="24"/>
          <w:szCs w:val="24"/>
        </w:rPr>
        <w:t>Rocard</w:t>
      </w:r>
      <w:proofErr w:type="spellEnd"/>
      <w:r w:rsidR="00EB6AD6" w:rsidRPr="000E56E4">
        <w:rPr>
          <w:rFonts w:ascii="Times New Roman" w:hAnsi="Times New Roman" w:cs="Times New Roman"/>
          <w:sz w:val="24"/>
          <w:szCs w:val="24"/>
        </w:rPr>
        <w:t>”</w:t>
      </w:r>
      <w:r w:rsidRPr="000E56E4">
        <w:rPr>
          <w:rFonts w:ascii="Times New Roman" w:hAnsi="Times New Roman" w:cs="Times New Roman"/>
          <w:sz w:val="24"/>
          <w:szCs w:val="24"/>
        </w:rPr>
        <w:t>, estabelecido na circul</w:t>
      </w:r>
      <w:r w:rsidR="00F841A6" w:rsidRPr="000E56E4">
        <w:rPr>
          <w:rFonts w:ascii="Times New Roman" w:hAnsi="Times New Roman" w:cs="Times New Roman"/>
          <w:sz w:val="24"/>
          <w:szCs w:val="24"/>
        </w:rPr>
        <w:t xml:space="preserve">ar de 23 de fevereiro de 1989, </w:t>
      </w:r>
      <w:r w:rsidRPr="000E56E4">
        <w:rPr>
          <w:rFonts w:ascii="Times New Roman" w:hAnsi="Times New Roman" w:cs="Times New Roman"/>
          <w:sz w:val="24"/>
          <w:szCs w:val="24"/>
        </w:rPr>
        <w:t xml:space="preserve">os relatórios </w:t>
      </w:r>
      <w:proofErr w:type="spellStart"/>
      <w:r w:rsidRPr="000E56E4">
        <w:rPr>
          <w:rFonts w:ascii="Times New Roman" w:hAnsi="Times New Roman" w:cs="Times New Roman"/>
          <w:sz w:val="24"/>
          <w:szCs w:val="24"/>
        </w:rPr>
        <w:t>Picq</w:t>
      </w:r>
      <w:proofErr w:type="spellEnd"/>
      <w:r w:rsidRPr="000E56E4">
        <w:rPr>
          <w:rFonts w:ascii="Times New Roman" w:hAnsi="Times New Roman" w:cs="Times New Roman"/>
          <w:sz w:val="24"/>
          <w:szCs w:val="24"/>
        </w:rPr>
        <w:t xml:space="preserve"> (maio de 1994) e Minc (novembro de 1994), que </w:t>
      </w:r>
      <w:r w:rsidR="00F841A6" w:rsidRPr="000E56E4">
        <w:rPr>
          <w:rFonts w:ascii="Times New Roman" w:hAnsi="Times New Roman" w:cs="Times New Roman"/>
          <w:sz w:val="24"/>
          <w:szCs w:val="24"/>
        </w:rPr>
        <w:t>recomendam</w:t>
      </w:r>
      <w:r w:rsidRPr="000E56E4">
        <w:rPr>
          <w:rFonts w:ascii="Times New Roman" w:hAnsi="Times New Roman" w:cs="Times New Roman"/>
          <w:sz w:val="24"/>
          <w:szCs w:val="24"/>
        </w:rPr>
        <w:t xml:space="preserve"> o uso da negociação e</w:t>
      </w:r>
      <w:r w:rsidR="00F841A6" w:rsidRPr="000E56E4">
        <w:rPr>
          <w:rFonts w:ascii="Times New Roman" w:hAnsi="Times New Roman" w:cs="Times New Roman"/>
          <w:sz w:val="24"/>
          <w:szCs w:val="24"/>
        </w:rPr>
        <w:t>, paralelamente,</w:t>
      </w:r>
      <w:r w:rsidRPr="000E56E4">
        <w:rPr>
          <w:rFonts w:ascii="Times New Roman" w:hAnsi="Times New Roman" w:cs="Times New Roman"/>
          <w:sz w:val="24"/>
          <w:szCs w:val="24"/>
        </w:rPr>
        <w:t xml:space="preserve"> o abandono da concepção tradicional de igualdade</w:t>
      </w:r>
      <w:r w:rsidR="00EB6AD6" w:rsidRPr="000E56E4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 w:rsidRPr="000E56E4">
        <w:rPr>
          <w:rFonts w:ascii="Times New Roman" w:hAnsi="Times New Roman" w:cs="Times New Roman"/>
          <w:sz w:val="24"/>
          <w:szCs w:val="24"/>
        </w:rPr>
        <w:t xml:space="preserve">, são os sinais mais </w:t>
      </w:r>
      <w:r w:rsidR="00F841A6" w:rsidRPr="000E56E4">
        <w:rPr>
          <w:rFonts w:ascii="Times New Roman" w:hAnsi="Times New Roman" w:cs="Times New Roman"/>
          <w:sz w:val="24"/>
          <w:szCs w:val="24"/>
        </w:rPr>
        <w:t>manifestos</w:t>
      </w:r>
      <w:r w:rsidRPr="000E56E4">
        <w:rPr>
          <w:rFonts w:ascii="Times New Roman" w:hAnsi="Times New Roman" w:cs="Times New Roman"/>
          <w:sz w:val="24"/>
          <w:szCs w:val="24"/>
        </w:rPr>
        <w:t xml:space="preserve"> de uma evolução que tende a </w:t>
      </w:r>
      <w:r w:rsidR="00F841A6" w:rsidRPr="000E56E4">
        <w:rPr>
          <w:rFonts w:ascii="Times New Roman" w:hAnsi="Times New Roman" w:cs="Times New Roman"/>
          <w:sz w:val="24"/>
          <w:szCs w:val="24"/>
        </w:rPr>
        <w:t>introduzir</w:t>
      </w:r>
      <w:r w:rsidRPr="000E56E4">
        <w:rPr>
          <w:rFonts w:ascii="Times New Roman" w:hAnsi="Times New Roman" w:cs="Times New Roman"/>
          <w:sz w:val="24"/>
          <w:szCs w:val="24"/>
        </w:rPr>
        <w:t xml:space="preserve"> mais reflexibilidade na produção </w:t>
      </w:r>
      <w:r w:rsidR="00F841A6" w:rsidRPr="000E56E4">
        <w:rPr>
          <w:rFonts w:ascii="Times New Roman" w:hAnsi="Times New Roman" w:cs="Times New Roman"/>
          <w:sz w:val="24"/>
          <w:szCs w:val="24"/>
        </w:rPr>
        <w:t>do direito</w:t>
      </w:r>
      <w:r w:rsidRPr="000E56E4">
        <w:rPr>
          <w:rFonts w:ascii="Times New Roman" w:hAnsi="Times New Roman" w:cs="Times New Roman"/>
          <w:sz w:val="24"/>
          <w:szCs w:val="24"/>
        </w:rPr>
        <w:t xml:space="preserve"> e </w:t>
      </w:r>
      <w:r w:rsidR="00F841A6" w:rsidRPr="000E56E4">
        <w:rPr>
          <w:rFonts w:ascii="Times New Roman" w:hAnsi="Times New Roman" w:cs="Times New Roman"/>
          <w:sz w:val="24"/>
          <w:szCs w:val="24"/>
        </w:rPr>
        <w:t xml:space="preserve">das </w:t>
      </w:r>
      <w:r w:rsidRPr="000E56E4">
        <w:rPr>
          <w:rFonts w:ascii="Times New Roman" w:hAnsi="Times New Roman" w:cs="Times New Roman"/>
          <w:sz w:val="24"/>
          <w:szCs w:val="24"/>
        </w:rPr>
        <w:t>políticas públicas. Esse movimento</w:t>
      </w:r>
      <w:r w:rsidR="00F841A6" w:rsidRPr="000E56E4">
        <w:rPr>
          <w:rFonts w:ascii="Times New Roman" w:hAnsi="Times New Roman" w:cs="Times New Roman"/>
          <w:sz w:val="24"/>
          <w:szCs w:val="24"/>
        </w:rPr>
        <w:t>, aliás,</w:t>
      </w:r>
      <w:r w:rsidRPr="000E56E4">
        <w:rPr>
          <w:rFonts w:ascii="Times New Roman" w:hAnsi="Times New Roman" w:cs="Times New Roman"/>
          <w:sz w:val="24"/>
          <w:szCs w:val="24"/>
        </w:rPr>
        <w:t xml:space="preserve"> não é tão novo assim. A </w:t>
      </w:r>
      <w:r w:rsidR="00F841A6" w:rsidRPr="000E56E4">
        <w:rPr>
          <w:rFonts w:ascii="Times New Roman" w:hAnsi="Times New Roman" w:cs="Times New Roman"/>
          <w:sz w:val="24"/>
          <w:szCs w:val="24"/>
        </w:rPr>
        <w:t>negociação</w:t>
      </w:r>
      <w:r w:rsidRPr="000E56E4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0E56E4">
        <w:rPr>
          <w:rFonts w:ascii="Times New Roman" w:hAnsi="Times New Roman" w:cs="Times New Roman"/>
          <w:sz w:val="24"/>
          <w:szCs w:val="24"/>
        </w:rPr>
        <w:t>contratualização</w:t>
      </w:r>
      <w:proofErr w:type="spellEnd"/>
      <w:r w:rsidRPr="000E56E4">
        <w:rPr>
          <w:rFonts w:ascii="Times New Roman" w:hAnsi="Times New Roman" w:cs="Times New Roman"/>
          <w:sz w:val="24"/>
          <w:szCs w:val="24"/>
        </w:rPr>
        <w:t xml:space="preserve"> das atividades da administração remontam às primeiras fases do desenvolvimento do </w:t>
      </w:r>
      <w:r w:rsidR="00F841A6" w:rsidRPr="000E56E4">
        <w:rPr>
          <w:rFonts w:ascii="Times New Roman" w:hAnsi="Times New Roman" w:cs="Times New Roman"/>
          <w:sz w:val="24"/>
          <w:szCs w:val="24"/>
        </w:rPr>
        <w:t>intervencionismo</w:t>
      </w:r>
      <w:r w:rsidRPr="000E56E4">
        <w:rPr>
          <w:rFonts w:ascii="Times New Roman" w:hAnsi="Times New Roman" w:cs="Times New Roman"/>
          <w:sz w:val="24"/>
          <w:szCs w:val="24"/>
        </w:rPr>
        <w:t xml:space="preserve"> econômico</w:t>
      </w:r>
      <w:r w:rsidR="00EB6AD6" w:rsidRPr="000E56E4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Pr="000E56E4">
        <w:rPr>
          <w:rFonts w:ascii="Times New Roman" w:hAnsi="Times New Roman" w:cs="Times New Roman"/>
          <w:sz w:val="24"/>
          <w:szCs w:val="24"/>
        </w:rPr>
        <w:t xml:space="preserve">. A dificuldade que o Estado encontra ao tentar liderar </w:t>
      </w:r>
      <w:r w:rsidR="00F841A6" w:rsidRPr="000E56E4">
        <w:rPr>
          <w:rFonts w:ascii="Times New Roman" w:hAnsi="Times New Roman" w:cs="Times New Roman"/>
          <w:sz w:val="24"/>
          <w:szCs w:val="24"/>
        </w:rPr>
        <w:t xml:space="preserve">autoritariamente </w:t>
      </w:r>
      <w:r w:rsidRPr="000E56E4">
        <w:rPr>
          <w:rFonts w:ascii="Times New Roman" w:hAnsi="Times New Roman" w:cs="Times New Roman"/>
          <w:sz w:val="24"/>
          <w:szCs w:val="24"/>
        </w:rPr>
        <w:t xml:space="preserve">a economia </w:t>
      </w:r>
      <w:r w:rsidR="003C4185" w:rsidRPr="000E56E4">
        <w:rPr>
          <w:rFonts w:ascii="Times New Roman" w:hAnsi="Times New Roman" w:cs="Times New Roman"/>
          <w:sz w:val="24"/>
          <w:szCs w:val="24"/>
        </w:rPr>
        <w:t>foi percebida muito cedo: “</w:t>
      </w:r>
      <w:r w:rsidRPr="000E56E4">
        <w:rPr>
          <w:rFonts w:ascii="Times New Roman" w:hAnsi="Times New Roman" w:cs="Times New Roman"/>
          <w:sz w:val="24"/>
          <w:szCs w:val="24"/>
        </w:rPr>
        <w:t xml:space="preserve">Os mecanismos econômicos costumam ser complexos e delicados demais para que as autoridades políticas </w:t>
      </w:r>
      <w:r w:rsidR="00F841A6" w:rsidRPr="000E56E4">
        <w:rPr>
          <w:rFonts w:ascii="Times New Roman" w:hAnsi="Times New Roman" w:cs="Times New Roman"/>
          <w:sz w:val="24"/>
          <w:szCs w:val="24"/>
        </w:rPr>
        <w:t>possam ter</w:t>
      </w:r>
      <w:r w:rsidRPr="000E56E4">
        <w:rPr>
          <w:rFonts w:ascii="Times New Roman" w:hAnsi="Times New Roman" w:cs="Times New Roman"/>
          <w:sz w:val="24"/>
          <w:szCs w:val="24"/>
        </w:rPr>
        <w:t xml:space="preserve"> certeza de obter </w:t>
      </w:r>
      <w:r w:rsidR="00F841A6" w:rsidRPr="000E56E4">
        <w:rPr>
          <w:rFonts w:ascii="Times New Roman" w:hAnsi="Times New Roman" w:cs="Times New Roman"/>
          <w:sz w:val="24"/>
          <w:szCs w:val="24"/>
        </w:rPr>
        <w:t xml:space="preserve">sempre </w:t>
      </w:r>
      <w:r w:rsidRPr="000E56E4">
        <w:rPr>
          <w:rFonts w:ascii="Times New Roman" w:hAnsi="Times New Roman" w:cs="Times New Roman"/>
          <w:sz w:val="24"/>
          <w:szCs w:val="24"/>
        </w:rPr>
        <w:t>os resultados</w:t>
      </w:r>
      <w:r w:rsidR="00F841A6" w:rsidRPr="000E56E4">
        <w:rPr>
          <w:rFonts w:ascii="Times New Roman" w:hAnsi="Times New Roman" w:cs="Times New Roman"/>
          <w:sz w:val="24"/>
          <w:szCs w:val="24"/>
        </w:rPr>
        <w:t xml:space="preserve"> esperados pela via vinculativa</w:t>
      </w:r>
      <w:r w:rsidRPr="000E56E4">
        <w:rPr>
          <w:rFonts w:ascii="Times New Roman" w:hAnsi="Times New Roman" w:cs="Times New Roman"/>
          <w:sz w:val="24"/>
          <w:szCs w:val="24"/>
        </w:rPr>
        <w:t xml:space="preserve"> e autoritári</w:t>
      </w:r>
      <w:r w:rsidR="00F841A6" w:rsidRPr="000E56E4">
        <w:rPr>
          <w:rFonts w:ascii="Times New Roman" w:hAnsi="Times New Roman" w:cs="Times New Roman"/>
          <w:sz w:val="24"/>
          <w:szCs w:val="24"/>
        </w:rPr>
        <w:t>a</w:t>
      </w:r>
      <w:r w:rsidRPr="000E56E4">
        <w:rPr>
          <w:rFonts w:ascii="Times New Roman" w:hAnsi="Times New Roman" w:cs="Times New Roman"/>
          <w:sz w:val="24"/>
          <w:szCs w:val="24"/>
        </w:rPr>
        <w:t xml:space="preserve">. </w:t>
      </w:r>
      <w:r w:rsidR="00F841A6" w:rsidRPr="000E56E4">
        <w:rPr>
          <w:rFonts w:ascii="Times New Roman" w:hAnsi="Times New Roman" w:cs="Times New Roman"/>
          <w:sz w:val="24"/>
          <w:szCs w:val="24"/>
        </w:rPr>
        <w:t>Assim, ela</w:t>
      </w:r>
      <w:r w:rsidRPr="000E56E4">
        <w:rPr>
          <w:rFonts w:ascii="Times New Roman" w:hAnsi="Times New Roman" w:cs="Times New Roman"/>
          <w:sz w:val="24"/>
          <w:szCs w:val="24"/>
        </w:rPr>
        <w:t xml:space="preserve">s tendem a preferir o </w:t>
      </w:r>
      <w:r w:rsidR="00F841A6" w:rsidRPr="000E56E4">
        <w:rPr>
          <w:rFonts w:ascii="Times New Roman" w:hAnsi="Times New Roman" w:cs="Times New Roman"/>
          <w:sz w:val="24"/>
          <w:szCs w:val="24"/>
        </w:rPr>
        <w:t>consentimento e a colaboração dos</w:t>
      </w:r>
      <w:r w:rsidRPr="000E56E4">
        <w:rPr>
          <w:rFonts w:ascii="Times New Roman" w:hAnsi="Times New Roman" w:cs="Times New Roman"/>
          <w:sz w:val="24"/>
          <w:szCs w:val="24"/>
        </w:rPr>
        <w:t xml:space="preserve"> agentes econômicos p</w:t>
      </w:r>
      <w:r w:rsidR="003C4185" w:rsidRPr="000E56E4">
        <w:rPr>
          <w:rFonts w:ascii="Times New Roman" w:hAnsi="Times New Roman" w:cs="Times New Roman"/>
          <w:sz w:val="24"/>
          <w:szCs w:val="24"/>
        </w:rPr>
        <w:t>rivados</w:t>
      </w:r>
      <w:proofErr w:type="gramStart"/>
      <w:r w:rsidR="003C4185" w:rsidRPr="000E56E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3C4185" w:rsidRPr="000E56E4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  <w:r w:rsidRPr="000E56E4">
        <w:rPr>
          <w:rFonts w:ascii="Times New Roman" w:hAnsi="Times New Roman" w:cs="Times New Roman"/>
          <w:sz w:val="24"/>
          <w:szCs w:val="24"/>
        </w:rPr>
        <w:t>.</w:t>
      </w:r>
    </w:p>
    <w:p w14:paraId="54FBB2EC" w14:textId="77777777" w:rsidR="00CF4DCD" w:rsidRPr="000E56E4" w:rsidRDefault="007D4CF1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E4">
        <w:rPr>
          <w:rFonts w:ascii="Times New Roman" w:hAnsi="Times New Roman" w:cs="Times New Roman"/>
          <w:sz w:val="24"/>
          <w:szCs w:val="24"/>
        </w:rPr>
        <w:t>A imagem do E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stado e da administração francesa está completamente fora de sintonia com as práticas. Os estudos de implementação mostram que, sob o </w:t>
      </w:r>
      <w:r w:rsidR="00E91CA6" w:rsidRPr="000E56E4">
        <w:rPr>
          <w:rFonts w:ascii="Times New Roman" w:hAnsi="Times New Roman" w:cs="Times New Roman"/>
          <w:sz w:val="24"/>
          <w:szCs w:val="24"/>
        </w:rPr>
        <w:t xml:space="preserve">modelo </w:t>
      </w:r>
      <w:r w:rsidR="00CF4DCD" w:rsidRPr="000E56E4">
        <w:rPr>
          <w:rFonts w:ascii="Times New Roman" w:hAnsi="Times New Roman" w:cs="Times New Roman"/>
          <w:sz w:val="24"/>
          <w:szCs w:val="24"/>
        </w:rPr>
        <w:t>aparente d</w:t>
      </w:r>
      <w:r w:rsidR="00E91CA6" w:rsidRPr="000E56E4">
        <w:rPr>
          <w:rFonts w:ascii="Times New Roman" w:hAnsi="Times New Roman" w:cs="Times New Roman"/>
          <w:sz w:val="24"/>
          <w:szCs w:val="24"/>
        </w:rPr>
        <w:t>o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direito autoritário imposto unilateralmente a seus destinatários, existe </w:t>
      </w:r>
      <w:proofErr w:type="gramStart"/>
      <w:r w:rsidR="00E91CA6" w:rsidRPr="000E56E4">
        <w:rPr>
          <w:rFonts w:ascii="Times New Roman" w:hAnsi="Times New Roman" w:cs="Times New Roman"/>
          <w:sz w:val="24"/>
          <w:szCs w:val="24"/>
        </w:rPr>
        <w:t xml:space="preserve">um </w:t>
      </w:r>
      <w:r w:rsidR="00CF4DCD" w:rsidRPr="000E56E4">
        <w:rPr>
          <w:rFonts w:ascii="Times New Roman" w:hAnsi="Times New Roman" w:cs="Times New Roman"/>
          <w:sz w:val="24"/>
          <w:szCs w:val="24"/>
        </w:rPr>
        <w:lastRenderedPageBreak/>
        <w:t>outro</w:t>
      </w:r>
      <w:proofErr w:type="gramEnd"/>
      <w:r w:rsidR="00CF4DCD" w:rsidRPr="000E56E4">
        <w:rPr>
          <w:rFonts w:ascii="Times New Roman" w:hAnsi="Times New Roman" w:cs="Times New Roman"/>
          <w:sz w:val="24"/>
          <w:szCs w:val="24"/>
        </w:rPr>
        <w:t xml:space="preserve"> em que a negociação desempe</w:t>
      </w:r>
      <w:r w:rsidR="003C4185" w:rsidRPr="000E56E4">
        <w:rPr>
          <w:rFonts w:ascii="Times New Roman" w:hAnsi="Times New Roman" w:cs="Times New Roman"/>
          <w:sz w:val="24"/>
          <w:szCs w:val="24"/>
        </w:rPr>
        <w:t>nha um papel muito importante. “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A regra não é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feita </w:t>
      </w:r>
      <w:r w:rsidR="00CF4DCD" w:rsidRPr="000E56E4">
        <w:rPr>
          <w:rFonts w:ascii="Times New Roman" w:hAnsi="Times New Roman" w:cs="Times New Roman"/>
          <w:sz w:val="24"/>
          <w:szCs w:val="24"/>
        </w:rPr>
        <w:t>para ser aplicada, mas para que sua aplicação seja negociada entre as partes direta ou indiretamente interessada</w:t>
      </w:r>
      <w:r w:rsidR="00A22592" w:rsidRPr="000E56E4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3C4185" w:rsidRPr="000E56E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0"/>
      </w:r>
      <w:r w:rsidR="003C4185" w:rsidRPr="000E56E4">
        <w:rPr>
          <w:rFonts w:ascii="Times New Roman" w:hAnsi="Times New Roman" w:cs="Times New Roman"/>
          <w:sz w:val="24"/>
          <w:szCs w:val="24"/>
        </w:rPr>
        <w:t>. “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A norma </w:t>
      </w:r>
      <w:r w:rsidR="00A22592" w:rsidRPr="000E56E4">
        <w:rPr>
          <w:rFonts w:ascii="Times New Roman" w:hAnsi="Times New Roman" w:cs="Times New Roman"/>
          <w:sz w:val="24"/>
          <w:szCs w:val="24"/>
        </w:rPr>
        <w:t>de direito</w:t>
      </w:r>
      <w:r w:rsidR="00CF4DCD" w:rsidRPr="000E56E4">
        <w:rPr>
          <w:rFonts w:ascii="Times New Roman" w:hAnsi="Times New Roman" w:cs="Times New Roman"/>
          <w:sz w:val="24"/>
          <w:szCs w:val="24"/>
        </w:rPr>
        <w:t>, que constitui um elemento da normatividade social, é, portanto, negociável porque é aplicada</w:t>
      </w:r>
      <w:r w:rsidR="003C4185" w:rsidRPr="000E56E4">
        <w:rPr>
          <w:rFonts w:ascii="Times New Roman" w:hAnsi="Times New Roman" w:cs="Times New Roman"/>
          <w:sz w:val="24"/>
          <w:szCs w:val="24"/>
        </w:rPr>
        <w:t xml:space="preserve"> e aplicável porque é negociada</w:t>
      </w:r>
      <w:proofErr w:type="gramStart"/>
      <w:r w:rsidR="003C4185" w:rsidRPr="000E56E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1"/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. Poderíamos multiplicar as </w:t>
      </w:r>
      <w:r w:rsidR="00A22592" w:rsidRPr="000E56E4">
        <w:rPr>
          <w:rFonts w:ascii="Times New Roman" w:hAnsi="Times New Roman" w:cs="Times New Roman"/>
          <w:sz w:val="24"/>
          <w:szCs w:val="24"/>
        </w:rPr>
        <w:t>citações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. Com base em numerosos estudos empíricos, </w:t>
      </w:r>
      <w:proofErr w:type="spellStart"/>
      <w:r w:rsidR="00CF4DCD" w:rsidRPr="000E56E4">
        <w:rPr>
          <w:rFonts w:ascii="Times New Roman" w:hAnsi="Times New Roman" w:cs="Times New Roman"/>
          <w:sz w:val="24"/>
          <w:szCs w:val="24"/>
        </w:rPr>
        <w:t>Lascoumes</w:t>
      </w:r>
      <w:proofErr w:type="spellEnd"/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2"/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enfatiz</w:t>
      </w:r>
      <w:r w:rsidR="003C4185" w:rsidRPr="000E56E4">
        <w:rPr>
          <w:rFonts w:ascii="Times New Roman" w:hAnsi="Times New Roman" w:cs="Times New Roman"/>
          <w:sz w:val="24"/>
          <w:szCs w:val="24"/>
        </w:rPr>
        <w:t>a o caráter banal do fenômeno. “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Seja qual for o </w:t>
      </w:r>
      <w:r w:rsidR="00A22592" w:rsidRPr="000E56E4">
        <w:rPr>
          <w:rFonts w:ascii="Times New Roman" w:hAnsi="Times New Roman" w:cs="Times New Roman"/>
          <w:sz w:val="24"/>
          <w:szCs w:val="24"/>
        </w:rPr>
        <w:t>domínio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, as regras </w:t>
      </w:r>
      <w:r w:rsidR="00A22592" w:rsidRPr="000E56E4">
        <w:rPr>
          <w:rFonts w:ascii="Times New Roman" w:hAnsi="Times New Roman" w:cs="Times New Roman"/>
          <w:sz w:val="24"/>
          <w:szCs w:val="24"/>
        </w:rPr>
        <w:t>jurídicas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funcionam para os atores da </w:t>
      </w:r>
      <w:proofErr w:type="gramStart"/>
      <w:r w:rsidR="00CF4DCD" w:rsidRPr="000E56E4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CF4DCD" w:rsidRPr="000E56E4">
        <w:rPr>
          <w:rFonts w:ascii="Times New Roman" w:hAnsi="Times New Roman" w:cs="Times New Roman"/>
          <w:sz w:val="24"/>
          <w:szCs w:val="24"/>
        </w:rPr>
        <w:t xml:space="preserve"> como um conjunto de recursos e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de 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restrições, a partir do qual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se desenvolvem </w:t>
      </w:r>
      <w:r w:rsidR="00CF4DCD" w:rsidRPr="000E56E4">
        <w:rPr>
          <w:rFonts w:ascii="Times New Roman" w:hAnsi="Times New Roman" w:cs="Times New Roman"/>
          <w:sz w:val="24"/>
          <w:szCs w:val="24"/>
        </w:rPr>
        <w:t>as negociações sobr</w:t>
      </w:r>
      <w:r w:rsidR="00A22592" w:rsidRPr="000E56E4">
        <w:rPr>
          <w:rFonts w:ascii="Times New Roman" w:hAnsi="Times New Roman" w:cs="Times New Roman"/>
          <w:sz w:val="24"/>
          <w:szCs w:val="24"/>
        </w:rPr>
        <w:t>e as condições de sua aplicação</w:t>
      </w:r>
      <w:r w:rsidR="003C4185" w:rsidRPr="000E56E4">
        <w:rPr>
          <w:rFonts w:ascii="Times New Roman" w:hAnsi="Times New Roman" w:cs="Times New Roman"/>
          <w:sz w:val="24"/>
          <w:szCs w:val="24"/>
        </w:rPr>
        <w:t>”</w:t>
      </w:r>
      <w:r w:rsidR="00CF4DCD" w:rsidRPr="000E56E4">
        <w:rPr>
          <w:rFonts w:ascii="Times New Roman" w:hAnsi="Times New Roman" w:cs="Times New Roman"/>
          <w:sz w:val="24"/>
          <w:szCs w:val="24"/>
        </w:rPr>
        <w:t>.</w:t>
      </w:r>
      <w:r w:rsidR="003C4185" w:rsidRPr="000E56E4">
        <w:rPr>
          <w:rFonts w:ascii="Times New Roman" w:hAnsi="Times New Roman" w:cs="Times New Roman"/>
          <w:sz w:val="24"/>
          <w:szCs w:val="24"/>
        </w:rPr>
        <w:t xml:space="preserve"> Se a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negociação </w:t>
      </w:r>
      <w:r w:rsidR="003C4185" w:rsidRPr="000E56E4">
        <w:rPr>
          <w:rFonts w:ascii="Times New Roman" w:hAnsi="Times New Roman" w:cs="Times New Roman"/>
          <w:sz w:val="24"/>
          <w:szCs w:val="24"/>
        </w:rPr>
        <w:t>não for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 realizada</w:t>
      </w:r>
      <w:r w:rsidR="003C4185" w:rsidRPr="000E56E4">
        <w:rPr>
          <w:rFonts w:ascii="Times New Roman" w:hAnsi="Times New Roman" w:cs="Times New Roman"/>
          <w:sz w:val="24"/>
          <w:szCs w:val="24"/>
        </w:rPr>
        <w:t xml:space="preserve"> n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o nível </w:t>
      </w:r>
      <w:r w:rsidR="00A22592" w:rsidRPr="000E56E4">
        <w:rPr>
          <w:rFonts w:ascii="Times New Roman" w:hAnsi="Times New Roman" w:cs="Times New Roman"/>
          <w:sz w:val="24"/>
          <w:szCs w:val="24"/>
        </w:rPr>
        <w:t>da elaboração das leis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, a necessidade de </w:t>
      </w:r>
      <w:r w:rsidR="00A22592" w:rsidRPr="000E56E4">
        <w:rPr>
          <w:rFonts w:ascii="Times New Roman" w:hAnsi="Times New Roman" w:cs="Times New Roman"/>
          <w:sz w:val="24"/>
          <w:szCs w:val="24"/>
        </w:rPr>
        <w:t>realizar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um acoplamento sistêmico para promover o </w:t>
      </w:r>
      <w:r w:rsidR="00A22592" w:rsidRPr="000E56E4">
        <w:rPr>
          <w:rFonts w:ascii="Times New Roman" w:hAnsi="Times New Roman" w:cs="Times New Roman"/>
          <w:sz w:val="24"/>
          <w:szCs w:val="24"/>
        </w:rPr>
        <w:t>êxito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das políticas públicas é tão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evidente e internalizada que ela se realiza </w:t>
      </w:r>
      <w:r w:rsidR="00CF4DCD" w:rsidRPr="000E56E4">
        <w:rPr>
          <w:rFonts w:ascii="Times New Roman" w:hAnsi="Times New Roman" w:cs="Times New Roman"/>
          <w:sz w:val="24"/>
          <w:szCs w:val="24"/>
        </w:rPr>
        <w:t>nos níveis d</w:t>
      </w:r>
      <w:r w:rsidR="00A22592" w:rsidRPr="000E56E4">
        <w:rPr>
          <w:rFonts w:ascii="Times New Roman" w:hAnsi="Times New Roman" w:cs="Times New Roman"/>
          <w:sz w:val="24"/>
          <w:szCs w:val="24"/>
        </w:rPr>
        <w:t>a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DCD" w:rsidRPr="000E56E4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CF4DCD" w:rsidRPr="000E56E4">
        <w:rPr>
          <w:rFonts w:ascii="Times New Roman" w:hAnsi="Times New Roman" w:cs="Times New Roman"/>
          <w:sz w:val="24"/>
          <w:szCs w:val="24"/>
        </w:rPr>
        <w:t xml:space="preserve"> d</w:t>
      </w:r>
      <w:r w:rsidR="00A22592" w:rsidRPr="000E56E4">
        <w:rPr>
          <w:rFonts w:ascii="Times New Roman" w:hAnsi="Times New Roman" w:cs="Times New Roman"/>
          <w:sz w:val="24"/>
          <w:szCs w:val="24"/>
        </w:rPr>
        <w:t>os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 programas e </w:t>
      </w:r>
      <w:r w:rsidR="00A22592" w:rsidRPr="000E56E4">
        <w:rPr>
          <w:rFonts w:ascii="Times New Roman" w:hAnsi="Times New Roman" w:cs="Times New Roman"/>
          <w:sz w:val="24"/>
          <w:szCs w:val="24"/>
        </w:rPr>
        <w:t xml:space="preserve">da </w:t>
      </w:r>
      <w:r w:rsidR="00CF4DCD" w:rsidRPr="000E56E4">
        <w:rPr>
          <w:rFonts w:ascii="Times New Roman" w:hAnsi="Times New Roman" w:cs="Times New Roman"/>
          <w:sz w:val="24"/>
          <w:szCs w:val="24"/>
        </w:rPr>
        <w:t xml:space="preserve">aplicação </w:t>
      </w:r>
      <w:r w:rsidR="00A22592" w:rsidRPr="000E56E4">
        <w:rPr>
          <w:rFonts w:ascii="Times New Roman" w:hAnsi="Times New Roman" w:cs="Times New Roman"/>
          <w:sz w:val="24"/>
          <w:szCs w:val="24"/>
        </w:rPr>
        <w:t>das normas jurídicas</w:t>
      </w:r>
      <w:r w:rsidR="00CF4DCD" w:rsidRPr="000E56E4">
        <w:rPr>
          <w:rFonts w:ascii="Times New Roman" w:hAnsi="Times New Roman" w:cs="Times New Roman"/>
          <w:sz w:val="24"/>
          <w:szCs w:val="24"/>
        </w:rPr>
        <w:t>.</w:t>
      </w:r>
    </w:p>
    <w:p w14:paraId="570BDD27" w14:textId="77777777" w:rsidR="003C4185" w:rsidRPr="000E56E4" w:rsidRDefault="00CF4DCD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União Europeia </w:t>
      </w:r>
      <w:r w:rsidR="00A2259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 encontra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</w:t>
      </w:r>
      <w:r w:rsidR="00A2259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seu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lado, </w:t>
      </w:r>
      <w:r w:rsidR="00A2259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uma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situação especial. A transferência de competências nacionais </w:t>
      </w:r>
      <w:r w:rsidR="00A2259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 comunitário </w:t>
      </w:r>
      <w:r w:rsidR="00A2259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resultou 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repolitização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processos de decisão, a uma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retomada 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influência das autoridades políticas nacionais e supranacionais e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inversamente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declínio do papel dos grupos na formação d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políticas públicas</w:t>
      </w:r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3"/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União é menos </w:t>
      </w:r>
      <w:proofErr w:type="spellStart"/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corporatista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4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que os Estados-m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embros.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fragilidade dos vínculos </w:t>
      </w:r>
      <w:r w:rsidR="006E04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grupos, combinad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déficit democrático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persistente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processo de decisão, produzem assim um dissociação </w:t>
      </w:r>
      <w:r w:rsidR="006E04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sociedade civil. Essa fraca reflexividade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 em questão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legitimidade das políticas públicas supranacionais e contribui</w:t>
      </w:r>
      <w:r w:rsidR="006E04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4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provavelmente,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impressão de desencanto que as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rodeia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D2FFDB3" w14:textId="77777777" w:rsidR="008D4A43" w:rsidRPr="000E56E4" w:rsidRDefault="006E0470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sinais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mostram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tentativas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sendo feitas no nível supranacional para envolver melhor os grupos na adoção de atos comunitários.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uma tendência para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lhes 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permitir participar na </w:t>
      </w:r>
      <w:proofErr w:type="gramStart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políticas comunitárias</w:t>
      </w:r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4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ão pode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deixar de lado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mecanismos de adaptação ocorram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subterrânea,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detrimento da preocupação sacrossanta pela aplicação uniforme do direito comunitário.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Tudo leva a pensar, entretanto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 fraqueza do acoplamento estrutural </w:t>
      </w:r>
      <w:r w:rsidR="0046797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 manterá</w:t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muito tempo ainda</w:t>
      </w:r>
      <w:r w:rsidR="003C418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5"/>
      </w:r>
      <w:r w:rsidR="00CF4D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524C8BE" w14:textId="77777777" w:rsidR="00CF4DCD" w:rsidRPr="000E56E4" w:rsidRDefault="00CF4DCD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35FFA8" w14:textId="77777777" w:rsidR="00CF4DCD" w:rsidRPr="000E56E4" w:rsidRDefault="0046797C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 Os p</w:t>
      </w:r>
      <w:r w:rsidR="00CF4DCD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rogramas relacionais</w:t>
      </w:r>
    </w:p>
    <w:p w14:paraId="359DB9AE" w14:textId="77777777" w:rsidR="0030416B" w:rsidRPr="000E56E4" w:rsidRDefault="00582BCD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c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onstituem uma estrutura intermediária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 direito condicional do 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liberal que, além do direito da polícia, se limita a estabelecer uma estrutura para </w:t>
      </w:r>
      <w:proofErr w:type="gram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auto-organização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sociedade e os programas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propulsivo. Eles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provenientes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dupla recusa, a 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autoritário e direto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sis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temas sociais autônomos e a da “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autonomia absoluta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desses sistemas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6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 via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conciliando autonomia e direção, esses programas poderiam constituir a fórmula mágica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7"/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a saber: “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encontrar a forma jurídica que deixaria intacta a autonomia dos subsiste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sociais, enquanto os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determinada direção, na qual eles poderiam respeitar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reciprocamente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suas condições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funcionamento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respectivas</w:t>
      </w:r>
      <w:r w:rsidR="0085339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Ao incluir os destinatários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 formação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regras, os programas relacionais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procuram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operar um acoplamento estrutural entre o sistema jurídico e o sistema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regulado</w:t>
      </w:r>
      <w:r w:rsidR="00B81C73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8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Ao invés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intervir de fora na busca de impor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autoritariamente as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soluções, o Estado, ao recorrer a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programas relacionais, tenta criar estruturas internas reflexivas para o sistema que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ele procura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E92664" w14:textId="1CB2B6E1" w:rsidR="00B82F46" w:rsidRPr="000E56E4" w:rsidRDefault="00B81C73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 p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rogramas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relacionais são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programas finalísticos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F80F54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exibilizados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que levam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consideração os problemas que eles podem representar nos sistemas que procuram influenciar.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c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os programas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eles incluem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objetivos,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meios de ação e um processo de avaliação. Mas esses três componentes 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concebidos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mais flexibilidade.</w:t>
      </w:r>
    </w:p>
    <w:p w14:paraId="5172D6E5" w14:textId="77777777" w:rsidR="0030416B" w:rsidRPr="000E56E4" w:rsidRDefault="0030416B" w:rsidP="000E56E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AADFBD" w14:textId="77777777" w:rsidR="0030416B" w:rsidRPr="000E56E4" w:rsidRDefault="0030416B" w:rsidP="000E56E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A. Natureza dos </w:t>
      </w:r>
      <w:proofErr w:type="gramStart"/>
      <w:r w:rsidRPr="000E5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</w:t>
      </w:r>
      <w:proofErr w:type="gramEnd"/>
    </w:p>
    <w:p w14:paraId="5F56399D" w14:textId="77777777" w:rsidR="00BA5E6E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objetivos negociados dos programas relacionais não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distinguem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claramente 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daqueles que são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estabelecidos autori</w:t>
      </w:r>
      <w:r w:rsidR="00B81C7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tariamente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contexto dos programas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um lado, não há objetivos específicos a serem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absolutamente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alcançados no contexto dos programas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objetivos difusos dos programas relacionais. Os programas </w:t>
      </w:r>
      <w:r w:rsidR="00582BC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finalísticos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comportam imediatamente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objetivos operacionais e precisos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são,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vimos, bastante raros. A tentativa muitas vezes inconsciente de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acoplamento estrutural com os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sistemas que formam a sociedade civil, no entanto, tem o efeito de reforçar tanto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caráter incerto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dos objetivos quanto a coexistência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nível da formação de políticas públicas,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multiplicidade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objetivos complementares ou contraditóri</w:t>
      </w:r>
      <w:r w:rsidR="00224E3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 e, finalmente, sua capacidade de se adaptar às situações locais. A imprecisão dos objetivos é aumentada na medida em que os programas relacionais admitem desde o início a possibilidade de um desvio devido à sua inserção nas estruturas reflexivas internas dos sistemas regulados, porque também estão abertos à abs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orção de emergências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aparecem no nível de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9ED21B7" w14:textId="77777777" w:rsidR="00BA5E6E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coexistência de 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múltiplos é favorecida pelo fato de que, 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graças à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negociação, os mais diversos grupos são levados a injetar suas preocupações no programa de uma ou mesmo de um conjunto de políticas públicas. Somente 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planejamento 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território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de uma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dezena de objetivos</w:t>
      </w:r>
      <w:r w:rsidR="00BA5E6E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9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serem considerados quando um plano ou decisão precisa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adotad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trás de cada objetivo, </w:t>
      </w:r>
      <w:r w:rsidR="00BA5E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localizar um grupo de interesses pronto para assumir a promoção.</w:t>
      </w:r>
    </w:p>
    <w:p w14:paraId="69332F9C" w14:textId="77777777" w:rsidR="00A82CB5" w:rsidRPr="000E56E4" w:rsidRDefault="00BA5E6E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utra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característica dos programas relacionais é que eles favorecem 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explosão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objetivos centrais no momento da implementação na periferia.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concebidos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 que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possam ser interpretad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 e adaptad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pelas autoridades de aplicação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função d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interesses e preocupações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 manifestam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localmente. Um dos exemplos mais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notáveis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nos foi dado para estudar em profundidade</w:t>
      </w:r>
      <w:r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0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lei suíça sobre a aquisição de bens imóveis por estrangeiros. Resulta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negociações entre interesses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contraditórios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lei instituiu, apesar de suas aparências autoritárias, um programa relacional. Na ausência de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controle centralizado sobre a consecução dos objetivos,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permitiu às autoridades cantonais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prosseguirem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interação com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de interesse loca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mais variadas políticas públicas. Como albergue espanhol, o programa permitiu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certos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cantões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adotassem uma política rígida de acordo com os objetivos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seguissem uma política de desenvolvimento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turístico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que buscassem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 voltados para a construção de moradias sociais.</w:t>
      </w:r>
    </w:p>
    <w:p w14:paraId="6BB67479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9F2903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B. Os meios de </w:t>
      </w:r>
      <w:proofErr w:type="gram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ação</w:t>
      </w:r>
      <w:proofErr w:type="gramEnd"/>
    </w:p>
    <w:p w14:paraId="61F53706" w14:textId="77777777" w:rsidR="00ED488F" w:rsidRPr="000E56E4" w:rsidRDefault="0030416B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Quatro modalidades principais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permitiram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garantir o acoplamento estrutural entre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Estado e a sociedade civil.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consiste 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envolver grupos de interesse na formação e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 aplicação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legislação.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quantidade de reflexividade também pode ser obtida quando a administração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começa informalmente a negociar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aplicação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das normas resultantes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40B8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invés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tomar decisões unilaterais. Uma segunda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via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leva a resultados bastante semelhantes à primeira, reside na </w:t>
      </w:r>
      <w:proofErr w:type="spellStart"/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direcionada. Nesta fórmula, o Estado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confere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grupos privados o poder de estabelecer eles próprios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regulamentação obrigatória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contrapartida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concessão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desse poder exorbitante, o Estado estabelece condições para seu exercício e, às vezes, estabelece certos objetivos a serem alcançados.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forma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implica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negociação prévia informal entre as autoridades públicas e os grupos privados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envolvidos. Um terceiro método consiste 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estabelecer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legislaç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programas que se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inserem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lógica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atores cujo comportamento se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procura </w:t>
      </w:r>
      <w:proofErr w:type="gramStart"/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Alguns instrumentos econômicos para a proteção do meio ambiente são exemplares a esse respeito. Uma fonte final de reflexividade pode ser encontrada </w:t>
      </w:r>
      <w:r w:rsidR="006F4F7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 planificação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emergente.</w:t>
      </w:r>
    </w:p>
    <w:p w14:paraId="174CC057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7B974E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A </w:t>
      </w:r>
      <w:proofErr w:type="spell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contratualização</w:t>
      </w:r>
      <w:proofErr w:type="spellEnd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formação, </w:t>
      </w:r>
      <w:r w:rsidR="00C315B8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implementação e </w:t>
      </w:r>
      <w:r w:rsidR="00C315B8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aplicação </w:t>
      </w:r>
      <w:r w:rsidR="00C315B8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 </w:t>
      </w:r>
      <w:proofErr w:type="gramStart"/>
      <w:r w:rsidR="00C315B8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direito</w:t>
      </w:r>
      <w:proofErr w:type="gramEnd"/>
    </w:p>
    <w:p w14:paraId="7E687309" w14:textId="77777777" w:rsidR="00A474F1" w:rsidRPr="000E56E4" w:rsidRDefault="00C315B8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Juridicamente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necessário distinguir as negociações que ocorrem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por ocasião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formação da lei daquelas que ocorrem durante sua </w:t>
      </w:r>
      <w:proofErr w:type="gram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 sua aplicação a situações concretas.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distinção não é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entretanto,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nem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clara nem indiscutível em termos de análise de políticas públicas. A linha divisória entre a formação da lei e a </w:t>
      </w:r>
      <w:proofErr w:type="gram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clara,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 medida em que aquela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inclui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vezes,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edição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normas de execução ou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substituição, no caso de delegação legislativa, e o estabelecimento de estratégias de implementação da política pública em que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stão. Também sabemos que é frequ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entemente no nível da </w:t>
      </w:r>
      <w:proofErr w:type="gram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no nível da formação de uma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legislação que uma política pública é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fundamentalmente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estabelecida</w:t>
      </w:r>
      <w:r w:rsidR="00B2419A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1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Parece também que, nas formas mais avançadas de corporativismo social, existe um vínculo estreito entre a participação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 formação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proofErr w:type="gram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legislação. Por fim,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determinados atos concretos, como a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outorga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concessão, podem servir de regulamentação para um número considerável de pessoas e revelar a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concretização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política pública. A negociação e o contrato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atravessam, na realidade,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conjunto d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de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1EC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do direito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assumem uma importância enorme e muitas vezes insuspeita, pois permitem minimizar o custo das disputas,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gerenciar a complexidade social,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integrar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racionalidades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diversas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coordenar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flexibilidade os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espaços normativos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dispersos</w:t>
      </w:r>
      <w:r w:rsidR="00B2419A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2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Demonstrou-se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de fato,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</w:t>
      </w:r>
      <w:proofErr w:type="spellStart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contratualização</w:t>
      </w:r>
      <w:proofErr w:type="spellEnd"/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de maneira mais geral, a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canaliza a ação dos grupos para um nível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coordenação, de ac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ordo com uma nova arquitetura da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complexidade social que se sabe ser caracterizada por 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relações periféricas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horizonta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vez de hierárquic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vertica</w:t>
      </w:r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gramStart"/>
      <w:r w:rsidR="00B2419A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B2419A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3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8120919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F3BC0E" w14:textId="77777777" w:rsidR="0030416B" w:rsidRPr="000E56E4" w:rsidRDefault="00925E83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a.</w:t>
      </w:r>
      <w:proofErr w:type="gramEnd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</w:t>
      </w:r>
      <w:proofErr w:type="spell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="0030416B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ontrat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ualiz</w:t>
      </w:r>
      <w:r w:rsidR="0030416B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ação</w:t>
      </w:r>
      <w:proofErr w:type="spellEnd"/>
      <w:r w:rsidR="0030416B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formação da legislação</w:t>
      </w:r>
    </w:p>
    <w:p w14:paraId="3F8232DD" w14:textId="77777777" w:rsidR="000F4712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modalidades de participação de grupos na formação da legislação são diversas. A natureza jurídica dos atos e o grau de reflexibilidade introduzidos no processo de formação 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das normas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varia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função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modalidades. Os grupos podem ser co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regulamentação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eles podem ver seu papel limitado ao exercício de uma influência; eles podem exercer 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 </w:t>
      </w:r>
      <w:r w:rsidR="00925E83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resultado d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 um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delegação legislativa. O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também, com o acordo dos grupos, estender a força obrigatória dos regulamentos privados.</w:t>
      </w:r>
    </w:p>
    <w:p w14:paraId="00E61098" w14:textId="77777777" w:rsidR="002C5CAF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onde sabemos, não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 o Parlamento e os grupos sejam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juridicamente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 um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legislação. Acontece, porém, que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aquela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formatação de um contrato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prévio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mais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célebres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os acordos de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Grenelle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França e o acordo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Scotti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1986 na Itália, que põe fim à escala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móvel dos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sal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ários</w:t>
      </w:r>
      <w:r w:rsidR="00FB0586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4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Formalmente, esses acordos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vinculam claramente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governo e </w:t>
      </w:r>
      <w:r w:rsidR="00FB0586" w:rsidRPr="000E56E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fortiori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Parlamento. A </w:t>
      </w:r>
      <w:proofErr w:type="spellStart"/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legi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sl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</w:t>
      </w:r>
      <w:proofErr w:type="spellEnd"/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genuína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seria contrária às regras constitucionais que determinam o procedimento de </w:t>
      </w:r>
      <w:r w:rsidR="00FB0586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leis. Os acordos são, portanto, baseados na confiança que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atribuem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parceiros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negociação. A estrutura não é muito diferente quando os grupos são consultados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contexto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formação da legislação. Assim,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Meynaud</w:t>
      </w:r>
      <w:proofErr w:type="spellEnd"/>
      <w:r w:rsidR="000F4712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5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pôde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 preço de um leve exagero, que legislar na Suíça consiste, para o Governo e o Parlamento, em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carimbo abaixo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tratado entre associações privadas. </w:t>
      </w:r>
      <w:r w:rsidR="000F471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similar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Bobbio</w:t>
      </w:r>
      <w:r w:rsidR="000F4712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6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considerava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na Itália a lei apenas ratificava acordos anteriores</w:t>
      </w:r>
      <w:r w:rsidR="000F4712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7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Ewald</w:t>
      </w:r>
      <w:proofErr w:type="spellEnd"/>
      <w:r w:rsidR="000F4712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8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constata, por sua vez,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contr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ato social dá lugar a “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contratos sociais flexíveis, múltiplos e revisáveis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175590" w14:textId="77777777" w:rsidR="0070703D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corporativismo é baseado em um sistema invertido de sanções. A adoção de uma lei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compatível com 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acordo corporativista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condição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privados à manutenção da paz social ou à </w:t>
      </w:r>
      <w:r w:rsidR="00390DF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adesão a</w:t>
      </w:r>
      <w:r w:rsidR="002C5CA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projetos estatais. A ameaça </w:t>
      </w:r>
      <w:r w:rsidR="002C5CA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pesa sobre o governo e sobre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parlamento </w:t>
      </w:r>
      <w:r w:rsidR="002C5CA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eles executem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fielmente os tratados de paz</w:t>
      </w:r>
      <w:r w:rsidR="002C5C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9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representam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acordos corporativistas, é tão eficaz quanto qualquer sanção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legal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Juridicamente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lei adotada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virtude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acordo anterior permanece um ato unilateral emanado do Parlamento. Existe uma dissociação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nítida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os pontos de vista jurídico e sociológico, entre a análise interna e a externa.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se trata, ainda assim, de uma ruptura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completa. Como veremos, os acordos corporativistas podem ser le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vados em consideração no estágio 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interpretação.</w:t>
      </w:r>
    </w:p>
    <w:p w14:paraId="3B3A2D96" w14:textId="77777777" w:rsidR="008119F2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contrário do que acontece no nível da lei, o governo e os grupos privados podem aparecer como coautores de um ato regulatório. O parlamento,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tendo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competência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constituir uma delegação legislativa tanto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 favor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governo quanto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privados, pode prever que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seu apoio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necessári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adoção de um ato regulatório.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Os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cordos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contém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cláusulas regulatórias são bastante co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muns na Suíça e na França</w:t>
      </w:r>
      <w:r w:rsidR="0070703D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0"/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manifestam bem as regras do jogo sobre as quais se constrói o direito reflexivo. O Estado renuncia a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poder exclusivo de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heteronormatividade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obter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adesão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grupos que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 orientar.</w:t>
      </w:r>
    </w:p>
    <w:p w14:paraId="41F3A248" w14:textId="77777777" w:rsidR="00C02D25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é possível descrever aqui as </w:t>
      </w:r>
      <w:r w:rsidR="0070703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técnicas relacionadas ao exercício do poder regulatório e à adoção de convenções corporativistas. Vamos nos limitar a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sinalizar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na França, as convenções que visavam limitar os custos da saúde</w:t>
      </w:r>
      <w:r w:rsidR="00216007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1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como particularidade não vincular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juridicamente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médicos.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Elas constituíam, ainda assim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legislação de fato na medida em que mais de 95% dos médicos aderiram a ela individualmente. A extensão da força vinculativa da regulamentação privada é uma maneira de garantir o acoplamento estrutural com os sistemas que os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poderes públicos que se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procura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influenciar. Os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métodos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muito variados</w:t>
      </w:r>
      <w:r w:rsidR="00216007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2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Uma técnica antiga e clássica é que as autoridades públicas estendam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sob certas</w:t>
      </w:r>
      <w:proofErr w:type="gramEnd"/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condições, a força obrigatória 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acordos coletivos de trabalho. A extensão é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certo modo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automática 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na França, os acordos coletivos vinculam </w:t>
      </w:r>
      <w:proofErr w:type="gramStart"/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certas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condições</w:t>
      </w:r>
      <w:r w:rsidR="0021600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trabalhadores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sejam eles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pertence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ntes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não aos sindicatos contratantes</w:t>
      </w:r>
      <w:r w:rsidR="008119F2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3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AA56A97" w14:textId="77777777" w:rsidR="00C02D25" w:rsidRPr="000E56E4" w:rsidRDefault="0030416B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dessas técnicas clássicas, existem outras menos ortodoxas, que vinculam a expansão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políticas públicas que proporcionam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às empresas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Na Suíça, aquel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que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são adjudicatárias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19F2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obras públicas ou que se beneficiam da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subvenção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contingentes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trabalhad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ores estrangeiros não obtêm essa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menos que respeitem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convenções coletiva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6BD4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4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acoplamento entre a convenção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coletiva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normas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pública </w:t>
      </w:r>
      <w:r w:rsidR="00E56BD4" w:rsidRPr="00F80F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relativa à </w:t>
      </w:r>
      <w:r w:rsidRPr="00F80F5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trabalhadores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estrangeiros produz uma combinação original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privados e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 público.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pode, 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ependendo do caso, ser </w:t>
      </w:r>
      <w:r w:rsidR="00E56BD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levado a garantir ele mesmo o controle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60C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F60C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observância da regulamentação privada</w:t>
      </w:r>
      <w:r w:rsidR="00F60C6E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5"/>
      </w:r>
      <w:r w:rsidR="00F60C6E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6F6F2CD" w14:textId="77777777" w:rsidR="00912B77" w:rsidRPr="000E56E4" w:rsidRDefault="00F60C6E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técnicas de referência,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nas quais não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entraremos em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detalhes,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possibilitam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garantir a extensão dos regulamentos privados. Pode ser um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especificad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regras privadas.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referência estática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às normas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existentes em um determinado momento. Ou, inversamente, uma referência dinâmica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normas existentes e futura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Ambas as formas existem na Suíça, quando as leis cantonais que visam obter economia de energia se referem às regras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privadas da 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ociedade de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engenheiros e arquitetos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isolamento térmico de edifícios, regras que regem as relações contratuais com seus clientes</w:t>
      </w:r>
      <w:r w:rsidR="00C02D25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6"/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ode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tratar-se, por fim, de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referência tácita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graças à utilização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normas indeterminadas (regras da arte, regras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deontológicas das profissões liberais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referência ao estado da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referência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tácit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D25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regras deontológicas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ordens profissionais </w:t>
      </w:r>
      <w:r w:rsidR="0060501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esconde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tensões, na medida em que resulta n</w:t>
      </w:r>
      <w:r w:rsidR="00C94A5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elevação no ranking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prescrições </w:t>
      </w:r>
      <w:r w:rsidR="0060501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interesse geral 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regras frequentemente </w:t>
      </w:r>
      <w:r w:rsidR="00C94A5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utilizadas</w:t>
      </w:r>
      <w:r w:rsidR="0030416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protecionistas.</w:t>
      </w:r>
    </w:p>
    <w:p w14:paraId="7ACD9B67" w14:textId="77777777" w:rsidR="001E67AA" w:rsidRPr="000E56E4" w:rsidRDefault="0030416B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técnicas</w:t>
      </w:r>
      <w:r w:rsidR="00C94A5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variadas que são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4A5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garantir a extensão dos regulamentos privados apresentam numerosos problemas </w:t>
      </w:r>
      <w:r w:rsidR="00C94A5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particularmente no que diz respeito aos requisitos de legalidade, os quais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seria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pertinente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estudar aqui</w:t>
      </w:r>
      <w:r w:rsidR="00912B77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7"/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Ela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mostram que o acoplamento estrutural entre o setor público e o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setor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privado não é um fenômeno marginal. Mas também que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tensões entre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públicos e privados podem existir. Outras formas de colaboração entre os setores público e privado são possíveis. Entre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nos limitaremos a citar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participação do Estado em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sociedades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economia mista, que permite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mesmo tempo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políticas públicas e se beneficiar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flexibilidade de funcionamento 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empresas privadas. O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método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permite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a verificação</w:t>
      </w:r>
      <w:r w:rsidR="00912B77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8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acoplamento entre </w:t>
      </w:r>
      <w:r w:rsidR="00912B77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interesses públicos e privados.</w:t>
      </w:r>
    </w:p>
    <w:p w14:paraId="3CCFC537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CDA022" w14:textId="77777777" w:rsidR="0030416B" w:rsidRPr="000E56E4" w:rsidRDefault="0030416B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b.</w:t>
      </w:r>
      <w:proofErr w:type="gramEnd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participação d</w:t>
      </w:r>
      <w:r w:rsidR="00912B77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grupos na implementação e </w:t>
      </w:r>
      <w:r w:rsidR="00912B77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na 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aplicação da legislação</w:t>
      </w:r>
    </w:p>
    <w:p w14:paraId="3084E0F7" w14:textId="77777777" w:rsidR="00437AEC" w:rsidRPr="000E56E4" w:rsidRDefault="007D0DB6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se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 principalmente de duas maneiras. As autoridades públicas podem negociar a 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e um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legislação com os grupos. </w:t>
      </w:r>
      <w:proofErr w:type="gramStart"/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Uma 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utra</w:t>
      </w:r>
      <w:proofErr w:type="gramEnd"/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comum na Suíça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confiar a um grupo privado a administração de um programa e a 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próprias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aplicação das normas legais. Na Suíça, as políticas regulatórias dos mercados agrícolas 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quase todas administradas pelas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organizações privadas</w:t>
      </w:r>
      <w:r w:rsidR="00792344" w:rsidRPr="00C25FAF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9"/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Juridicamente, trata-se de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delegação de poderes. Mas isso é necessariamente baseado em um acordo com os grupos envolvidos. Es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es adquiriram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assim,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posição dominante no acoplamento estrutural. Participando 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da formação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aplicação da legislação em um subsistema relativamente fechado e amplamente 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ao abrigo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controles públicos, os grupos participam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fato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tanto na </w:t>
      </w:r>
      <w:proofErr w:type="spellStart"/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pré-determinação</w:t>
      </w:r>
      <w:proofErr w:type="spellEnd"/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na </w:t>
      </w:r>
      <w:proofErr w:type="spellStart"/>
      <w:proofErr w:type="gramStart"/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</w:t>
      </w:r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nação</w:t>
      </w:r>
      <w:proofErr w:type="spellEnd"/>
      <w:proofErr w:type="gramEnd"/>
      <w:r w:rsidR="0067687E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significado das normas que eles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aplicam. Além disso, monopoliza</w:t>
      </w:r>
      <w:r w:rsidR="00262A76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2A76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sobre o funcionamento e os efeitos produzidos pelos programas, </w:t>
      </w:r>
      <w:r w:rsidR="00262A76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eles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controlam</w:t>
      </w:r>
      <w:r w:rsidR="00262A76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, em grande medida,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transformação. Nos programas </w:t>
      </w:r>
      <w:r w:rsidR="00262A76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25FAF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observamos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concentração de poderes legislativos e executivos em favor da administração. Nos programas relacionais, onde os grupos participam tanto </w:t>
      </w:r>
      <w:r w:rsidR="00C25FAF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da formação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da </w:t>
      </w:r>
      <w:r w:rsidR="00C25FAF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legislação, é </w:t>
      </w:r>
      <w:r w:rsidR="00C25FAF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benefício que </w:t>
      </w:r>
      <w:r w:rsidR="00C25FAF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 </w:t>
      </w:r>
      <w:r w:rsidR="00742779" w:rsidRP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essa concentração.</w:t>
      </w:r>
    </w:p>
    <w:p w14:paraId="74B72870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97402F" w14:textId="77777777" w:rsidR="00742779" w:rsidRPr="000E56E4" w:rsidRDefault="00C25FAF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7434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c.</w:t>
      </w:r>
      <w:proofErr w:type="gramEnd"/>
      <w:r w:rsidRPr="007434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n</w:t>
      </w:r>
      <w:r w:rsidR="00742779" w:rsidRPr="007434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egociação de decisões concretas</w:t>
      </w:r>
    </w:p>
    <w:p w14:paraId="12860958" w14:textId="77777777" w:rsidR="00792344" w:rsidRPr="000E56E4" w:rsidRDefault="00C25FAF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primeiro lugar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há um fenômeno manifesto: a propensão das leis a </w:t>
      </w:r>
      <w:r w:rsidR="00FC695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considerar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do contrato</w:t>
      </w:r>
      <w:r w:rsidR="00FC6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preferencialmente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decisão autoritária. Os exemplos são numerosos demais para serem mencionados. </w:t>
      </w:r>
      <w:proofErr w:type="gramStart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Nos limitaremos</w:t>
      </w:r>
      <w:proofErr w:type="gramEnd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mencionar uma figura exemplar, o contrato </w:t>
      </w:r>
      <w:r w:rsidR="002F737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territorial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exploração previsto no projeto de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de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orientação agrícola</w:t>
      </w:r>
      <w:r w:rsidR="00792344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0"/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será proposto a cada agricultor para modular os auxílios públicos que serão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eles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concedidos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concepção completamente renovada da política agrícola. Os estudos de </w:t>
      </w:r>
      <w:proofErr w:type="gramStart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mostram que, nesse nível, o re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ao contrato é muito freque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nte. As políticas públicas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>manifestam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 necessidade de reflexividade que, quando a legislação prevê a adoção de decisões autoritárias,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>a administração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geralmente prefere negociar a aplicação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indivíduos ou </w:t>
      </w:r>
      <w:r w:rsidR="002F73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os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interessados.</w:t>
      </w:r>
    </w:p>
    <w:p w14:paraId="3B212646" w14:textId="77777777" w:rsidR="00792344" w:rsidRPr="000E56E4" w:rsidRDefault="00742779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que diz respeito </w:t>
      </w:r>
      <w:r w:rsidRPr="00717B5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aos grupos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negociação de decisões concretas é enxertada em 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e instituições que, como vimos</w:t>
      </w:r>
      <w:r w:rsidR="00792344" w:rsidRPr="00717B5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1"/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, servem para compensar a perda de densidade normativa das leis e, assim, fornecer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legitimação secundária e alternativa. Os procedimentos que 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instituem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democracia concreta, a participação dos cidadãos nas decisões 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que lhes dizem respeito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, a ex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dos direitos de recurso às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associações que buscam um objetivo ideal 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possuem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grande 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inconveniente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. El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BA4DA5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interve</w:t>
      </w:r>
      <w:r w:rsidR="002F7374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A4DA5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contexto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4DA5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procedimentos longos e dispendiosos, cujo resultado é muito incerto. A decisão final é tomada em uma lógica de tudo ou nada</w:t>
      </w:r>
      <w:r w:rsidR="00792344" w:rsidRPr="00717B5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2"/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a decisão for negativa, os projetos preparados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anos serão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reduzidos a nada. As p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esquisas empíricas mostram</w:t>
      </w:r>
      <w:r w:rsidR="00792344" w:rsidRPr="00717B5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3"/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evitar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inconvenientes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a administração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desenvolve,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margens da lei, estratégias de acomodação progressiva dos interesses. Ao proceder dessa maneira, ela evita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de passara través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procedimentos oficiais que se revelam </w:t>
      </w:r>
      <w:r w:rsidR="00614D2E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experiência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aleatórios. Esses processos de acomodação progressiva, combinando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negociação, </w:t>
      </w:r>
      <w:r w:rsidR="00292BA8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regateio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condução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provavelmente um dos últimos estágios da adaptação da ação do Estado à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s legislações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permitem verificar que, à sombra da lei,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acontecem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processos incrementais</w:t>
      </w:r>
      <w:r w:rsidR="00792344" w:rsidRPr="00717B5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4"/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ajuste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progressivo de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e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de transformação gradual de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comportamentos.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Contrariamente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estratégias emergentes de </w:t>
      </w:r>
      <w:proofErr w:type="gramStart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elas não têm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nenhuma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vocação para serem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oficializadas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garantem 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a flexibilização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pragmátic</w:t>
      </w:r>
      <w:r w:rsidR="00BC6D1C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programas que seriam </w:t>
      </w:r>
      <w:r w:rsidR="00717B52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</w:t>
      </w:r>
      <w:proofErr w:type="gramStart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difíceis </w:t>
      </w:r>
      <w:r w:rsidR="00717B52"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proofErr w:type="gramEnd"/>
      <w:r w:rsidRPr="0071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desenvolver de maneira autoritária.</w:t>
      </w:r>
    </w:p>
    <w:p w14:paraId="01C612D7" w14:textId="70FB8AE0" w:rsidR="0043114F" w:rsidRPr="00717B52" w:rsidRDefault="00742779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negociações com os indivíduos envolvidos em uma decisão, por outro lado, assumem uma </w:t>
      </w:r>
      <w:r w:rsidR="00B37CBF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dimensão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</w:t>
      </w:r>
      <w:r w:rsidR="00B37CBF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7CBF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imaginava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que </w:t>
      </w:r>
      <w:r w:rsidR="00B37CBF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inúmeros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estudos empíricos atestam. Alguns exemplos permitem caracterizar o processo. Na Inglaterra, em vez de instaurar processo</w:t>
      </w:r>
      <w:r w:rsidR="00E0742D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42D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penais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os responsáveis pela poluição da água, </w:t>
      </w:r>
      <w:r w:rsid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a administração</w:t>
      </w:r>
      <w:r w:rsidRPr="00E0742D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 em contato com eles, </w:t>
      </w:r>
      <w:r w:rsidR="00E0742D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lhes 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 conselhos sobre como evitar a poluição futura, discute e negocia</w:t>
      </w:r>
      <w:r w:rsidR="00792344" w:rsidRPr="00E0742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5"/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persuasão </w:t>
      </w:r>
      <w:r w:rsidR="00E0742D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revela-se definitivamente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mais eficaz </w:t>
      </w:r>
      <w:r w:rsidR="00E0742D"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0742D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repressão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França, em vez de impor sanções contra </w:t>
      </w:r>
      <w:r w:rsidR="00E0742D"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empresas </w:t>
      </w:r>
      <w:r w:rsidR="00E0742D"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>que poluem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 w:rsidR="00E0742D"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7E12"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>poderes</w:t>
      </w:r>
      <w:r w:rsidR="00E0742D" w:rsidRPr="002B1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42D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públicos</w:t>
      </w:r>
      <w:r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7E12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firmam</w:t>
      </w:r>
      <w:r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elas contratos estabelecendo políticas públicas concretas e individualizadas</w:t>
      </w:r>
      <w:r w:rsidR="007F7E12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originais</w:t>
      </w:r>
      <w:r w:rsidR="00792344" w:rsidRPr="00574385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6"/>
      </w:r>
      <w:r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contratos são reforçados pela produção </w:t>
      </w:r>
      <w:r w:rsidR="002B1E00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de normas</w:t>
      </w:r>
      <w:r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divers</w:t>
      </w:r>
      <w:r w:rsidR="002B1E00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s: circulares administrativas, instruções técnicas, </w:t>
      </w:r>
      <w:r w:rsidR="002B1E00" w:rsidRPr="00574385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portarias</w:t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estabelecendo </w:t>
      </w:r>
      <w:r w:rsid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restrições </w:t>
      </w:r>
      <w:r w:rsid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matéria de </w:t>
      </w:r>
      <w:r w:rsidR="00286518" w:rsidRPr="00286518">
        <w:rPr>
          <w:rFonts w:ascii="Times New Roman" w:eastAsia="Times New Roman" w:hAnsi="Times New Roman" w:cs="Times New Roman"/>
          <w:sz w:val="24"/>
          <w:szCs w:val="24"/>
          <w:lang w:eastAsia="pt-BR"/>
        </w:rPr>
        <w:t>emissões</w:t>
      </w:r>
      <w:r w:rsidRPr="002865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518">
        <w:rPr>
          <w:rFonts w:ascii="Times New Roman" w:eastAsia="Times New Roman" w:hAnsi="Times New Roman" w:cs="Times New Roman"/>
          <w:sz w:val="24"/>
          <w:szCs w:val="24"/>
          <w:lang w:eastAsia="pt-BR"/>
        </w:rPr>
        <w:t>de resíduos</w:t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</w:t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segurança, </w:t>
      </w:r>
      <w:r w:rsid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>auto</w:t>
      </w:r>
      <w:r w:rsid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</w:t>
      </w:r>
      <w:r w:rsidR="00792344" w:rsidRPr="00DD56B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7"/>
      </w:r>
      <w:r w:rsidRPr="00DD5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Os arranjos informais são tão fortes que sua anulação pelo Conselho de Estado não afeta</w:t>
      </w:r>
      <w:r w:rsidR="00792344" w:rsidRPr="001B6F1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8"/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aplicação. A presença de soluções negociadas é atestada em uma série de situações e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de setores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direito penal</w:t>
      </w:r>
      <w:r w:rsidR="00792344" w:rsidRPr="001B6F1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9"/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mediação visa substituir as decisões judiciais pela solução negociada de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litígios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, pela busca de acordos entre as partes</w:t>
      </w:r>
      <w:r w:rsidR="00792344" w:rsidRPr="001B6F1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0"/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. Em todos o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domínios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direito, entramos na era da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litigociação</w:t>
      </w:r>
      <w:proofErr w:type="spellEnd"/>
      <w:proofErr w:type="gramStart"/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792344" w:rsidRPr="001B6F1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1"/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Ademais, o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fenômeno é muito mais antigo do que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supomos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. Os inspetores de fábrica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Colbert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1669 não se limitaram a sancionar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fraudes. Eles se comp</w:t>
      </w:r>
      <w:r w:rsidR="000E56E4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ortaram como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educadores</w:t>
      </w:r>
      <w:r w:rsidR="000E56E4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“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instrutores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fábrica</w:t>
      </w:r>
      <w:proofErr w:type="gramStart"/>
      <w:r w:rsidR="000E56E4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792344" w:rsidRPr="001B6F1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2"/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. Já na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quela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época,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E56E4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conselhamento e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0E56E4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negociação 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substituí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 </w:t>
      </w:r>
      <w:r w:rsidR="001B6F17"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frequentemente </w:t>
      </w:r>
      <w:r w:rsidRPr="001B6F17">
        <w:rPr>
          <w:rFonts w:ascii="Times New Roman" w:eastAsia="Times New Roman" w:hAnsi="Times New Roman" w:cs="Times New Roman"/>
          <w:sz w:val="24"/>
          <w:szCs w:val="24"/>
          <w:lang w:eastAsia="pt-BR"/>
        </w:rPr>
        <w:t>a repressão.</w:t>
      </w:r>
    </w:p>
    <w:p w14:paraId="26CD798E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BCFFF3" w14:textId="77777777" w:rsidR="00742779" w:rsidRPr="00CE41DF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E4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A</w:t>
      </w:r>
      <w:r w:rsidR="0010377C" w:rsidRPr="00CE4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="0010377C" w:rsidRPr="00CE4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CE4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uto-regulação</w:t>
      </w:r>
      <w:proofErr w:type="spellEnd"/>
      <w:proofErr w:type="gramEnd"/>
      <w:r w:rsidRPr="00CE4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dirigida</w:t>
      </w:r>
    </w:p>
    <w:p w14:paraId="74B3E311" w14:textId="2C4BBC86" w:rsidR="00742779" w:rsidRPr="000E56E4" w:rsidRDefault="00742779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técnica </w:t>
      </w:r>
      <w:r w:rsidR="005461F6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evidencia a conciliação que o E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reflexivo busca operar entre a direção da sociedade e o respeito pelas faculdades de auto-organização dos grupos direcionados. A conciliação dos contrários, a </w:t>
      </w:r>
      <w:proofErr w:type="spellStart"/>
      <w:proofErr w:type="gramStart"/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proofErr w:type="gramEnd"/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dirigida, baseia-se no intercâmbio entre o Estado e os grupos privados. </w:t>
      </w:r>
      <w:r w:rsidR="005461F6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Estes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61F6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aceitam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61F6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limitar 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voluntariamente sua liberdade de ação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9E625B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uma dupla condição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uma negativa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9E625B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assegura</w:t>
      </w:r>
      <w:r w:rsidR="009E625B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impo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sição de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61F6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regulamentação autoritária e a outra positiva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E625B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ver conferido</w:t>
      </w:r>
      <w:r w:rsidR="00F80F54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</w:t>
      </w:r>
      <w:r w:rsidR="009E625B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o poder exorbitante legislar. Contra essas vantagens, os grupos privados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aceitam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seguir a linha da política traçada pelo Estado. Este último encontra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seu benefício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medida em que consegue se livrar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da implementação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política conflituosa e evitar oposições que possam </w:t>
      </w:r>
      <w:r w:rsidR="00CE41DF"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colocar</w:t>
      </w:r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risco a realização </w:t>
      </w:r>
      <w:proofErr w:type="gramStart"/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dessa</w:t>
      </w:r>
      <w:proofErr w:type="gramEnd"/>
      <w:r w:rsidRPr="009E62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41B028E" w14:textId="77777777" w:rsidR="00792344" w:rsidRPr="000E56E4" w:rsidRDefault="00742779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dirigida encontrou um terreno privilegiado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contexto d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políticas sociais e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as políticas públicas destinadas a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poderosos e bem organizados, como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proofErr w:type="gramEnd"/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bancos na Suíça. No campo da política social, a técnica gira em torno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da convenção coletiva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trabalho, que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instituição clássica de auto-organização.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dificuldade de impor normas autoritárias, o Estado procura convencer os parceiros sociais a incluir nas convenções disposições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permitam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alcançar os objetivos d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e um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política pública. Na França, o exemplo típico é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aquele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estratégia prevista para reduzir o tempo de trabalho. O desejo de garantir um acoplamento estrutural favorável é evidente.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Os poderes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sabem muito bem que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podem ordenar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economia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reduza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 jornada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trabalho com salários constantes sem provocar </w:t>
      </w:r>
      <w:r w:rsidR="00C112B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efeitos perversos que cancelariam os esforços empreendidos. O acoplamento estrutural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serve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diferenciar a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de realização da política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empresas e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setores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envolvid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A técnica combina a necessidade de diferenciação e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de reflexibilidade. Ela pode ser combinada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aquela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acordos corporativistas analisados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acima.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Com efeito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, é possível que a política pública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 ser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perseguida com sucesso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se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 parte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contexto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acordo global que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realize um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equil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0BA7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os benefícios concedidos a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tipos de parceiros sociais em troca de sua adesão ao programa </w:t>
      </w:r>
      <w:r w:rsidR="00C25FAF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reduçã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 tempo de trabalho,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imagina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 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bastante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5FD0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as vantagens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termos de flexibilidade d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emprego 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empregadores poderiam exigir em 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contrapartida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pela sua adesão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objetivo </w:t>
      </w:r>
      <w:r w:rsidR="00BD7625"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>perseguido pelo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governo.</w:t>
      </w:r>
    </w:p>
    <w:p w14:paraId="0B3DD356" w14:textId="77777777" w:rsidR="00106AC7" w:rsidRPr="000E56E4" w:rsidRDefault="00742779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Suíça, a técnica foi utilizada em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relação aos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bancos que,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poder, conseguiram evitar a imposição de regulamentos que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eles julgavam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inúteis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as b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olsa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s de v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alores</w:t>
      </w:r>
      <w:r w:rsidR="00792344" w:rsidRPr="005C4D4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3"/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prevê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expressamente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 obrigação d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mercado de ações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se auto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regul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direção traçada pela lei corresponde ao modelo que os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partidários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autopoiese</w:t>
      </w:r>
      <w:proofErr w:type="spell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chamam de seus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votos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lei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limita a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determinar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</w:t>
      </w:r>
      <w:proofErr w:type="spellStart"/>
      <w:proofErr w:type="gramStart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proofErr w:type="gram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</w:t>
      </w:r>
      <w:r w:rsidR="000E56E4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garantir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investidores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transparência e igualdade de tratamento e garantir o 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funcionamento dos </w:t>
      </w:r>
      <w:r w:rsidR="000E56E4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mercados de valores mobiliários”</w:t>
      </w:r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também uma mistura de </w:t>
      </w:r>
      <w:proofErr w:type="spellStart"/>
      <w:proofErr w:type="gramStart"/>
      <w:r w:rsidR="00BD7625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auto-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regulação</w:t>
      </w:r>
      <w:proofErr w:type="spellEnd"/>
      <w:proofErr w:type="gram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direcionamento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estatal que caracteriza o regime relativo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aceitação de fundos duvidosos. O primeiro e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lemento aparece no fato de que 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regulament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foi estabelecida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próprios bancos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contexto de uma convenção chamada d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diligência. A direção pel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Federal d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Bancos foi possibilitada pelo fato de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respeito pel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convenção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estabelecido como condição </w:t>
      </w:r>
      <w:r w:rsidR="00C71B69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exercício da profissão, que deve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ser uma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 irrepreensível</w:t>
      </w:r>
      <w:r w:rsidR="00792344" w:rsidRPr="005C4D4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4"/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Graças a esse revezamento, a Comissão Federal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Bancos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conseguiu influenciar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conteúdo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da convenção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de modo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garantir a boa reputação do centro financeiro suíço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prejudicada após uma série de escândalos</w:t>
      </w:r>
      <w:r w:rsidR="00792344" w:rsidRPr="005C4D4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5"/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virtudes dessa forma de </w:t>
      </w:r>
      <w:proofErr w:type="spellStart"/>
      <w:proofErr w:type="gramStart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proofErr w:type="gram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enfatizadas. A adoção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rápida da regulamentação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flexibilidade e a adaptabilidade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daquelas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r w:rsidR="0046299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forte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propensão dos bancos a respeitar um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regulamentação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eles mesmos estabeleceram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vantagens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colocam em destaque</w:t>
      </w:r>
      <w:r w:rsidR="00792344" w:rsidRPr="005C4D4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6"/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Os motivos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mencionados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partidários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autopoiese</w:t>
      </w:r>
      <w:proofErr w:type="spell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 favor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reflexiv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particular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o caráter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contraproducente d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e uma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regulamentação autoritária,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revelam-se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particularmente evidentes em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um campo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 os bancos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constituem 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parceiro forte e bem organizado. O perigo de confiar cegamente na </w:t>
      </w:r>
      <w:proofErr w:type="spellStart"/>
      <w:proofErr w:type="gramStart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auto-regulação</w:t>
      </w:r>
      <w:proofErr w:type="spellEnd"/>
      <w:proofErr w:type="gramEnd"/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igualmente verdadeiro.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Particularmente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dificuldade que os grupos privados têm 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diferenciar seus interesses egoístas do interesse gera</w:t>
      </w:r>
      <w:r w:rsidR="005C4D4D"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l e fazê-los</w:t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prevalecer</w:t>
      </w:r>
      <w:r w:rsidR="00792344" w:rsidRPr="005C4D4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7"/>
      </w:r>
      <w:r w:rsidRPr="005C4D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DE1443C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03A244" w14:textId="77777777" w:rsidR="00742779" w:rsidRPr="000E56E4" w:rsidRDefault="005C4D4D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Os r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egulamentos que </w:t>
      </w:r>
      <w:r w:rsidR="00576F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operam um acoplamento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</w:t>
      </w:r>
      <w:r w:rsidR="00576F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os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sistemas </w:t>
      </w:r>
      <w:r w:rsidR="00576F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direcionados</w:t>
      </w:r>
    </w:p>
    <w:p w14:paraId="7474D6D4" w14:textId="77777777" w:rsidR="00742779" w:rsidRPr="000E56E4" w:rsidRDefault="00742779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instrumentos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ação ditos 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econômicos visam garantir um acoplamento estrutural entre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o d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ireito e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economia.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Mencionaremos aqui brevemente o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instrumentos econômicos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proteção do meio ambiente. Mas a técnica pode ser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744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áreas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Ao operar um acoplamento estrutural, esses instrumentos buscam levar em consideração a lógica do sistema regulado. Eles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visam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incentivar os agentes econômicos a incorporar em seus custos os efeitos externos negativos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produzidos 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meio ambiente e a modificar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consequentemente, seu comportamento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renunciando à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produção ou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à utilização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bem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seja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orrendo a tecnologias que reduzam as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externalidades. </w:t>
      </w:r>
      <w:r w:rsidR="000E56E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Esses instrumentos são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colocados a serviço</w:t>
      </w:r>
      <w:r w:rsidR="000E56E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realização de 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objetivos específicos. Eles também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se inserem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contexto d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 pelos princípios orientadores do d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ireito ambiental, o princípio da prevenção e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54"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princípio do </w:t>
      </w:r>
      <w:r w:rsidRP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poluidor-pagador.</w:t>
      </w:r>
    </w:p>
    <w:p w14:paraId="416271D6" w14:textId="77777777" w:rsidR="00D67A63" w:rsidRPr="000E56E4" w:rsidRDefault="00742779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instrumentos econômicos não proíbem </w:t>
      </w:r>
      <w:r w:rsidR="00CE00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comportamentos considerados indesejáveis. Mas, ao torná-los mais </w:t>
      </w:r>
      <w:r w:rsidR="00CE0054">
        <w:rPr>
          <w:rFonts w:ascii="Times New Roman" w:eastAsia="Times New Roman" w:hAnsi="Times New Roman" w:cs="Times New Roman"/>
          <w:sz w:val="24"/>
          <w:szCs w:val="24"/>
          <w:lang w:eastAsia="pt-BR"/>
        </w:rPr>
        <w:t>custosos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eles se </w:t>
      </w:r>
      <w:r w:rsidR="00CE0054">
        <w:rPr>
          <w:rFonts w:ascii="Times New Roman" w:eastAsia="Times New Roman" w:hAnsi="Times New Roman" w:cs="Times New Roman"/>
          <w:sz w:val="24"/>
          <w:szCs w:val="24"/>
          <w:lang w:eastAsia="pt-BR"/>
        </w:rPr>
        <w:t>retornam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mecanismos do mercado </w:t>
      </w:r>
      <w:r w:rsid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cuidado de obter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resultados </w:t>
      </w:r>
      <w:r w:rsid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são menos autoritários que as prescrições. Eles deixam aos destinatários uma margem de apreciação </w:t>
      </w:r>
      <w:r w:rsidR="00BA50E4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importante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adaptar seu comportamento aos objetivos da política pública. Sua reflexividade reside nas opções comp</w:t>
      </w:r>
      <w:r w:rsid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ortamentais que ele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possibilitam. Os i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nstrumentos econômicos </w:t>
      </w:r>
      <w:r w:rsidR="00BA50E4">
        <w:rPr>
          <w:rFonts w:ascii="Times New Roman" w:eastAsia="Times New Roman" w:hAnsi="Times New Roman" w:cs="Times New Roman"/>
          <w:sz w:val="24"/>
          <w:szCs w:val="24"/>
          <w:lang w:eastAsia="pt-BR"/>
        </w:rPr>
        <w:t>clássicos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r w:rsidR="00BA50E4" w:rsidRPr="002F49CA">
        <w:rPr>
          <w:rFonts w:ascii="Times New Roman" w:eastAsia="Times New Roman" w:hAnsi="Times New Roman" w:cs="Times New Roman"/>
          <w:sz w:val="24"/>
          <w:szCs w:val="24"/>
          <w:lang w:eastAsia="pt-BR"/>
        </w:rPr>
        <w:t>as taxas</w:t>
      </w:r>
      <w:r w:rsidRPr="002F4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orientação e </w:t>
      </w:r>
      <w:r w:rsidR="00BA50E4" w:rsidRPr="002F49C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autorizações</w:t>
      </w:r>
      <w:r w:rsidRPr="002F4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negociáveis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8B5EB17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08D514" w14:textId="77777777" w:rsidR="00742779" w:rsidRPr="000E56E4" w:rsidRDefault="00BA50E4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As t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axas de orientação</w:t>
      </w:r>
    </w:p>
    <w:p w14:paraId="4BE346B1" w14:textId="77777777" w:rsidR="00742779" w:rsidRPr="000E56E4" w:rsidRDefault="008041B9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lustração emblemática da ação </w:t>
      </w:r>
      <w:r w:rsidR="00C25FAF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finalística 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Estado, as taxas de orientação introduzem </w:t>
      </w:r>
      <w:proofErr w:type="gramStart"/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dose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reflexividade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abri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opções aos seus destinatários. Eles podem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de fato escolher seja por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adotar o comportamento que a autoridade procura promover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, seja por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a taxa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que o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caráter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opcional exista e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função de orientação seja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garantida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proofErr w:type="gramStart"/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 que as taxas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sejam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nem muito baixa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nem muito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elevadas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. A id</w:t>
      </w:r>
      <w:r w:rsidR="000E56E4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de empatia sistêmica </w:t>
      </w:r>
      <w:proofErr w:type="gramStart"/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é,</w:t>
      </w:r>
      <w:proofErr w:type="gramEnd"/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observar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evidente</w:t>
      </w:r>
      <w:r w:rsidR="00742779" w:rsidRPr="00B0790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1BD9D4" w14:textId="77777777" w:rsidR="00192AB2" w:rsidRPr="000E56E4" w:rsidRDefault="00742779" w:rsidP="00804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taxas de orientação são amplamente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setores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</w:t>
      </w:r>
      <w:r w:rsid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proteção ambiental. Na Suíça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elas são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previstas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âmbitos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política comercial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política agrícola,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desempenham um papel importante em termos de política conjuntural,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de transporte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s,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política </w:t>
      </w:r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visa </w:t>
      </w:r>
      <w:proofErr w:type="gramStart"/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804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proteção 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</w:t>
      </w:r>
      <w:r w:rsidR="00792344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8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807893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9E8216" w14:textId="77777777" w:rsidR="00742779" w:rsidRPr="000E56E4" w:rsidRDefault="00B0790E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As autorizações 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negociáveis (</w:t>
      </w:r>
      <w:r w:rsidRPr="002F49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créditos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poluição)</w:t>
      </w:r>
    </w:p>
    <w:p w14:paraId="36F14203" w14:textId="77777777" w:rsidR="00315EAF" w:rsidRPr="000E56E4" w:rsidRDefault="00E21745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consistem na criação de um mercado artificial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bens que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normalmente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subtraídos das trocas comerciais</w:t>
      </w:r>
      <w:r w:rsidR="00792344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9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Ela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são particularmente interessantes porque combinam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modalidades de ação estatal. Assim c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taxas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orientação, 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combinam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propulsiva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ação reflexiva. Para produzir efeitos ecológicos favoráveis, é necessário, antes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criar um mercado artificial para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poluição, reduzir os valores-limite de </w:t>
      </w:r>
      <w:proofErr w:type="gramStart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emissão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admissíveis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anteriormente</w:t>
      </w:r>
      <w:proofErr w:type="gramEnd"/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mercado artificial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visa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simultaneamente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incentivar os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atores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econômicos a dar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passo em direção à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objeti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vo 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tornar lucrativos os esforços tecnológicos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devem ser realizados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respeitar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valores-limite reduzidos. Estruturalmente, o processo consiste em enxertar em um programa 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modelo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clássico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contrato concluído e aplica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base em regras fixas. A fórmula é original, pois é a mistura entre o modelo do direito moderno e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programas 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produz 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reflexi</w:t>
      </w:r>
      <w:r w:rsidR="00EF68FA"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r w:rsidR="0074277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dade.</w:t>
      </w:r>
    </w:p>
    <w:p w14:paraId="607E3385" w14:textId="77777777" w:rsidR="00C95A65" w:rsidRPr="000E56E4" w:rsidRDefault="00F86973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Observamos t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ambém que os mercados artificiais combinam </w:t>
      </w:r>
      <w:r w:rsidR="00FD032C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modalidades de ação. É essa combinação que,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</w:t>
      </w:r>
      <w:proofErr w:type="spellStart"/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Willke</w:t>
      </w:r>
      <w:proofErr w:type="spellEnd"/>
      <w:r w:rsidR="00792344" w:rsidRPr="00B810F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0"/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constitui o desafio </w:t>
      </w:r>
      <w:r w:rsidR="000E56E4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ordem jurídica de hoje: “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Desenvolver instituições e instrumentos 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novos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que permitam combinações entre normas autoritárias, normas de incentivo (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subvenções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incentivos positivos) e normas reflexivas (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que organizem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negociações ou 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consultas)”. Observamos assim aparecer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novo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traço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intervencionismo estatal que não é apenas 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inventar novas formas de ação estatal, mas </w:t>
      </w:r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estabelecer uma combinação dessas diferentes formas. </w:t>
      </w:r>
      <w:proofErr w:type="gramStart"/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Se é</w:t>
      </w:r>
      <w:proofErr w:type="gramEnd"/>
      <w:r w:rsidR="00CC1516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justificado n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plano heurístico de distinguir muito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cuidadosamente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essas formas para caracterizá-las,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devemos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reconhecer que é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a disposição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harmonios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de diferentes técnicas que constitui o desafio do intervencionismo estatal.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Ademais, não basta, 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vemos frequentemente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multiplicar os meios de ação. O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êxito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BF440E" w:rsidRPr="00B810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engenharia</w:t>
      </w:r>
      <w:r w:rsidR="00742779" w:rsidRPr="00B810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social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depende da sinergia que 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os poderes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</w:t>
      </w:r>
      <w:r w:rsidR="00BF440E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criam entre modos de ação muito </w:t>
      </w:r>
      <w:r w:rsidR="00B810F7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</w:t>
      </w:r>
      <w:r w:rsidR="00742779" w:rsidRPr="00B810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48B6BA0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ACD20F" w14:textId="77777777" w:rsidR="00742779" w:rsidRPr="000E56E4" w:rsidRDefault="00B810F7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O planejamento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reflexiv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742779"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emergente</w:t>
      </w:r>
    </w:p>
    <w:p w14:paraId="280369BC" w14:textId="77777777" w:rsidR="00315EAF" w:rsidRPr="000E56E4" w:rsidRDefault="00742779" w:rsidP="000E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participação de grupos na formação de planos </w:t>
      </w:r>
      <w:r w:rsidR="00930892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tenham força obrigatória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tão intensa, se não mais</w:t>
      </w:r>
      <w:r w:rsidR="0093089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que a</w:t>
      </w:r>
      <w:r w:rsidR="00930892">
        <w:rPr>
          <w:rFonts w:ascii="Times New Roman" w:eastAsia="Times New Roman" w:hAnsi="Times New Roman" w:cs="Times New Roman"/>
          <w:sz w:val="24"/>
          <w:szCs w:val="24"/>
          <w:lang w:eastAsia="pt-BR"/>
        </w:rPr>
        <w:t>quela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930892">
        <w:rPr>
          <w:rFonts w:ascii="Times New Roman" w:eastAsia="Times New Roman" w:hAnsi="Times New Roman" w:cs="Times New Roman"/>
          <w:sz w:val="24"/>
          <w:szCs w:val="24"/>
          <w:lang w:eastAsia="pt-BR"/>
        </w:rPr>
        <w:t>se produz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produção d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e legislações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planos de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ordenamento do território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r w:rsidR="00187A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tratados </w:t>
      </w:r>
      <w:r w:rsidR="00187A70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paz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provisórios entre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de interesse q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ue lutam pela apropriação de um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bem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rar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O caráter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provisóri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arranjos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nítido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mutabilidade do plano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circunstâncias é inerente ao processo e consagrada </w:t>
      </w:r>
      <w:r w:rsidR="00187A70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direito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planejamento indicativo,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de seu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lado,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quase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integralmente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boa vontade dos atores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dos quais buscamos influenciar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comportamento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5FC146F" w14:textId="77777777" w:rsidR="0038137F" w:rsidRPr="000E56E4" w:rsidRDefault="00742779" w:rsidP="000E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reflexividade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manifesta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particularmente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planos. Da mesma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maneira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as normas jurídicas são adaptadas pela administração às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circ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unstâncias concretas e negociada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com seus destinatários, os planos não são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concebidos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serem aplicados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autoritariamente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maneira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mec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ânica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Essa combinação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 efeito de cima para baixo (</w:t>
      </w:r>
      <w:r w:rsidR="00EE3A5D" w:rsidRPr="006F24C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top </w:t>
      </w:r>
      <w:proofErr w:type="spellStart"/>
      <w:r w:rsidR="00EE3A5D" w:rsidRPr="006F24C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down</w:t>
      </w:r>
      <w:proofErr w:type="spellEnd"/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baixo para cima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EE3A5D" w:rsidRPr="006F24C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bottom</w:t>
      </w:r>
      <w:proofErr w:type="spellEnd"/>
      <w:r w:rsidR="00EE3A5D" w:rsidRPr="006F24C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EE3A5D" w:rsidRPr="006F24C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up</w:t>
      </w:r>
      <w:proofErr w:type="spellEnd"/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>que encontramos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aplicação de normas autoritárias e que garante sua reflexividade, encontra paralelo na mistura entre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planejamento intencional e </w:t>
      </w:r>
      <w:r w:rsidR="00EE3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planejamento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emergente analisados por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Minzberg</w:t>
      </w:r>
      <w:proofErr w:type="spellEnd"/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1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</w:t>
      </w:r>
      <w:r w:rsidR="00EE3A5D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esquema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seguinte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2A8B692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0ED7C" w14:textId="77777777" w:rsidR="00005088" w:rsidRPr="000E56E4" w:rsidRDefault="00005088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5A4FA10" wp14:editId="351A0FC8">
            <wp:extent cx="5400040" cy="33343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7DD8" w14:textId="77777777" w:rsidR="003E7CBC" w:rsidRPr="000E56E4" w:rsidRDefault="003E7CBC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0FB276" w14:textId="77777777" w:rsidR="00EF181D" w:rsidRPr="000E56E4" w:rsidRDefault="00742779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esquema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 os fenômenos de inversão normativa que observamos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2"/>
      </w:r>
      <w:r w:rsidR="00315EA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5EAF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impressionou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uma série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juristas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3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As normas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importância são muitas vezes concebid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por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instâncias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inferior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es de aplicação, confrontada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 com problema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s concretos de regulamentação. Não é senão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lentamente, através de revisões legislativas, que essas regras retornam ao nível hierárquico ao qual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elas deveriam ter sido colocadas de acordo com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princípios constitucionais. O princípio da legalidade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diferida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buscamos desenvolver tem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função acelerar esse aumento de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níveis prescritos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direito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A mesma observação foi feita em termos de planejamento. Ele revela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fenômenos de inversão hierárquica, os arranjos </w:t>
      </w:r>
      <w:r w:rsidR="00585869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base são retomados no planejamento central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4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 estudo </w:t>
      </w:r>
      <w:r w:rsidR="00CD0C84">
        <w:rPr>
          <w:rFonts w:ascii="Times New Roman" w:eastAsia="Times New Roman" w:hAnsi="Times New Roman" w:cs="Times New Roman"/>
          <w:sz w:val="24"/>
          <w:szCs w:val="24"/>
          <w:lang w:eastAsia="pt-BR"/>
        </w:rPr>
        <w:t>minucioso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planejamento de resíduos na Suíça mostra que, se considerarmos a formação e a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planejamento, </w:t>
      </w:r>
      <w:r w:rsidR="00CD0C8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alternância de várias fases nas quais </w:t>
      </w:r>
      <w:r w:rsidR="00CD0C84">
        <w:rPr>
          <w:rFonts w:ascii="Times New Roman" w:eastAsia="Times New Roman" w:hAnsi="Times New Roman" w:cs="Times New Roman"/>
          <w:sz w:val="24"/>
          <w:szCs w:val="24"/>
          <w:lang w:eastAsia="pt-BR"/>
        </w:rPr>
        <w:t>predomina por vezes 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estratégia deliberada</w:t>
      </w:r>
      <w:r w:rsidR="00CD0C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0C84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outras,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estratégia emergente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5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O planejamento, considerado em sua</w:t>
      </w:r>
      <w:r w:rsid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s muitas facetas, aparece como “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rede relacional, coordenada, concertada, descentralizada, </w:t>
      </w:r>
      <w:proofErr w:type="spell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auto-organizada</w:t>
      </w:r>
      <w:proofErr w:type="spell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emergente e impulsionada</w:t>
      </w:r>
      <w:proofErr w:type="gramStart"/>
      <w:r w:rsid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6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3E67C2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1F3FF0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As principais características </w:t>
      </w:r>
      <w:r w:rsidR="00CD0C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direito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programas relacionais</w:t>
      </w:r>
    </w:p>
    <w:p w14:paraId="1DE4B873" w14:textId="77777777" w:rsidR="009D5C4C" w:rsidRPr="000E56E4" w:rsidRDefault="00742779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Fórmula mágica para alguns, jogo sem regras para outros</w:t>
      </w:r>
      <w:r w:rsidR="00315EAF" w:rsidRPr="00371BD0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7"/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reflexiv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fascina e desconcerta. Ele realiza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mistura original entre o Estado e a sociedade civil, entre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interesses públicos e privados, entre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normas estatais e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normas neocorporativas. Para os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partidários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autopoiese</w:t>
      </w:r>
      <w:proofErr w:type="spellEnd"/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ele permitiria estabelecer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comunicação entre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sistemas fechados. Para os teóricos do liberalismo,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serviria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atravessar o muro de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separação, sem</w:t>
      </w:r>
      <w:proofErr w:type="gramStart"/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</w:t>
      </w:r>
      <w:proofErr w:type="gramEnd"/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abolir a distinção entre Estado e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sociedade civil. Ao abandonar por um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instante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grandes teorias ou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julgamentos globais, podemos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nos ater a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descrever as mudanças que a reflexividade provoca no nível da estrutura </w:t>
      </w:r>
      <w:r w:rsidR="00371BD0"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A84DA95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C278EC" w14:textId="77777777" w:rsidR="00742779" w:rsidRPr="000E56E4" w:rsidRDefault="00742779" w:rsidP="000E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A. Um direito que </w:t>
      </w:r>
      <w:r w:rsidR="0037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opera uma 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mistura </w:t>
      </w:r>
      <w:r w:rsidR="0037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entre os </w:t>
      </w:r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interesses públicos e </w:t>
      </w:r>
      <w:proofErr w:type="gramStart"/>
      <w:r w:rsidRPr="000E56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privados</w:t>
      </w:r>
      <w:proofErr w:type="gramEnd"/>
    </w:p>
    <w:p w14:paraId="10A5B3B4" w14:textId="77777777" w:rsidR="00315EAF" w:rsidRPr="000E56E4" w:rsidRDefault="00742779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Estado liberal tenta </w:t>
      </w:r>
      <w:r w:rsidR="00371BD0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distinção </w:t>
      </w:r>
      <w:r w:rsidR="00A4179C">
        <w:rPr>
          <w:rFonts w:ascii="Times New Roman" w:eastAsia="Times New Roman" w:hAnsi="Times New Roman" w:cs="Times New Roman"/>
          <w:sz w:val="24"/>
          <w:szCs w:val="24"/>
          <w:lang w:eastAsia="pt-BR"/>
        </w:rPr>
        <w:t>franca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</w:t>
      </w:r>
      <w:r w:rsidR="00A417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interesse público, que visa à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proteção da ordem pública, e o interesse privado em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dispor 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autonomia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abrangente. O desenvolvimento 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políticas públicas, sempre mais direcionadas,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combatidas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grupos,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provocou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explosão de interesse público e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interesse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privado. O interesse público foi dividido em uma infinidade de interesses dispersos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8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Estes são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suportados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numerosos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da administração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defendem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frequentemente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pontos de vista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contraditórios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parte, os interesses privados se diversificaram.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Eles 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tão numerosos quanto os interesses daqueles que se beneficiam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das políticas públicas ou que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afetados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por elas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é em torno desses interesses fragmentados que os grupos se organizam. Quando decisões importantes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devem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tomadas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respeito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exemplo,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grandes obras,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alianças </w:t>
      </w:r>
      <w:r w:rsidR="00DD1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variáveis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interesses públicos e privados, favoráveis ou desfavoráveis a um projeto. A linha divisória não divide mais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públicos e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os interesses privados. Ela 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epara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coalizões administrativas e corporativas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que possuem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opostos.</w:t>
      </w:r>
    </w:p>
    <w:p w14:paraId="3FEBBC2F" w14:textId="77777777" w:rsidR="00742779" w:rsidRPr="000E56E4" w:rsidRDefault="00742779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participação de grupos na formação e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implementação </w:t>
      </w:r>
      <w:proofErr w:type="gramStart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da legislaç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gramEnd"/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mostra </w:t>
      </w:r>
      <w:r w:rsidR="00712159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fronteira entre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interesses públicos e privados está se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perdendo sua nitidez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 É d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 público que empresas privadas prosperem, realizem lucros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que possam ser tributados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tragam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divisas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país, criem empregos. O Estado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se esforça para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criar as condições estruturais mais favoráveis possíveis para a busca de interesses privados, cuja realização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lhe pareça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desejável.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Dizemos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interesses privados </w:t>
      </w:r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="00712159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publicizam</w:t>
      </w:r>
      <w:proofErr w:type="spellEnd"/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9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19F2EF7" w14:textId="77777777" w:rsidR="00315EAF" w:rsidRPr="000E56E4" w:rsidRDefault="00712159" w:rsidP="000E5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Simultaneamente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acoplamento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estrutural permite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privados 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indivíduos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participem da definição e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realização do interesse público. As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formas de participação dos grupos na formação e </w:t>
      </w:r>
      <w:r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na aplicação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legislação, que descrevemos, mostram que estamos testemunhando em grandes setores, onde o intervencionismo estatal se manifesta, uma osmose</w:t>
      </w:r>
      <w:r w:rsidR="000E56E4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interesses públicos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interesses privados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, a uma co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rresponsabilidade do Estado e dos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na determinação das condições de realização dos interesses públicos</w:t>
      </w:r>
      <w:r w:rsidR="00AC7B7B" w:rsidRP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7B7B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diversos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Assistimos então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uma privatização do interesse público</w:t>
      </w:r>
      <w:r w:rsidR="00315EAF" w:rsidRPr="00AD3A26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0"/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direito de recurso concedido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associações privadas para a defesa do interesse geral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emerge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742779" w:rsidRPr="00AD3A26">
        <w:rPr>
          <w:rFonts w:ascii="Times New Roman" w:eastAsia="Times New Roman" w:hAnsi="Times New Roman" w:cs="Times New Roman"/>
          <w:sz w:val="24"/>
          <w:szCs w:val="24"/>
          <w:lang w:eastAsia="pt-BR"/>
        </w:rPr>
        <w:t>essa lógica.</w:t>
      </w:r>
    </w:p>
    <w:p w14:paraId="62D9960A" w14:textId="77777777" w:rsidR="00C952C0" w:rsidRPr="002C26AA" w:rsidRDefault="00742779" w:rsidP="000E5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mistura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entre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privados e públicos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 também sua tradução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concepção </w:t>
      </w:r>
      <w:r w:rsidR="00AC7B7B"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direitos fundamentais.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Estes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podem mais ser concebidos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de maneira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defensiva como um meio de conter o poder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estatal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podem envolver medidas positivas, por exemplo, para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pluralismo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garantido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mídia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audiovisua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C7B7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Consideramos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que eles devem proporcionar aos indivíduos o direito de participar, </w:t>
      </w:r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>em acordo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>os poderes públicos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>, na construção de espaços comuns de comunicação e interação</w:t>
      </w:r>
      <w:r w:rsidR="00315EAF" w:rsidRPr="000E56E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1"/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aplicação dos direitos fundamentais </w:t>
      </w:r>
      <w:r w:rsidRPr="000E5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nas relações entre os indivíduos é pelo menos parcialmente explicada pelo fato de que os interesses públicos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privados, </w:t>
      </w:r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estando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vez mais </w:t>
      </w:r>
      <w:proofErr w:type="gram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mesclados, a proteção da liberda</w:t>
      </w:r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>de e da personalidade</w:t>
      </w:r>
      <w:proofErr w:type="gramEnd"/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passa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</w:t>
      </w:r>
      <w:r w:rsidR="00B83735">
        <w:rPr>
          <w:rFonts w:ascii="Times New Roman" w:eastAsia="Times New Roman" w:hAnsi="Times New Roman" w:cs="Times New Roman"/>
          <w:sz w:val="24"/>
          <w:szCs w:val="24"/>
          <w:lang w:eastAsia="pt-BR"/>
        </w:rPr>
        <w:t>s exclusivamente por uma defesa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indivíduo contra ações estatais.</w:t>
      </w:r>
    </w:p>
    <w:p w14:paraId="505DF571" w14:textId="77777777" w:rsidR="00DA54D2" w:rsidRPr="002C26AA" w:rsidRDefault="00DA54D2" w:rsidP="00DA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DDAE6" w14:textId="77777777" w:rsidR="00DA54D2" w:rsidRPr="002C26AA" w:rsidRDefault="00DA54D2" w:rsidP="00DA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66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B. Um direito </w:t>
      </w:r>
      <w:proofErr w:type="spellStart"/>
      <w:proofErr w:type="gramStart"/>
      <w:r w:rsidRPr="00F66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neo-corporativo</w:t>
      </w:r>
      <w:proofErr w:type="spellEnd"/>
      <w:proofErr w:type="gramEnd"/>
      <w:r w:rsidRPr="00F66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14:paraId="25E38425" w14:textId="77777777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medida em que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interesses públicos 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interesses privados se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cruzam e tendem a se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fundir, a distinção entre direito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privado 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 público se torna cada vez mais difícil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fazer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critério de interesse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se tornado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amplamente inoperante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, recorremos a outro critério, aquele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relação de subordinação, da relação de poder público que o Estado estabelece. Mas o critério não é mais seguro. Os grupos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vêem</w:t>
      </w:r>
      <w:proofErr w:type="spellEnd"/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frequentemente </w:t>
      </w:r>
      <w:r w:rsidR="00566BCC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incumbidos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548B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direito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6BCC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de um poder de comando. O E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566BCC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age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vez mais de maneira não autoritária. Os </w:t>
      </w:r>
      <w:r w:rsidR="00566BCC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processos de </w:t>
      </w:r>
      <w:proofErr w:type="spellStart"/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</w:t>
      </w:r>
      <w:r w:rsidR="00566BCC"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ualiz</w:t>
      </w:r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</w:t>
      </w:r>
      <w:proofErr w:type="spellEnd"/>
      <w:r w:rsidRP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analisamos testemunham isso abundantemente.</w:t>
      </w:r>
    </w:p>
    <w:p w14:paraId="24514A12" w14:textId="77777777" w:rsidR="00B215F6" w:rsidRPr="002C26AA" w:rsidRDefault="00566BCC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Seríamos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pensar que a negociação com grupos dá origem a um direito misto, de caráter neocorporativo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2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ultrapassa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divisão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 tornou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amplamente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artificial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contraproducente entre direito público e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emergência desse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comum é, no entanto,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contrariada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fato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escolha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vias de recursos continua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determinada pela </w:t>
      </w:r>
      <w:proofErr w:type="spellStart"/>
      <w:r w:rsidR="00DA54D2"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summa</w:t>
      </w:r>
      <w:proofErr w:type="spellEnd"/>
      <w:r w:rsidR="00DA54D2"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DA54D2"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divisio</w:t>
      </w:r>
      <w:proofErr w:type="spellEnd"/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argumentar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observamos</w:t>
      </w:r>
      <w:r w:rsid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hibridização do direito público e </w:t>
      </w:r>
      <w:r w:rsid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direito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privado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3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Mas essas </w:t>
      </w:r>
      <w:r w:rsid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conclusões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apenas um interesse prático limitado, </w:t>
      </w:r>
      <w:r w:rsidR="007F7EF4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rigidez do direito processual e da organização judicial.</w:t>
      </w:r>
    </w:p>
    <w:p w14:paraId="5D936B14" w14:textId="77777777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conormatividade</w:t>
      </w:r>
      <w:proofErr w:type="spell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desenvolve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devido à negociação das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grupos deve ser difer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enciada do pluralismo normativo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devido ao surgimento de ordens jurídicas privadas que conseguem cortar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quase completamente o cordão umbilical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liga às ordens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estatais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sintetizar o fenômeno, as fórmulas sã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o abundantes. Estamos falando da nova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lex</w:t>
      </w:r>
      <w:proofErr w:type="spellEnd"/>
      <w:proofErr w:type="gramEnd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mercatoria</w:t>
      </w:r>
      <w:proofErr w:type="spellEnd"/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4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lex</w:t>
      </w:r>
      <w:proofErr w:type="spellEnd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informatica</w:t>
      </w:r>
      <w:proofErr w:type="spellEnd"/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5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lex</w:t>
      </w:r>
      <w:proofErr w:type="spellEnd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sportiva</w:t>
      </w:r>
      <w:proofErr w:type="spellEnd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internationalis</w:t>
      </w:r>
      <w:proofErr w:type="spellEnd"/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6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colaboração entre o Estado e os grupos na formação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visa, pelo contrário,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o encontro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 o acoplamento estrutural entre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projetos,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ações emanada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dois tipos de atores que concordam em compartilhar a competência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de editar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geral</w:t>
      </w:r>
      <w:proofErr w:type="gram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B7FD699" w14:textId="4095B6AF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analisar a </w:t>
      </w:r>
      <w:proofErr w:type="spell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conormatividade</w:t>
      </w:r>
      <w:proofErr w:type="spell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distinguir cuidadosamente o plano jurídico e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plano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sócio-político. Do ponto de vista da dogmática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parece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primeira vista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</w:t>
      </w:r>
      <w:proofErr w:type="spell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conormatividade</w:t>
      </w:r>
      <w:proofErr w:type="spell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inexistente. Todas as formas de colaboração descritas podem estar relacionadas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ao direito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tal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O colar do direi</w:t>
      </w:r>
      <w:r w:rsidR="006F24C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7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infinitamente extensível. Observando-o mais de perto,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no nível da interpretação que os acordos corporativistas serão levados em consideração. Eles fazem parte da história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das normas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que aquelas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possam estar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ou menos diretamente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>ao 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stado. Eles constituem </w:t>
      </w:r>
      <w:r w:rsidR="00BE5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fontes </w:t>
      </w:r>
      <w:proofErr w:type="spell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ressurgentes</w:t>
      </w:r>
      <w:proofErr w:type="spell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 maneira das fontes </w:t>
      </w:r>
      <w:r w:rsidR="00BE5FC3" w:rsidRPr="006F24C0">
        <w:rPr>
          <w:rFonts w:ascii="Times New Roman" w:eastAsia="Times New Roman" w:hAnsi="Times New Roman" w:cs="Times New Roman"/>
          <w:sz w:val="24"/>
          <w:szCs w:val="24"/>
          <w:lang w:eastAsia="pt-BR"/>
        </w:rPr>
        <w:t>vauclusianas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Eles f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azem parte do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preparatório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Timsit</w:t>
      </w:r>
      <w:proofErr w:type="spellEnd"/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8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Pr="006F24C0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razões de princípio, mas que são, no entanto, elementos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predeterminação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indispensáveis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tribunais se referem a ele. O artigo 32 da Convenção de Viena sobre o Direito dos Tratados fornece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meios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complementares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interpretação. Apesar da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suspeita legítima que se mantém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no lugar deles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eles constituem uma fonte de informações valiosas para a administração que aplica o direito e para o juiz que controla </w:t>
      </w:r>
      <w:r w:rsidR="00D86B02">
        <w:rPr>
          <w:rFonts w:ascii="Times New Roman" w:eastAsia="Times New Roman" w:hAnsi="Times New Roman" w:cs="Times New Roman"/>
          <w:sz w:val="24"/>
          <w:szCs w:val="24"/>
          <w:lang w:eastAsia="pt-BR"/>
        </w:rPr>
        <w:t>essa aplicação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58A0D8" w14:textId="1673CB27" w:rsidR="00B215F6" w:rsidRPr="002C26AA" w:rsidRDefault="00D86B0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plano sociológico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político, a situação</w:t>
      </w:r>
      <w:r w:rsidR="00151E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apresenta diferentemen</w:t>
      </w:r>
      <w:r w:rsidR="00151E09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 A predominância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grupos pode ser considerável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último recurso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afixe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selo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os acordos corporativ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O direito de inspiração corporativista,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Estado ou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qual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ele dá seu apoio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apresenta três riscos de assimetria. Entre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organizados e aqueles que não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9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 os próprios grupos organizados. Conhecemos o desequilíbrio estrutural que existe entre os r</w:t>
      </w:r>
      <w:r w:rsidR="00B215F6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epresentantes dos trabalhadores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capital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0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só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se agrava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aos trabalhadores pouco qualificados, em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todo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com a globalização da economia. O mesmo vale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considerarmos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relações entre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grupos econômicos 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defensores do meio ambiente, mesmo quando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são organizado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1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B5C2F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xiste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B5C2F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inalmente,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um risco de 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ssimetria entre os grupos e o próprio Estado, na medida em que a primazia da economia sobre a política se afirma e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Estado perde sua </w:t>
      </w:r>
      <w:r w:rsidR="009B5C2F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posição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pouco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gloriosa de </w:t>
      </w:r>
      <w:r w:rsidR="00DA54D2" w:rsidRPr="009B5C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primus </w:t>
      </w:r>
      <w:proofErr w:type="spellStart"/>
      <w:r w:rsidR="00DA54D2" w:rsidRPr="009B5C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inter</w:t>
      </w:r>
      <w:proofErr w:type="spellEnd"/>
      <w:r w:rsidR="00DA54D2" w:rsidRPr="009B5C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pares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gramStart"/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ver</w:t>
      </w:r>
      <w:proofErr w:type="gramEnd"/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relegado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papel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secundári</w:t>
      </w:r>
      <w:r w:rsidR="009B5C2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2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D1F62A6" w14:textId="77777777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Existe,</w:t>
      </w:r>
      <w:proofErr w:type="gramEnd"/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podemos ver, uma dificuldade em fazer 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coincidir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horizonte do direito estatal 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horizonte do direito corporativ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ode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mos evidentemente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desejar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regras sejam estabelecidas para equilibrar as relações entre os parceiros na presença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modo a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transformar um</w:t>
      </w:r>
      <w:r w:rsidR="002C26AA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“jogo de </w:t>
      </w:r>
      <w:r w:rsidR="00656EDC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enganação</w:t>
      </w:r>
      <w:r w:rsidR="002C26AA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” em um “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jogo de soma positiva</w:t>
      </w:r>
      <w:proofErr w:type="gramStart"/>
      <w:r w:rsidR="002C26AA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B215F6" w:rsidRPr="00186D98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3"/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. Talvez tenhamos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chance de 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 fazer coincidir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dois horizontes. Mas é duvidoso que 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possamos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mudar 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a relação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força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bons sentimentos. Como é duvidoso que </w:t>
      </w:r>
      <w:r w:rsidR="00091819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possamos modificar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relações em um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bem específico, quando a origem das a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ssimetrias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se situa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a um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 global e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mundial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Porque, é bom aceitar que o jogo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 nível em que os Estados sofreram uma </w:t>
      </w:r>
      <w:r w:rsidR="00B215F6" w:rsidRPr="00186D9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capitis </w:t>
      </w:r>
      <w:proofErr w:type="spellStart"/>
      <w:r w:rsidRPr="00186D9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diminutio</w:t>
      </w:r>
      <w:proofErr w:type="spellEnd"/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fato de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terem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dificilmente 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tido escolha nesse nível não é um bom presságio e não 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faz pensar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5A70A5"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eles</w:t>
      </w:r>
      <w:r w:rsidRP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terão mais sucesso em seus negócios locais e setoriais de adaptação à globalização.</w:t>
      </w:r>
    </w:p>
    <w:p w14:paraId="48184E99" w14:textId="77777777" w:rsidR="00D62465" w:rsidRPr="002C26AA" w:rsidRDefault="00DA54D2" w:rsidP="00B2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situação não 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se apresenta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diferente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mente quando o 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negocia a aplicação 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. Pois se o fenômeno tomou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</w:t>
      </w:r>
      <w:proofErr w:type="gram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dimensão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porque o 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stado, talvez muito ganancioso em suas intervenções, não é mais capaz de impor s</w:t>
      </w:r>
      <w:r w:rsidR="005A70A5">
        <w:rPr>
          <w:rFonts w:ascii="Times New Roman" w:eastAsia="Times New Roman" w:hAnsi="Times New Roman" w:cs="Times New Roman"/>
          <w:sz w:val="24"/>
          <w:szCs w:val="24"/>
          <w:lang w:eastAsia="pt-BR"/>
        </w:rPr>
        <w:t>uas soluções. E aqui também a 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ssimetria é flagrante. Se as empresas conseguem adiar por anos, até décadas, a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adoção em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conformidade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das normas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ambientais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que elas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dispõem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a ameaça de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emprego de uma carta principal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negociações. No entanto, não há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>nismo absoluto. O desejo das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empresas ou </w:t>
      </w:r>
      <w:r w:rsidR="00186D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de melhorar sua imagem ecológica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4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levá-los a fazer concessões importantes.</w:t>
      </w:r>
    </w:p>
    <w:p w14:paraId="678C2AAE" w14:textId="77777777" w:rsidR="00DA54D2" w:rsidRPr="002C26AA" w:rsidRDefault="00DA54D2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4E5305" w14:textId="77777777" w:rsidR="00D62465" w:rsidRPr="002C26AA" w:rsidRDefault="00DA54D2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C. </w:t>
      </w:r>
      <w:r w:rsidR="00186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 direito pouco transparente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</w:t>
      </w:r>
      <w:r w:rsidR="00186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apresenta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risco</w:t>
      </w:r>
      <w:r w:rsidR="00186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gramStart"/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arbitrariedade</w:t>
      </w:r>
      <w:proofErr w:type="gramEnd"/>
    </w:p>
    <w:p w14:paraId="62D39951" w14:textId="77777777" w:rsidR="00B54E78" w:rsidRPr="002C26AA" w:rsidRDefault="00DA54D2" w:rsidP="00B2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participação dos grupos n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produz uma mistura entre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e o direito neocorporativo. Essa mistura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se opera pelo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acoplamento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dois circuitos de produção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de normas</w:t>
      </w:r>
      <w:r w:rsidR="00B215F6" w:rsidRPr="00452993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5"/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. Ele assume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formas muito diferentes.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caso, p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exemplo,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convenções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coletiv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trabalho, o Estado pode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 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limitar a fornecer um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enquadramento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contratual.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Ele pode também, p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delegação de poderes,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conferir aos parceiros sociais aquele de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vincular os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terceiros.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Ele pode, p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decisão de extensão, elevar a convenção ao status de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direito </w:t>
      </w:r>
      <w:proofErr w:type="gramStart"/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quase-estatal</w:t>
      </w:r>
      <w:proofErr w:type="gramEnd"/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. Ele p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ode condicionar a conces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de benefícios ao respeito da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convenções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coletiv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</w:t>
      </w:r>
      <w:r w:rsidR="00876672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pode,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definir, em um programa </w:t>
      </w:r>
      <w:r w:rsidR="00C25FAF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objetivos que os parceiros sociais devem alcançar imperativamente em um determinado período de tempo. No contexto da aplicação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mistura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 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freq</w:t>
      </w:r>
      <w:r w:rsidR="002C26AA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entemente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inversões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responsabilidade. Pode ser que, como vimos, o Estado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seja levado a fazer respeitar de ofício uma regulamentação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privad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inversamente, que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grupos privados sejam, em virtude de uma delegação, encarregados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de aplicar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52993"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estat</w:t>
      </w:r>
      <w:r w:rsidRPr="00452993">
        <w:rPr>
          <w:rFonts w:ascii="Times New Roman" w:eastAsia="Times New Roman" w:hAnsi="Times New Roman" w:cs="Times New Roman"/>
          <w:sz w:val="24"/>
          <w:szCs w:val="24"/>
          <w:lang w:eastAsia="pt-BR"/>
        </w:rPr>
        <w:t>al.</w:t>
      </w:r>
    </w:p>
    <w:p w14:paraId="6AADA299" w14:textId="77777777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mistura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se revela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problemática porque os dois circuitos de produção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de normas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operam de acordo com regras processuais muito diferentes.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estat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al deve ser produzid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contexto de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procedimentos abertos, públicos e transparentes.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corporativ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negociações com os grupos ocorrem com parceiros escolhidos por sua capacidade de colabora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no contexto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discussões secretas e longe do debate público. A confidencialidade é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apresentada como a regra de ouro de qualquer negociação com os grupos. Na Suíça, onde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processo de consulta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proofErr w:type="gramStart"/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grupos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formalizado</w:t>
      </w:r>
      <w:proofErr w:type="gramEnd"/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esforço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feito para tornar suas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tomadas de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posiç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públicas e transparentes.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publicidade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impede que as negociações importantes ocorram com o maior sigilo. Os principais compromissos são frequentemente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selados antes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inicie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procedimento de consulta </w:t>
      </w:r>
      <w:r w:rsidR="000776AF"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oficial e </w:t>
      </w:r>
      <w:r w:rsidRP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pública.</w:t>
      </w:r>
    </w:p>
    <w:p w14:paraId="2243B02F" w14:textId="77777777" w:rsidR="004801A1" w:rsidRPr="002C26AA" w:rsidRDefault="000776AF" w:rsidP="00B2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acoplamento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procedimentos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tão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diferentes tem a desvantagem de alterar profundamente as condições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 da democracia. A solução do problema não 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entretanto,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simples.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empírica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 de fato, que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 anseio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acoplamento estrutural não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se realiza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nível da formação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, é então no nível da aplicação deste em procedimentos ainda menos transparentes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6"/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negociação da aplicação do direito autoritário apresenta riscos </w:t>
      </w:r>
      <w:r w:rsidR="00305C19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arbitrariedade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maiores do que quando se trata da formação do próprio direito.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Ela 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pera uma seleção ainda mais distorcida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e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que participam. As vítimas não são representadas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transações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penais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Tampouco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contribuintes honestos ou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concorrentes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transações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aduaneiras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assim como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pessoas cuja saúde </w:t>
      </w:r>
      <w:r w:rsidR="00305C19">
        <w:rPr>
          <w:rFonts w:ascii="Times New Roman" w:eastAsia="Times New Roman" w:hAnsi="Times New Roman" w:cs="Times New Roman"/>
          <w:sz w:val="24"/>
          <w:szCs w:val="24"/>
          <w:lang w:eastAsia="pt-BR"/>
        </w:rPr>
        <w:t>é colocada em risco</w:t>
      </w:r>
      <w:r w:rsidR="00DA54D2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certas transações ambientais. Os exemplos podem ser multiplicados.</w:t>
      </w:r>
    </w:p>
    <w:p w14:paraId="19CAC46F" w14:textId="77777777" w:rsidR="00B839B6" w:rsidRPr="002C26AA" w:rsidRDefault="00DA54D2" w:rsidP="009B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mais </w:t>
      </w:r>
      <w:r w:rsidR="00305C1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preocupante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talvez esteja em outro lugar. A negociação da aplicação do direito autoritário manifesta uma mudança radical na maneira como ele é </w:t>
      </w:r>
      <w:r w:rsidR="00305C1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concebido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305C1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Ultrapassando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nova etapa no caminho de sua instrumentalização,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é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simples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meio que o Estado pode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não, de acordo com sua boa vontade. Torna-se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opcional para o E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e aleatório para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indivíduos.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Vemos assim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aparece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nova forma de razão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imposição de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sanção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estando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é-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determinada, mas dependendo do julgamento que as autoridades possam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formular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eficácia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daquela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cada caso particular. Esses acordos p</w:t>
      </w:r>
      <w:r w:rsidR="002C26AA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oderiam estar relacionados à ide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não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neo-modern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proofErr w:type="gramEnd"/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de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direito 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pós-modern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fabricado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periferia e desconstruíd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nos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pergunta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essa desconstrução não constitui uma nova figura de arbitrariedade. A fórmula mágica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tomaria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então, um 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rumo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trágic</w:t>
      </w:r>
      <w:r w:rsidR="00AA56E9"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A56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2DE8322" w14:textId="77777777" w:rsidR="00B839B6" w:rsidRPr="002C26AA" w:rsidRDefault="00B839B6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97AA7" w14:textId="77777777" w:rsidR="00B839B6" w:rsidRPr="002C26AA" w:rsidRDefault="00DA54D2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D. </w:t>
      </w:r>
      <w:r w:rsidR="00AA5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 d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ireito </w:t>
      </w:r>
      <w:r w:rsidR="00AA5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à 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setorização</w:t>
      </w:r>
      <w:r w:rsidR="00AA5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fortalecida</w:t>
      </w:r>
    </w:p>
    <w:p w14:paraId="6CC3478F" w14:textId="77777777" w:rsidR="00B215F6" w:rsidRPr="002C26AA" w:rsidRDefault="00DA54D2" w:rsidP="00B2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participação dos grupos </w:t>
      </w:r>
      <w:r w:rsidR="00AA56E9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na formação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</w:t>
      </w:r>
      <w:proofErr w:type="gramStart"/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programas </w:t>
      </w:r>
      <w:r w:rsidR="00C25FAF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finalísticos 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aumenta e consolida o parcelamento </w:t>
      </w:r>
      <w:r w:rsidR="00AA56E9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das regulamentações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dimensão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fenômeno depende do modo de participação. Os contratos coletivos de trabalho, quando são obrigatórios para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terceiros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ou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de com uma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decisã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o de extensão, estabelecem tanta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regulamentações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existem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os ramos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até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empresas. O direito </w:t>
      </w:r>
      <w:r w:rsidR="0083061C"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>fragmentado</w:t>
      </w:r>
      <w:r w:rsidRPr="0083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diferenciado se afasta completamente do modelo universal postulado pelo direito moderno.</w:t>
      </w:r>
    </w:p>
    <w:p w14:paraId="1A9D328F" w14:textId="77777777" w:rsidR="00C90F22" w:rsidRPr="002C26AA" w:rsidRDefault="00AA56E9" w:rsidP="00B2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E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delega a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competência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produzir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as normas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de aplica-las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observamos a constituição de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territórios normativos com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fronteiras bem estabelecida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Ao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adquirir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controle das informações sobre o funcionamento da legislação e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efeitos que ela produz, os grupos tendem a agir em um sistema fechado.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as políticas públicas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se tornam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rígidas e que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elas se tornam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cegas às externalidades que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elas 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produzem para terceiros</w:t>
      </w:r>
      <w:r w:rsidR="00B215F6" w:rsidRPr="004271A3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7"/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mais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061C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muitas vezes, 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choque externo importante para que a legislação seja revisada e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ela 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considere outros pontos de vista que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estreitos que o grupo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afetado promoveu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a influência direta ou indireta das regras da CEE e da OMC que a política agrícola suíça, amplamente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gerida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associações agrícolas, está 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vias de 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muda</w:t>
      </w:r>
      <w:r w:rsidR="004271A3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A54D2" w:rsidRP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A96A4C" w14:textId="7345580E" w:rsidR="005A7865" w:rsidRPr="002C26AA" w:rsidRDefault="00DA54D2" w:rsidP="009B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participação de grupos na mera formação de legislação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estatal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encapsulamento tão completo da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s legislações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Ela tem, ainda</w:t>
      </w:r>
      <w:r w:rsidR="00151E0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efeito de limitar o campo de visão à problemática dos grupos em detrimento do interesse da sociedade como um todo. O process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o possui dois tipos de riscos. O de n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egligenciar os problemas colocados aos segmentos da sociedade que não participam da negociação.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O de i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gnorar as externalidades, os efeitos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negativos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legislação apresenta para terceir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os. O perigo é ainda mais grave que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políticas públicas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devem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vez mais lidar com os fenômenos da escassez e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jogo político </w:t>
      </w:r>
      <w:r w:rsidR="004271A3">
        <w:rPr>
          <w:rFonts w:ascii="Times New Roman" w:eastAsia="Times New Roman" w:hAnsi="Times New Roman" w:cs="Times New Roman"/>
          <w:sz w:val="24"/>
          <w:szCs w:val="24"/>
          <w:lang w:eastAsia="pt-BR"/>
        </w:rPr>
        <w:t>é frequentemente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soma zero.</w:t>
      </w:r>
    </w:p>
    <w:p w14:paraId="4D5FB0FD" w14:textId="77777777" w:rsidR="005A7865" w:rsidRPr="002C26AA" w:rsidRDefault="005A7865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5A968" w14:textId="77777777" w:rsidR="003922DB" w:rsidRPr="002C26AA" w:rsidRDefault="00DA54D2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E. Um direito seletivo e desigual</w:t>
      </w:r>
    </w:p>
    <w:p w14:paraId="3910F045" w14:textId="099C34ED" w:rsidR="00B215F6" w:rsidRPr="002C26AA" w:rsidRDefault="004271A3" w:rsidP="00B2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estabelecid</w:t>
      </w:r>
      <w:r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negociad</w:t>
      </w:r>
      <w:r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E2007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apresenta dois grandes perigos. O de favorecer </w:t>
      </w:r>
      <w:r w:rsidR="00FE2007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organizados e poderosos, que conseguem terceirizar seus custos em detrimento de interesses desorganizados</w:t>
      </w:r>
      <w:r w:rsidR="00B215F6" w:rsidRPr="006F22F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8"/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73F7F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sele</w:t>
      </w:r>
      <w:r w:rsidR="00273F7F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cionar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3F7F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</w:t>
      </w:r>
      <w:r w:rsidR="00273F7F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portadores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interesse de curto prazo, em detrimento daqueles </w:t>
      </w:r>
      <w:r w:rsidR="00273F7F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preocupam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 futuro mais distante, como </w:t>
      </w:r>
      <w:proofErr w:type="gramStart"/>
      <w:r w:rsidR="00CA55AE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proofErr w:type="gramEnd"/>
      <w:r w:rsidR="00CA55AE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aqueles 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relacionados à proteção das gerações futuras</w:t>
      </w:r>
      <w:r w:rsidR="00B215F6" w:rsidRPr="006F22F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99"/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Esses perigos são inerentes à </w:t>
      </w:r>
      <w:proofErr w:type="spellStart"/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refe</w:t>
      </w:r>
      <w:r w:rsidR="004F3075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dalização</w:t>
      </w:r>
      <w:proofErr w:type="spellEnd"/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processo de tomada de decisão que</w:t>
      </w:r>
      <w:r w:rsidR="00BA44E8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</w:t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corporativismo </w:t>
      </w:r>
      <w:proofErr w:type="spellStart"/>
      <w:r w:rsidR="00480E3A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societal</w:t>
      </w:r>
      <w:proofErr w:type="spellEnd"/>
      <w:r w:rsidR="00B215F6" w:rsidRPr="006F22F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0"/>
      </w:r>
      <w:r w:rsidR="00DA54D2" w:rsidRPr="006F22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9DE59B6" w14:textId="7DA419EB" w:rsidR="00B215F6" w:rsidRPr="002C26AA" w:rsidRDefault="00DA54D2" w:rsidP="00B2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perigo, se </w:t>
      </w:r>
      <w:r w:rsidR="00BA44E8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é bem 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real, não deve</w:t>
      </w:r>
      <w:proofErr w:type="gramStart"/>
      <w:r w:rsidR="006F22FD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contudo</w:t>
      </w:r>
      <w:proofErr w:type="gramEnd"/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superestimado. A experiência mostra que, </w:t>
      </w:r>
      <w:proofErr w:type="gramStart"/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a longo prazo</w:t>
      </w:r>
      <w:proofErr w:type="gramEnd"/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interesses que foram </w:t>
      </w:r>
      <w:r w:rsidR="006D4853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vezes 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sacrificados, como </w:t>
      </w:r>
      <w:r w:rsidR="006D4853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aqueles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consumidores ou </w:t>
      </w:r>
      <w:r w:rsidR="006D4853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protetores do meio ambiente, conseguem afirmar-se e até </w:t>
      </w:r>
      <w:r w:rsidR="006D4853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</w:t>
      </w:r>
      <w:r w:rsidR="00044189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peso considerável nas negociações. </w:t>
      </w:r>
      <w:r w:rsidR="00044189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As r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elações assimétricas de representação de interesses nunca são </w:t>
      </w:r>
      <w:r w:rsidR="00044189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definitivas</w:t>
      </w:r>
      <w:r w:rsidR="00B215F6" w:rsidRPr="0012220E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1"/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outro lado, não é certo que os partidos políticos no poder tenham mais do que</w:t>
      </w:r>
      <w:r w:rsidR="000D7394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grupos a preocupação com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</w:t>
      </w:r>
      <w:r w:rsidR="000D7394"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a longo prazo</w:t>
      </w:r>
      <w:proofErr w:type="gramEnd"/>
      <w:r w:rsidRPr="0012220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24825E" w14:textId="464FF677" w:rsidR="00E21ECF" w:rsidRPr="002C26AA" w:rsidRDefault="0032758F" w:rsidP="00B2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No plano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jurídico, 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desigualdade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consolidad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participação d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na formação da legislação, coloca um problema para os tribunais encarregados de julgar a constitucionalidade das diferenciações estabelecidas pelas regulamentações </w:t>
      </w:r>
      <w:r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estatais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tribunais constitucionais </w:t>
      </w:r>
      <w:r w:rsidR="00B73E94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reconhecem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legislador uma </w:t>
      </w:r>
      <w:r w:rsidR="00B73E94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ampla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margem de apreciação na determinação das categorias de pessoas que ele procura favorecer ou </w:t>
      </w:r>
      <w:r w:rsidR="0012220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desfavorecer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Eles limitam muito seu poder de apreciação. Nos Estados Unidos, falamos de </w:t>
      </w:r>
      <w:proofErr w:type="spellStart"/>
      <w:r w:rsidR="00E502D3" w:rsidRPr="00394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loose</w:t>
      </w:r>
      <w:proofErr w:type="spellEnd"/>
      <w:r w:rsidR="00E502D3" w:rsidRPr="00394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E502D3" w:rsidRPr="00394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scrutinity</w:t>
      </w:r>
      <w:proofErr w:type="spellEnd"/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participação dos grupos na formação da legislação e </w:t>
      </w:r>
      <w:r w:rsidR="00E502D3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o exercício </w:t>
      </w:r>
      <w:r w:rsidR="00E502D3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privados de poderes </w:t>
      </w:r>
      <w:r w:rsidR="00E502D3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estatais</w:t>
      </w:r>
      <w:r w:rsidR="00151E0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0E8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resultado de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delegação tornam, em nossa opinião, as classificações realizadas suspeita</w:t>
      </w:r>
      <w:r w:rsidR="00B00E8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215F6" w:rsidRPr="00394A0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2"/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. Com base na jurisprudência d</w:t>
      </w:r>
      <w:r w:rsidR="00B00E8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Suprem</w:t>
      </w:r>
      <w:r w:rsidR="00C2652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a Corte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EUA, seria desejável que os tribunais exercessem maior controle sobre o estabelecimento dessas classificações. Não se trata de passar a um poder de </w:t>
      </w:r>
      <w:r w:rsidR="00C514A4" w:rsidRPr="00394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escrutínio rigoroso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no caso de distinções estabelecidas </w:t>
      </w:r>
      <w:r w:rsidR="00C514A4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em função de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raça, sexo ou religião, mas pelo menos um poder de </w:t>
      </w:r>
      <w:r w:rsidR="00DA54D2" w:rsidRPr="00394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escrutínio intermediário</w:t>
      </w:r>
      <w:r w:rsidR="00B215F6" w:rsidRPr="00394A0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3"/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0D4EC8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difícil para um tribunal controlar </w:t>
      </w:r>
      <w:r w:rsidR="000D4EC8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mesmo o fundamento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classificações operadas, </w:t>
      </w:r>
      <w:r w:rsidR="000D4EC8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0B01D9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r w:rsidR="00531236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ria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exigir </w:t>
      </w:r>
      <w:r w:rsidR="002C31D6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legislador </w:t>
      </w:r>
      <w:r w:rsidR="002C31D6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ele </w:t>
      </w:r>
      <w:r w:rsidR="000B01D9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justificasse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suas escolhas, que ele </w:t>
      </w:r>
      <w:r w:rsidR="002C31D6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demonstrasse que levou em consideração</w:t>
      </w:r>
      <w:r w:rsidR="00D6525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conjunto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525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materiais e ideais </w:t>
      </w:r>
      <w:r w:rsidR="00D6525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afetados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os sacrif</w:t>
      </w:r>
      <w:r w:rsidR="00D6525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cios </w:t>
      </w:r>
      <w:r w:rsidR="00D6525E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solicitados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alguns sejam justificados pela necessidade de proporcionar benefícios a outros. A solução para o problema </w:t>
      </w:r>
      <w:r w:rsidR="00394A0D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 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uma vez </w:t>
      </w:r>
      <w:r w:rsidR="00394A0D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pelo acoplamento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</w:t>
      </w:r>
      <w:r w:rsidR="00394A0D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controle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4A0D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constitucional</w:t>
      </w:r>
      <w:r w:rsidR="00394A0D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>idade</w:t>
      </w:r>
      <w:r w:rsidR="00DA54D2" w:rsidRPr="00394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avaliação legislativa.</w:t>
      </w:r>
    </w:p>
    <w:p w14:paraId="0DAA3588" w14:textId="77777777" w:rsidR="00E21ECF" w:rsidRPr="002C26AA" w:rsidRDefault="00E21ECF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44CAA" w14:textId="4758D645" w:rsidR="00E21ECF" w:rsidRPr="002C26AA" w:rsidRDefault="00DA54D2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F. </w:t>
      </w:r>
      <w:r w:rsidR="00394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 d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ireito </w:t>
      </w:r>
      <w:r w:rsidR="00E846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que 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envolve</w:t>
      </w:r>
      <w:r w:rsidR="00E846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uma </w:t>
      </w:r>
      <w:proofErr w:type="spellStart"/>
      <w:r w:rsidR="00E846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legística</w:t>
      </w:r>
      <w:proofErr w:type="spellEnd"/>
      <w:r w:rsidR="00E846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uma</w:t>
      </w:r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avaliação </w:t>
      </w:r>
      <w:proofErr w:type="gramStart"/>
      <w:r w:rsidRPr="002C26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reflexiv</w:t>
      </w:r>
      <w:r w:rsidR="008022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</w:t>
      </w:r>
      <w:proofErr w:type="gramEnd"/>
    </w:p>
    <w:p w14:paraId="4C8E00AE" w14:textId="7768B746" w:rsidR="00B215F6" w:rsidRPr="002C26AA" w:rsidRDefault="00DA54D2" w:rsidP="00B2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seja teoricamente iterativo e sistêmico, o modelo </w:t>
      </w:r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fundamenta a </w:t>
      </w:r>
      <w:proofErr w:type="spellStart"/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legística</w:t>
      </w:r>
      <w:proofErr w:type="spellEnd"/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permanece </w:t>
      </w:r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bastante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estático e linear. </w:t>
      </w:r>
      <w:r w:rsidR="00F104C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Ele p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da id</w:t>
      </w:r>
      <w:r w:rsidR="002C26AA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</w:t>
      </w:r>
      <w:r w:rsidR="002C5297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disseminada desde </w:t>
      </w:r>
      <w:r w:rsidR="00420C7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primeiras análises de políticas públicas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legislador estabelece os objetivos e os meios para alcançá-los e que, </w:t>
      </w:r>
      <w:r w:rsidR="00420C7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num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</w:t>
      </w:r>
      <w:r w:rsidR="00420C7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momento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avaliação científica dos efeitos </w:t>
      </w:r>
      <w:r w:rsidR="00420C7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permitirá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graças às observações </w:t>
      </w:r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corrigir os </w:t>
      </w:r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dispositivos de </w:t>
      </w:r>
      <w:proofErr w:type="gramStart"/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concepção balística da</w:t>
      </w:r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legislaç</w:t>
      </w:r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FA1816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215F6" w:rsidRPr="0051793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4"/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contrariada pelas inúmeras observações feitas </w:t>
      </w:r>
      <w:r w:rsidR="00B26475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na ocasião de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</w:t>
      </w:r>
      <w:r w:rsidR="00B26475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26475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Ela p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da velha id</w:t>
      </w:r>
      <w:r w:rsidR="002C26AA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</w:t>
      </w:r>
      <w:r w:rsidR="001A2800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1A2800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</w:t>
      </w:r>
      <w:r w:rsidR="001A2800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jurídicas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proofErr w:type="gramStart"/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imperativos</w:t>
      </w:r>
      <w:proofErr w:type="gramEnd"/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são necessariamente seguidos se uma </w:t>
      </w:r>
      <w:r w:rsidR="00C860EA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coerção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suficiente for aplicada à sua realização. Essa </w:t>
      </w:r>
      <w:r w:rsidR="00C860EA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concepção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causal da ação </w:t>
      </w:r>
      <w:r w:rsidR="00C860EA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estatal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ignora a liberdade humana e as habilidades coletivas e individuais de seguir um caminho diferente do modelo de ação proposto. Além dessa reflexão </w:t>
      </w:r>
      <w:r w:rsidR="007A080B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elementar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observadores consideram que os programas </w:t>
      </w:r>
      <w:r w:rsidR="00C25FAF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finalísticos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convertidos pelos atores públicos e privados da implementação </w:t>
      </w:r>
      <w:r w:rsidR="00E9085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termos de restrições e recursos, </w:t>
      </w:r>
      <w:r w:rsidR="00993E92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suscetíveis de serem</w:t>
      </w:r>
      <w:r w:rsidR="00BB605F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tão</w:t>
      </w:r>
      <w:r w:rsidR="00993E92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4D78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bem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geridos e mobilizados de acordo com seus interesses e</w:t>
      </w:r>
      <w:r w:rsidR="00E9085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poder</w:t>
      </w:r>
      <w:proofErr w:type="gramStart"/>
      <w:r w:rsidR="00E9085E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B215F6" w:rsidRPr="0051793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5"/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. É que a</w:t>
      </w:r>
      <w:r w:rsidR="00D10FE8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legislaç</w:t>
      </w:r>
      <w:r w:rsidR="00D10FE8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D10FE8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s se adaptam,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técnicas que analisamos, </w:t>
      </w:r>
      <w:r w:rsidR="00D10FE8"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517937">
        <w:rPr>
          <w:rFonts w:ascii="Times New Roman" w:eastAsia="Times New Roman" w:hAnsi="Times New Roman" w:cs="Times New Roman"/>
          <w:sz w:val="24"/>
          <w:szCs w:val="24"/>
          <w:lang w:eastAsia="pt-BR"/>
        </w:rPr>
        <w:t>amplas esferas de liberdade não apenas para seus destinatários, mas também para o benefício da administração.</w:t>
      </w:r>
    </w:p>
    <w:p w14:paraId="7EBCF4C4" w14:textId="21D938C8" w:rsidR="00B215F6" w:rsidRPr="002C26AA" w:rsidRDefault="00DA54D2" w:rsidP="00B2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="00D10FE8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legísitca</w:t>
      </w:r>
      <w:proofErr w:type="spellEnd"/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inspirada na concepção de cima para baixo da análise de políticas públicas não leva </w:t>
      </w:r>
      <w:r w:rsidR="00C95E57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suficientemente 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consideração o fato de que a</w:t>
      </w:r>
      <w:r w:rsidR="00E41F5F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legislaç</w:t>
      </w:r>
      <w:r w:rsidR="00517937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25FAF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feitas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desfeitas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ajuste progressivo d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0E4B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no decurso de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negociações sucessivas. É por isso que</w:t>
      </w:r>
      <w:r w:rsidR="00B12391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imagem de um processo </w:t>
      </w:r>
      <w:r w:rsidR="00B12391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que continua</w:t>
      </w:r>
      <w:r w:rsidR="000C5822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infalivelmente até </w:t>
      </w:r>
      <w:r w:rsidR="00613BB3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aquele que 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centro </w:t>
      </w:r>
      <w:r w:rsidR="00613BB3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faz suas correções</w:t>
      </w:r>
      <w:r w:rsidR="00613BB3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substitui </w:t>
      </w:r>
      <w:r w:rsidR="00613BB3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 do artesanato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combinação de elementos díspares, </w:t>
      </w:r>
      <w:r w:rsidR="0011691A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 de um processo incremental</w:t>
      </w:r>
      <w:r w:rsidR="00B215F6" w:rsidRPr="00FD1B8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6"/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el</w:t>
      </w:r>
      <w:r w:rsidR="00FB7508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 envolvem ida</w:t>
      </w:r>
      <w:r w:rsidR="00FB7508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FB7508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vindas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r w:rsidR="00FB7508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elas </w:t>
      </w:r>
      <w:r w:rsidR="001A34DA"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realizam</w:t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tentativa e erro</w:t>
      </w:r>
      <w:r w:rsidR="00B215F6" w:rsidRPr="00FD1B8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7"/>
      </w:r>
      <w:r w:rsidRP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06F013" w14:textId="7EF80C9E" w:rsidR="00985EE1" w:rsidRPr="002C26AA" w:rsidRDefault="00DA54D2" w:rsidP="00B2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negociações </w:t>
      </w:r>
      <w:r w:rsid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acontecem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contexto da </w:t>
      </w:r>
      <w:proofErr w:type="gramStart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explicam </w:t>
      </w:r>
      <w:r w:rsidR="00FD1B8A"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="00FD1B8A">
        <w:rPr>
          <w:rFonts w:ascii="Times New Roman" w:eastAsia="Times New Roman" w:hAnsi="Times New Roman" w:cs="Times New Roman"/>
          <w:sz w:val="24"/>
          <w:szCs w:val="24"/>
          <w:lang w:eastAsia="pt-BR"/>
        </w:rPr>
        <w:t>o desvio</w:t>
      </w:r>
      <w:r w:rsidR="00182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4254">
        <w:rPr>
          <w:rFonts w:ascii="Times New Roman" w:eastAsia="Times New Roman" w:hAnsi="Times New Roman" w:cs="Times New Roman"/>
          <w:sz w:val="24"/>
          <w:szCs w:val="24"/>
          <w:lang w:eastAsia="pt-BR"/>
        </w:rPr>
        <w:t>sofrem as normas</w:t>
      </w:r>
      <w:r w:rsidR="00AE75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centrais 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pt-BR"/>
        </w:rPr>
        <w:t>treinadas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a implementação 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processo </w:t>
      </w:r>
      <w:r w:rsidR="00DA5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tumultuado de </w:t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ajuste que foi representado da seguinte maneira</w:t>
      </w:r>
      <w:r w:rsidR="00B215F6" w:rsidRPr="002C26A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8"/>
      </w:r>
      <w:r w:rsidRPr="002C26A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F34DFE5" w14:textId="77777777" w:rsidR="009F7629" w:rsidRPr="002C26AA" w:rsidRDefault="009F7629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7E299C" w14:textId="77777777" w:rsidR="009F7629" w:rsidRPr="002C26AA" w:rsidRDefault="00005088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6A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3DC2893" wp14:editId="700D5CBA">
            <wp:extent cx="5400040" cy="2961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F2236" w14:textId="77777777" w:rsidR="00005088" w:rsidRPr="002C26AA" w:rsidRDefault="00005088" w:rsidP="009B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A0319C" w14:textId="36195CD8" w:rsidR="00F26667" w:rsidRPr="00570E20" w:rsidRDefault="00B215F6" w:rsidP="00F2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fluxo </w:t>
      </w:r>
      <w:r w:rsidR="00874A9C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tempestuoso se explica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fato de que o fenômeno </w:t>
      </w:r>
      <w:r w:rsidR="00874A9C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qual a legislação </w:t>
      </w:r>
      <w:r w:rsidR="00C25FAF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finalística 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tenta agir </w:t>
      </w:r>
      <w:r w:rsidR="00874A9C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se modifica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constantemente e que </w:t>
      </w:r>
      <w:r w:rsidR="00874A9C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 as normas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até os objetivos devem se adaptar a essas mudanças. Es</w:t>
      </w:r>
      <w:r w:rsidR="00570E20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modelo integra as normas emergentes que </w:t>
      </w:r>
      <w:r w:rsidR="00570E20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nascem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negociações com os</w:t>
      </w:r>
      <w:r w:rsidR="00570E20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atores da</w:t>
      </w:r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</w:t>
      </w:r>
      <w:r w:rsidR="00570E20"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proofErr w:type="gramEnd"/>
      <w:r w:rsidRPr="00570E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C9BE5CC" w14:textId="4FB13585" w:rsidR="00F26667" w:rsidRPr="002C26AA" w:rsidRDefault="00B215F6" w:rsidP="00F2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Essas 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conclusões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implicações para a </w:t>
      </w:r>
      <w:proofErr w:type="spellStart"/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legística</w:t>
      </w:r>
      <w:proofErr w:type="spellEnd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geral e para a avalia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legislativa em particular. D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lado 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proofErr w:type="spellStart"/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legística</w:t>
      </w:r>
      <w:proofErr w:type="spellEnd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faz sentir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no estabelecimento de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procedimentos que 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enquadrem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consultas e </w:t>
      </w:r>
      <w:r w:rsidR="00570E20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interações com os grupos de interesse e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no desenvolvimento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estratégias de informação e negociação com eles</w:t>
      </w:r>
      <w:r w:rsidR="00F26667" w:rsidRPr="001F3FF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09"/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eve-se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ambém reconhecer abertamente que a </w:t>
      </w:r>
      <w:proofErr w:type="gramStart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parte integrante da </w:t>
      </w:r>
      <w:proofErr w:type="spellStart"/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legística</w:t>
      </w:r>
      <w:proofErr w:type="spellEnd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é 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ortanto, não apenas aumentar o conhecimento a</w:t>
      </w:r>
      <w:r w:rsidR="00C86AB5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 da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também desenvolver preceitos metódicos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de modo a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melhorar a efi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cácia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. As duas proposições não são contraditórias. Pode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reconhecer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o desvio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programas </w:t>
      </w:r>
      <w:r w:rsidR="00C25FAF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, as semelhanças com as anarquias organizadas, o caráter caótico dos processos</w:t>
      </w:r>
      <w:r w:rsidR="00F26667" w:rsidRPr="001F3FF4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0"/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. Isso não impede que, na extensão da análise d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políticas públicas,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desenvolvam a respeito da </w:t>
      </w:r>
      <w:proofErr w:type="gramStart"/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legislações finalísticas 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preceitos metódicos que visem promover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o alcance d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objetivos perseguidos e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combate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entropia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ameaça a 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</w:t>
      </w:r>
      <w:r w:rsidR="001F3FF4"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F3F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CB7876" w14:textId="4699B95F" w:rsidR="00F26667" w:rsidRPr="002C26AA" w:rsidRDefault="00B215F6" w:rsidP="00F2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que diz respeito à avaliação, é claro que esse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só pode ser contínuo, permitindo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atores da </w:t>
      </w:r>
      <w:proofErr w:type="gramStart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corrijam permanentemente sua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s ações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Isso significa que, em vez de avaliações periódicas e complicadas, </w:t>
      </w:r>
      <w:proofErr w:type="gramStart"/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deve-se</w:t>
      </w:r>
      <w:proofErr w:type="gramEnd"/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dotar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programas </w:t>
      </w:r>
      <w:r w:rsidR="00C25FAF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finalísticos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aparato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institucional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científico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leve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concomitante. Esse é o preço a pagar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o E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continue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a produzir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efeitos incertos na sociedade ou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segmentos da sociedade. Também está claro que a avaliação deve envolver vários atores: as autoridades políticas que </w:t>
      </w:r>
      <w:proofErr w:type="gramStart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implementam</w:t>
      </w:r>
      <w:proofErr w:type="gramEnd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programas </w:t>
      </w:r>
      <w:r w:rsidR="00C25FAF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atores da implementação e os grupos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afetados</w:t>
      </w:r>
      <w:r w:rsidR="00F26667" w:rsidRPr="007D79BB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1"/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. Os avaliadores profissionais, por</w:t>
      </w:r>
      <w:r w:rsidR="002C26AA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vez, poderiam desempenhar “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papel específico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de instância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mediação entre os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diferentes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atores que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, todos,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79BB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possuem um</w:t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julgamento (mais ou menos </w:t>
      </w:r>
      <w:r w:rsidR="001E4945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fundamentado</w:t>
      </w:r>
      <w:r w:rsidR="002C26AA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) sobre o valor do programa</w:t>
      </w:r>
      <w:proofErr w:type="gramStart"/>
      <w:r w:rsidR="002C26AA"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F26667" w:rsidRPr="007D79BB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2"/>
      </w:r>
      <w:r w:rsidRPr="007D79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FD9126F" w14:textId="5054E0BA" w:rsidR="009B3268" w:rsidRPr="002C26AA" w:rsidRDefault="00B215F6" w:rsidP="00F2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concepção de cima para baixo dos programas </w:t>
      </w:r>
      <w:r w:rsidR="00C25FAF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finalísticos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avaliação é considerada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a sanção transmitida pela opinião pública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, da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incapacidade do governo de realizá-los. Uma espécie de dupla científica do modelo judicial. A avaliação reflexiva consiste em abandonar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essa concepção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policial para uma abordagem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pedagógica. Ela constitui,</w:t>
      </w:r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nessa perspectiva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instrumento de aprendizagem pela inteligência das situações que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ela obtém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do que uma fer</w:t>
      </w:r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ramenta de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</w:t>
      </w:r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Start"/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F26667" w:rsidRPr="003C4D4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3"/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incerteza que reina sobre os efeitos produzidos pela ação pública </w:t>
      </w:r>
      <w:r w:rsidR="00C25FAF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finalística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abandono da concepção de avaliação-sanção, como operação de mensuração dos efeitos, para substituí-la pelo processo cognitivo de auto-observação e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aut</w:t>
      </w:r>
      <w:r w:rsidR="002C26AA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ocorreção. A avaliação 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pluralista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</w:t>
      </w:r>
      <w:r w:rsidR="00F26667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francesa</w:t>
      </w:r>
      <w:r w:rsidR="00F26667" w:rsidRPr="003C4D4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14"/>
      </w:r>
      <w:r w:rsidR="00F26667" w:rsidRPr="003C4D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D79BB" w:rsidRPr="003C4D47">
        <w:rPr>
          <w:rFonts w:ascii="Times New Roman" w:hAnsi="Times New Roman" w:cs="Times New Roman"/>
          <w:sz w:val="24"/>
          <w:szCs w:val="24"/>
          <w:lang w:eastAsia="pt-BR"/>
        </w:rPr>
        <w:t>constitui, por sua vez,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esforço mais elaborado 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levar em conta a dimensão reflexiva da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s legislações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5FAF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finalística</w:t>
      </w:r>
      <w:r w:rsidR="007D79BB"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3C4D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9B3268" w:rsidRPr="002C26A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C3FF" w14:textId="77777777" w:rsidR="00BB6D05" w:rsidRDefault="00BB6D05" w:rsidP="009B3268">
      <w:pPr>
        <w:spacing w:after="0" w:line="240" w:lineRule="auto"/>
      </w:pPr>
      <w:r>
        <w:separator/>
      </w:r>
    </w:p>
  </w:endnote>
  <w:endnote w:type="continuationSeparator" w:id="0">
    <w:p w14:paraId="617EF271" w14:textId="77777777" w:rsidR="00BB6D05" w:rsidRDefault="00BB6D05" w:rsidP="009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7775"/>
      <w:docPartObj>
        <w:docPartGallery w:val="Page Numbers (Bottom of Page)"/>
        <w:docPartUnique/>
      </w:docPartObj>
    </w:sdtPr>
    <w:sdtEndPr/>
    <w:sdtContent>
      <w:p w14:paraId="7A53900E" w14:textId="77777777" w:rsidR="00420C7E" w:rsidRDefault="00420C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62">
          <w:rPr>
            <w:noProof/>
          </w:rPr>
          <w:t>1</w:t>
        </w:r>
        <w:r>
          <w:fldChar w:fldCharType="end"/>
        </w:r>
      </w:p>
    </w:sdtContent>
  </w:sdt>
  <w:p w14:paraId="72CA5DBF" w14:textId="77777777" w:rsidR="00420C7E" w:rsidRDefault="00420C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2138" w14:textId="77777777" w:rsidR="00BB6D05" w:rsidRDefault="00BB6D05" w:rsidP="009B3268">
      <w:pPr>
        <w:spacing w:after="0" w:line="240" w:lineRule="auto"/>
      </w:pPr>
      <w:r>
        <w:separator/>
      </w:r>
    </w:p>
  </w:footnote>
  <w:footnote w:type="continuationSeparator" w:id="0">
    <w:p w14:paraId="3357DAC0" w14:textId="77777777" w:rsidR="00BB6D05" w:rsidRDefault="00BB6D05" w:rsidP="009B3268">
      <w:pPr>
        <w:spacing w:after="0" w:line="240" w:lineRule="auto"/>
      </w:pPr>
      <w:r>
        <w:continuationSeparator/>
      </w:r>
    </w:p>
  </w:footnote>
  <w:footnote w:id="1">
    <w:p w14:paraId="68C22494" w14:textId="77777777" w:rsidR="00420C7E" w:rsidRPr="00FE2007" w:rsidRDefault="00420C7E" w:rsidP="00086D3D">
      <w:pPr>
        <w:pStyle w:val="Textodenotaderodap"/>
        <w:jc w:val="both"/>
        <w:rPr>
          <w:rFonts w:ascii="Times New Roman" w:hAnsi="Times New Roman" w:cs="Times New Roman"/>
        </w:rPr>
      </w:pPr>
      <w:r w:rsidRPr="004F4319">
        <w:rPr>
          <w:rStyle w:val="Refdenotaderodap"/>
          <w:rFonts w:ascii="Times New Roman" w:hAnsi="Times New Roman" w:cs="Times New Roman"/>
        </w:rPr>
        <w:t>*</w:t>
      </w:r>
      <w:r w:rsidRPr="004F4319">
        <w:rPr>
          <w:rFonts w:ascii="Times New Roman" w:hAnsi="Times New Roman" w:cs="Times New Roman"/>
        </w:rPr>
        <w:t xml:space="preserve"> Mestranda em Direito do Estado pela Faculdade de Direito da Universidade de São Paulo – FDUSP</w:t>
      </w:r>
      <w:r w:rsidRPr="00FE2007">
        <w:rPr>
          <w:rFonts w:ascii="Times New Roman" w:hAnsi="Times New Roman" w:cs="Times New Roman"/>
        </w:rPr>
        <w:t>.</w:t>
      </w:r>
    </w:p>
  </w:footnote>
  <w:footnote w:id="2">
    <w:p w14:paraId="7B023560" w14:textId="77777777" w:rsidR="00420C7E" w:rsidRPr="00756D3B" w:rsidRDefault="00420C7E" w:rsidP="00086D3D">
      <w:pPr>
        <w:pStyle w:val="Textodenotaderodap"/>
        <w:jc w:val="both"/>
        <w:rPr>
          <w:rFonts w:ascii="Times New Roman" w:hAnsi="Times New Roman" w:cs="Times New Roman"/>
        </w:rPr>
      </w:pPr>
      <w:r w:rsidRPr="00756D3B">
        <w:rPr>
          <w:rStyle w:val="Refdenotaderodap"/>
          <w:rFonts w:ascii="Times New Roman" w:hAnsi="Times New Roman" w:cs="Times New Roman"/>
        </w:rPr>
        <w:t>**</w:t>
      </w:r>
      <w:r w:rsidRPr="00756D3B">
        <w:rPr>
          <w:rFonts w:ascii="Times New Roman" w:hAnsi="Times New Roman" w:cs="Times New Roman"/>
        </w:rPr>
        <w:t xml:space="preserve"> Qualificação </w:t>
      </w:r>
      <w:proofErr w:type="gramStart"/>
      <w:r w:rsidRPr="00756D3B">
        <w:rPr>
          <w:rFonts w:ascii="Times New Roman" w:hAnsi="Times New Roman" w:cs="Times New Roman"/>
        </w:rPr>
        <w:t>do(</w:t>
      </w:r>
      <w:proofErr w:type="gramEnd"/>
      <w:r w:rsidRPr="00756D3B">
        <w:rPr>
          <w:rFonts w:ascii="Times New Roman" w:hAnsi="Times New Roman" w:cs="Times New Roman"/>
        </w:rPr>
        <w:t>a) revisor(a).</w:t>
      </w:r>
    </w:p>
  </w:footnote>
  <w:footnote w:id="3">
    <w:p w14:paraId="1EC6AE7F" w14:textId="77777777" w:rsidR="00420C7E" w:rsidRPr="00520920" w:rsidRDefault="00420C7E" w:rsidP="00C459D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WILLKE H. (1986).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Diriger la société par le droit?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 ”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Archives de philosophie du droit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 31, 205.</w:t>
      </w:r>
    </w:p>
  </w:footnote>
  <w:footnote w:id="4">
    <w:p w14:paraId="4720F31C" w14:textId="77777777" w:rsidR="00420C7E" w:rsidRPr="00520920" w:rsidRDefault="00420C7E" w:rsidP="00C459D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WILLKE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H. (1991), </w:t>
      </w:r>
      <w:r w:rsidRPr="00FE2007">
        <w:rPr>
          <w:rFonts w:ascii="Times New Roman" w:hAnsi="Times New Roman" w:cs="Times New Roman"/>
          <w:lang w:val="fr-FR"/>
        </w:rPr>
        <w:t>“</w:t>
      </w:r>
      <w:r w:rsidRPr="00520920">
        <w:rPr>
          <w:rFonts w:ascii="Times New Roman" w:eastAsia="Times New Roman" w:hAnsi="Times New Roman" w:cs="Times New Roman"/>
          <w:lang w:val="fr-FR" w:eastAsia="pt-BR"/>
        </w:rPr>
        <w:t>Trois types de Structures jur</w:t>
      </w:r>
      <w:r>
        <w:rPr>
          <w:rFonts w:ascii="Times New Roman" w:eastAsia="Times New Roman" w:hAnsi="Times New Roman" w:cs="Times New Roman"/>
          <w:lang w:val="fr-FR" w:eastAsia="pt-BR"/>
        </w:rPr>
        <w:t>idiques: programmes conditionnel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s, programmes </w:t>
      </w:r>
      <w:r>
        <w:rPr>
          <w:rFonts w:ascii="Times New Roman" w:eastAsia="Times New Roman" w:hAnsi="Times New Roman" w:cs="Times New Roman"/>
          <w:lang w:val="fr-FR" w:eastAsia="pt-BR"/>
        </w:rPr>
        <w:t>finalisés programmes relationnel</w:t>
      </w:r>
      <w:r w:rsidRPr="00520920">
        <w:rPr>
          <w:rFonts w:ascii="Times New Roman" w:eastAsia="Times New Roman" w:hAnsi="Times New Roman" w:cs="Times New Roman"/>
          <w:lang w:val="fr-FR" w:eastAsia="pt-BR"/>
        </w:rPr>
        <w:t>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L’État propulsif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(dir. C.-A. MORAND), 65ss</w:t>
      </w:r>
      <w:r>
        <w:rPr>
          <w:rFonts w:ascii="Times New Roman" w:eastAsia="Times New Roman" w:hAnsi="Times New Roman" w:cs="Times New Roman"/>
          <w:lang w:val="fr-FR" w:eastAsia="pt-BR"/>
        </w:rPr>
        <w:t>;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 TEUBNER G. (1993),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Le droit. Un système autopoïétique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101ss.</w:t>
      </w:r>
    </w:p>
  </w:footnote>
  <w:footnote w:id="5">
    <w:p w14:paraId="561B631F" w14:textId="77777777" w:rsidR="00420C7E" w:rsidRPr="00520920" w:rsidRDefault="00420C7E" w:rsidP="00C459D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PAPADOPOULOS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Y. (1995), </w:t>
      </w:r>
      <w:r w:rsidRPr="001B2F65">
        <w:rPr>
          <w:rFonts w:ascii="Times New Roman" w:eastAsia="Times New Roman" w:hAnsi="Times New Roman" w:cs="Times New Roman"/>
          <w:i/>
          <w:lang w:val="fr-FR" w:eastAsia="pt-BR"/>
        </w:rPr>
        <w:t>Corplexité sociale et politiques publiques</w:t>
      </w:r>
      <w:r>
        <w:rPr>
          <w:rFonts w:ascii="Times New Roman" w:eastAsia="Times New Roman" w:hAnsi="Times New Roman" w:cs="Times New Roman"/>
          <w:i/>
          <w:lang w:val="fr-FR" w:eastAsia="pt-BR"/>
        </w:rPr>
        <w:t>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75ss; FLÜCKIGER A. (1996), </w:t>
      </w:r>
      <w:r w:rsidRPr="00FE2007">
        <w:rPr>
          <w:rFonts w:ascii="Times New Roman" w:hAnsi="Times New Roman" w:cs="Times New Roman"/>
          <w:lang w:val="fr-FR"/>
        </w:rPr>
        <w:t>“</w:t>
      </w:r>
      <w:r w:rsidRPr="00520920">
        <w:rPr>
          <w:rFonts w:ascii="Times New Roman" w:eastAsia="Times New Roman" w:hAnsi="Times New Roman" w:cs="Times New Roman"/>
          <w:lang w:val="fr-FR" w:eastAsia="pt-BR"/>
        </w:rPr>
        <w:t>Management territorial et droit post-moderne: La planifica</w:t>
      </w:r>
      <w:r>
        <w:rPr>
          <w:rFonts w:ascii="Times New Roman" w:eastAsia="Times New Roman" w:hAnsi="Times New Roman" w:cs="Times New Roman"/>
          <w:lang w:val="fr-FR" w:eastAsia="pt-BR"/>
        </w:rPr>
        <w:t>tion émergente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.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Le Management territorial: pour une prise en compte du territoire dans la nouvelle gestion publique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266ss.</w:t>
      </w:r>
    </w:p>
  </w:footnote>
  <w:footnote w:id="6">
    <w:p w14:paraId="73B66FF4" w14:textId="77777777" w:rsidR="00420C7E" w:rsidRPr="00520920" w:rsidRDefault="00420C7E" w:rsidP="00C459D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r w:rsidRPr="00520920">
        <w:rPr>
          <w:rFonts w:ascii="Times New Roman" w:eastAsia="Times New Roman" w:hAnsi="Times New Roman" w:cs="Times New Roman"/>
          <w:lang w:val="en-US" w:eastAsia="pt-BR"/>
        </w:rPr>
        <w:t>OSBORNE D</w:t>
      </w:r>
      <w:proofErr w:type="gramStart"/>
      <w:r w:rsidRPr="00520920">
        <w:rPr>
          <w:rFonts w:ascii="Times New Roman" w:eastAsia="Times New Roman" w:hAnsi="Times New Roman" w:cs="Times New Roman"/>
          <w:lang w:val="en-US" w:eastAsia="pt-BR"/>
        </w:rPr>
        <w:t>./</w:t>
      </w:r>
      <w:proofErr w:type="gram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GAEBLER T. (1992), 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Reinventing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Governement</w:t>
      </w:r>
      <w:proofErr w:type="spellEnd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: how the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Entreprenial</w:t>
      </w:r>
      <w:proofErr w:type="spellEnd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 Spirit is transforming the public Sector</w:t>
      </w:r>
      <w:r w:rsidRPr="00520920">
        <w:rPr>
          <w:rFonts w:ascii="Times New Roman" w:eastAsia="Times New Roman" w:hAnsi="Times New Roman" w:cs="Times New Roman"/>
          <w:lang w:val="en-US" w:eastAsia="pt-BR"/>
        </w:rPr>
        <w:t>.</w:t>
      </w:r>
    </w:p>
  </w:footnote>
  <w:footnote w:id="7">
    <w:p w14:paraId="38F1DFB9" w14:textId="77777777" w:rsidR="00420C7E" w:rsidRPr="00520920" w:rsidRDefault="00420C7E" w:rsidP="00C459D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WILLKE H.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Ironie des Staates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273.</w:t>
      </w:r>
    </w:p>
  </w:footnote>
  <w:footnote w:id="8">
    <w:p w14:paraId="32208E41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pt-BR"/>
        </w:rPr>
        <w:t>Ver</w:t>
      </w:r>
      <w:proofErr w:type="spellEnd"/>
      <w:r>
        <w:rPr>
          <w:rFonts w:ascii="Times New Roman" w:eastAsia="Times New Roman" w:hAnsi="Times New Roman" w:cs="Times New Roman"/>
          <w:lang w:val="en-US" w:eastAsia="pt-BR"/>
        </w:rPr>
        <w:t xml:space="preserve"> SCHMITTER P.-C.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(1981), </w:t>
      </w:r>
      <w:r w:rsidRPr="00FE2007">
        <w:rPr>
          <w:rFonts w:ascii="Times New Roman" w:hAnsi="Times New Roman" w:cs="Times New Roman"/>
          <w:lang w:val="en-US"/>
        </w:rPr>
        <w:t>“</w:t>
      </w:r>
      <w:r w:rsidRPr="00520920">
        <w:rPr>
          <w:rFonts w:ascii="Times New Roman" w:eastAsia="Times New Roman" w:hAnsi="Times New Roman" w:cs="Times New Roman"/>
          <w:lang w:val="en-US" w:eastAsia="pt-BR"/>
        </w:rPr>
        <w:t>Interest intermediation and regime governmentality in contemporary Western</w:t>
      </w:r>
      <w:r>
        <w:rPr>
          <w:rFonts w:ascii="Times New Roman" w:eastAsia="Times New Roman" w:hAnsi="Times New Roman" w:cs="Times New Roman"/>
          <w:lang w:val="en-US" w:eastAsia="pt-BR"/>
        </w:rPr>
        <w:t xml:space="preserve"> Europe and North America</w:t>
      </w:r>
      <w:r w:rsidRPr="00FE2007">
        <w:rPr>
          <w:rFonts w:ascii="Times New Roman" w:eastAsia="Times New Roman" w:hAnsi="Times New Roman" w:cs="Times New Roman"/>
          <w:lang w:val="en-US" w:eastAsia="pt-BR"/>
        </w:rPr>
        <w:t>”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Organizing Interests in Western Europe</w:t>
      </w:r>
      <w:r>
        <w:rPr>
          <w:rFonts w:ascii="Times New Roman" w:eastAsia="Times New Roman" w:hAnsi="Times New Roman" w:cs="Times New Roman"/>
          <w:lang w:val="en-US" w:eastAsia="pt-BR"/>
        </w:rPr>
        <w:t>, 289.</w:t>
      </w:r>
    </w:p>
  </w:footnote>
  <w:footnote w:id="9">
    <w:p w14:paraId="25FE297C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 xml:space="preserve">WINTER G. (1982), </w:t>
      </w:r>
      <w:r w:rsidRPr="00FE2007">
        <w:rPr>
          <w:rFonts w:ascii="Times New Roman" w:hAnsi="Times New Roman" w:cs="Times New Roman"/>
          <w:lang w:val="en-US"/>
        </w:rPr>
        <w:t>“</w:t>
      </w:r>
      <w:proofErr w:type="spellStart"/>
      <w:r w:rsidRPr="00520920">
        <w:rPr>
          <w:rFonts w:ascii="Times New Roman" w:eastAsia="Times New Roman" w:hAnsi="Times New Roman" w:cs="Times New Roman"/>
          <w:lang w:val="en-US" w:eastAsia="pt-BR"/>
        </w:rPr>
        <w:t>Litteraturbericht</w:t>
      </w:r>
      <w:proofErr w:type="spell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520920">
        <w:rPr>
          <w:rFonts w:ascii="Times New Roman" w:eastAsia="Times New Roman" w:hAnsi="Times New Roman" w:cs="Times New Roman"/>
          <w:lang w:val="en-US" w:eastAsia="pt-BR"/>
        </w:rPr>
        <w:t>zum</w:t>
      </w:r>
      <w:proofErr w:type="spell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520920">
        <w:rPr>
          <w:rFonts w:ascii="Times New Roman" w:eastAsia="Times New Roman" w:hAnsi="Times New Roman" w:cs="Times New Roman"/>
          <w:lang w:val="en-US" w:eastAsia="pt-BR"/>
        </w:rPr>
        <w:t>Thema</w:t>
      </w:r>
      <w:proofErr w:type="spellEnd"/>
      <w:r w:rsidRPr="00FE2007">
        <w:rPr>
          <w:rFonts w:ascii="Times New Roman" w:eastAsia="Times New Roman" w:hAnsi="Times New Roman" w:cs="Times New Roman"/>
          <w:lang w:val="en-US" w:eastAsia="pt-BR"/>
        </w:rPr>
        <w:t>”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Rechtsformen</w:t>
      </w:r>
      <w:proofErr w:type="spellEnd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Verflechtung</w:t>
      </w:r>
      <w:proofErr w:type="spellEnd"/>
      <w:r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 v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on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Staat</w:t>
      </w:r>
      <w:proofErr w:type="spellEnd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 und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Wirtschaft</w:t>
      </w:r>
      <w:proofErr w:type="spellEnd"/>
      <w:r w:rsidRPr="00520920">
        <w:rPr>
          <w:rFonts w:ascii="Times New Roman" w:eastAsia="Times New Roman" w:hAnsi="Times New Roman" w:cs="Times New Roman"/>
          <w:lang w:val="en-US" w:eastAsia="pt-BR"/>
        </w:rPr>
        <w:t>, 28.</w:t>
      </w:r>
    </w:p>
  </w:footnote>
  <w:footnote w:id="10">
    <w:p w14:paraId="228A33AB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20920">
        <w:rPr>
          <w:rFonts w:ascii="Times New Roman" w:eastAsia="Times New Roman" w:hAnsi="Times New Roman" w:cs="Times New Roman"/>
          <w:lang w:val="en-US" w:eastAsia="pt-BR"/>
        </w:rPr>
        <w:t>WILLKE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520920">
        <w:rPr>
          <w:rFonts w:ascii="Times New Roman" w:eastAsia="Times New Roman" w:hAnsi="Times New Roman" w:cs="Times New Roman"/>
          <w:lang w:val="en-US" w:eastAsia="pt-BR"/>
        </w:rPr>
        <w:t>H</w:t>
      </w:r>
      <w:r>
        <w:rPr>
          <w:rFonts w:ascii="Times New Roman" w:eastAsia="Times New Roman" w:hAnsi="Times New Roman" w:cs="Times New Roman"/>
          <w:lang w:val="en-US" w:eastAsia="pt-BR"/>
        </w:rPr>
        <w:t>.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(1986), 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 w:rsidRPr="00520920">
        <w:rPr>
          <w:rFonts w:ascii="Times New Roman" w:eastAsia="Times New Roman" w:hAnsi="Times New Roman" w:cs="Times New Roman"/>
          <w:lang w:val="en-US" w:eastAsia="pt-BR"/>
        </w:rPr>
        <w:t>., (</w:t>
      </w:r>
      <w:r>
        <w:rPr>
          <w:rFonts w:ascii="Times New Roman" w:eastAsia="Times New Roman" w:hAnsi="Times New Roman" w:cs="Times New Roman"/>
          <w:lang w:val="en-US" w:eastAsia="pt-BR"/>
        </w:rPr>
        <w:t>nota 1), 201, 202.</w:t>
      </w:r>
      <w:proofErr w:type="gramEnd"/>
    </w:p>
  </w:footnote>
  <w:footnote w:id="11">
    <w:p w14:paraId="2AECF4C0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 xml:space="preserve">ROSE R. (1976), </w:t>
      </w:r>
      <w:r w:rsidRPr="00FE2007">
        <w:rPr>
          <w:rFonts w:ascii="Times New Roman" w:hAnsi="Times New Roman" w:cs="Times New Roman"/>
          <w:lang w:val="en-US"/>
        </w:rPr>
        <w:t>“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On the </w:t>
      </w:r>
      <w:r>
        <w:rPr>
          <w:rFonts w:ascii="Times New Roman" w:eastAsia="Times New Roman" w:hAnsi="Times New Roman" w:cs="Times New Roman"/>
          <w:lang w:val="en-US" w:eastAsia="pt-BR"/>
        </w:rPr>
        <w:t>P</w:t>
      </w:r>
      <w:r w:rsidRPr="00520920">
        <w:rPr>
          <w:rFonts w:ascii="Times New Roman" w:eastAsia="Times New Roman" w:hAnsi="Times New Roman" w:cs="Times New Roman"/>
          <w:lang w:val="en-US" w:eastAsia="pt-BR"/>
        </w:rPr>
        <w:t>riorities of Government: A Developmen</w:t>
      </w:r>
      <w:r>
        <w:rPr>
          <w:rFonts w:ascii="Times New Roman" w:eastAsia="Times New Roman" w:hAnsi="Times New Roman" w:cs="Times New Roman"/>
          <w:lang w:val="en-US" w:eastAsia="pt-BR"/>
        </w:rPr>
        <w:t>tal Analysis of Public Policies</w:t>
      </w:r>
      <w:r w:rsidRPr="00FE2007">
        <w:rPr>
          <w:rFonts w:ascii="Times New Roman" w:eastAsia="Times New Roman" w:hAnsi="Times New Roman" w:cs="Times New Roman"/>
          <w:lang w:val="en-US" w:eastAsia="pt-BR"/>
        </w:rPr>
        <w:t>”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European Journal of Political Research</w:t>
      </w:r>
      <w:r w:rsidRPr="00520920">
        <w:rPr>
          <w:rFonts w:ascii="Times New Roman" w:eastAsia="Times New Roman" w:hAnsi="Times New Roman" w:cs="Times New Roman"/>
          <w:lang w:val="en-US" w:eastAsia="pt-BR"/>
        </w:rPr>
        <w:t>, 49.</w:t>
      </w:r>
    </w:p>
  </w:footnote>
  <w:footnote w:id="12">
    <w:p w14:paraId="5F76241E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  <w:lang w:val="fr-FR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MOOR P. (1992),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Droit administratif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III, 95.</w:t>
      </w:r>
    </w:p>
  </w:footnote>
  <w:footnote w:id="13">
    <w:p w14:paraId="52547FD8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Art. </w:t>
      </w:r>
      <w:proofErr w:type="gramStart"/>
      <w:r w:rsidRPr="00520920">
        <w:rPr>
          <w:rFonts w:ascii="Times New Roman" w:eastAsia="Times New Roman" w:hAnsi="Times New Roman" w:cs="Times New Roman"/>
          <w:lang w:val="en-US" w:eastAsia="pt-BR"/>
        </w:rPr>
        <w:t>11 al. 2 LPE.</w:t>
      </w:r>
      <w:proofErr w:type="gramEnd"/>
    </w:p>
  </w:footnote>
  <w:footnote w:id="14">
    <w:p w14:paraId="0EB95F5B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Art. </w:t>
      </w:r>
      <w:proofErr w:type="gramStart"/>
      <w:r w:rsidRPr="00520920">
        <w:rPr>
          <w:rFonts w:ascii="Times New Roman" w:eastAsia="Times New Roman" w:hAnsi="Times New Roman" w:cs="Times New Roman"/>
          <w:lang w:val="en-US" w:eastAsia="pt-BR"/>
        </w:rPr>
        <w:t>16 al. 3 LPE.</w:t>
      </w:r>
      <w:proofErr w:type="gramEnd"/>
    </w:p>
  </w:footnote>
  <w:footnote w:id="15">
    <w:p w14:paraId="788BF062" w14:textId="77777777" w:rsidR="00420C7E" w:rsidRPr="00FE2007" w:rsidRDefault="00420C7E" w:rsidP="00EB6AD6">
      <w:pPr>
        <w:pStyle w:val="Textodenotaderodap"/>
        <w:jc w:val="both"/>
        <w:rPr>
          <w:rFonts w:ascii="Times New Roman" w:hAnsi="Times New Roman" w:cs="Times New Roman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PAPADOPOULOS Y. (1995), </w:t>
      </w:r>
      <w:r w:rsidRPr="00FE2007">
        <w:rPr>
          <w:rFonts w:ascii="Times New Roman" w:hAnsi="Times New Roman" w:cs="Times New Roman"/>
          <w:i/>
          <w:iCs/>
        </w:rPr>
        <w:t>op. cit</w:t>
      </w:r>
      <w:r w:rsidRPr="00FE2007">
        <w:rPr>
          <w:rFonts w:ascii="Times New Roman" w:hAnsi="Times New Roman" w:cs="Times New Roman"/>
        </w:rPr>
        <w:t xml:space="preserve">., (nota </w:t>
      </w:r>
      <w:proofErr w:type="gramStart"/>
      <w:r w:rsidRPr="00FE2007">
        <w:rPr>
          <w:rFonts w:ascii="Times New Roman" w:hAnsi="Times New Roman" w:cs="Times New Roman"/>
        </w:rPr>
        <w:t>3</w:t>
      </w:r>
      <w:proofErr w:type="gramEnd"/>
      <w:r w:rsidRPr="00FE2007">
        <w:rPr>
          <w:rFonts w:ascii="Times New Roman" w:hAnsi="Times New Roman" w:cs="Times New Roman"/>
        </w:rPr>
        <w:t>), 63.</w:t>
      </w:r>
    </w:p>
  </w:footnote>
  <w:footnote w:id="16">
    <w:p w14:paraId="2B91E700" w14:textId="77777777" w:rsidR="00420C7E" w:rsidRPr="00FE2007" w:rsidRDefault="00420C7E" w:rsidP="00EB6AD6">
      <w:pPr>
        <w:pStyle w:val="Textodenotaderodap"/>
        <w:jc w:val="both"/>
        <w:rPr>
          <w:rFonts w:ascii="Times New Roman" w:hAnsi="Times New Roman" w:cs="Times New Roman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Ver a jurisprudência do Conselho constitucional sobre o </w:t>
      </w:r>
      <w:r w:rsidRPr="00FE2007">
        <w:rPr>
          <w:rFonts w:ascii="Times New Roman" w:hAnsi="Times New Roman" w:cs="Times New Roman"/>
          <w:i/>
        </w:rPr>
        <w:t>status</w:t>
      </w:r>
      <w:r w:rsidRPr="00FE2007">
        <w:rPr>
          <w:rFonts w:ascii="Times New Roman" w:hAnsi="Times New Roman" w:cs="Times New Roman"/>
        </w:rPr>
        <w:t xml:space="preserve"> da Córsega.</w:t>
      </w:r>
    </w:p>
  </w:footnote>
  <w:footnote w:id="17">
    <w:p w14:paraId="1757A72C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CHEVALLIER J. (1996). </w:t>
      </w:r>
      <w:r w:rsidRPr="00FE2007">
        <w:rPr>
          <w:rFonts w:ascii="Times New Roman" w:hAnsi="Times New Roman" w:cs="Times New Roman"/>
          <w:lang w:val="fr-FR"/>
        </w:rPr>
        <w:t>“</w:t>
      </w:r>
      <w:r w:rsidRPr="00520920">
        <w:rPr>
          <w:rFonts w:ascii="Times New Roman" w:hAnsi="Times New Roman" w:cs="Times New Roman"/>
          <w:lang w:val="fr-FR"/>
        </w:rPr>
        <w:t>État et institutions. L’évo</w:t>
      </w:r>
      <w:r>
        <w:rPr>
          <w:rFonts w:ascii="Times New Roman" w:hAnsi="Times New Roman" w:cs="Times New Roman"/>
          <w:lang w:val="fr-FR"/>
        </w:rPr>
        <w:t>l</w:t>
      </w:r>
      <w:r w:rsidRPr="00520920">
        <w:rPr>
          <w:rFonts w:ascii="Times New Roman" w:hAnsi="Times New Roman" w:cs="Times New Roman"/>
          <w:lang w:val="fr-FR"/>
        </w:rPr>
        <w:t>ution du débat sur l'État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 w:rsidRPr="00520920">
        <w:rPr>
          <w:rFonts w:ascii="Times New Roman" w:hAnsi="Times New Roman" w:cs="Times New Roman"/>
          <w:lang w:val="fr-FR"/>
        </w:rPr>
        <w:t xml:space="preserve">, </w:t>
      </w:r>
      <w:r w:rsidRPr="00520920">
        <w:rPr>
          <w:rFonts w:ascii="Times New Roman" w:hAnsi="Times New Roman" w:cs="Times New Roman"/>
          <w:i/>
          <w:iCs/>
          <w:lang w:val="fr-FR"/>
        </w:rPr>
        <w:t>L'État de la France</w:t>
      </w:r>
      <w:r w:rsidRPr="00520920">
        <w:rPr>
          <w:rFonts w:ascii="Times New Roman" w:hAnsi="Times New Roman" w:cs="Times New Roman"/>
          <w:lang w:val="fr-FR"/>
        </w:rPr>
        <w:t xml:space="preserve"> 96-97, 489, 490.</w:t>
      </w:r>
    </w:p>
  </w:footnote>
  <w:footnote w:id="18">
    <w:p w14:paraId="18B4F0FE" w14:textId="77777777" w:rsidR="00420C7E" w:rsidRPr="00520920" w:rsidRDefault="00420C7E" w:rsidP="00EB6AD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LAUBADÈRE </w:t>
      </w:r>
      <w:r>
        <w:rPr>
          <w:rFonts w:ascii="Times New Roman" w:hAnsi="Times New Roman" w:cs="Times New Roman"/>
          <w:lang w:val="fr-FR"/>
        </w:rPr>
        <w:t xml:space="preserve">(de) A. (1979), </w:t>
      </w:r>
      <w:r w:rsidRPr="00FE2007">
        <w:rPr>
          <w:rFonts w:ascii="Times New Roman" w:hAnsi="Times New Roman" w:cs="Times New Roman"/>
          <w:lang w:val="fr-FR"/>
        </w:rPr>
        <w:t>“</w:t>
      </w:r>
      <w:r w:rsidRPr="00520920">
        <w:rPr>
          <w:rFonts w:ascii="Times New Roman" w:hAnsi="Times New Roman" w:cs="Times New Roman"/>
          <w:lang w:val="fr-FR"/>
        </w:rPr>
        <w:t>Interventionnism</w:t>
      </w:r>
      <w:r>
        <w:rPr>
          <w:rFonts w:ascii="Times New Roman" w:hAnsi="Times New Roman" w:cs="Times New Roman"/>
          <w:lang w:val="fr-FR"/>
        </w:rPr>
        <w:t>e économique et contrat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 w:rsidRPr="00520920">
        <w:rPr>
          <w:rFonts w:ascii="Times New Roman" w:hAnsi="Times New Roman" w:cs="Times New Roman"/>
          <w:lang w:val="fr-FR"/>
        </w:rPr>
        <w:t xml:space="preserve">, </w:t>
      </w:r>
      <w:r w:rsidRPr="00520920">
        <w:rPr>
          <w:rFonts w:ascii="Times New Roman" w:hAnsi="Times New Roman" w:cs="Times New Roman"/>
          <w:i/>
          <w:iCs/>
          <w:lang w:val="fr-FR"/>
        </w:rPr>
        <w:t>Revue française d’administration publique</w:t>
      </w:r>
      <w:r w:rsidRPr="00520920">
        <w:rPr>
          <w:rFonts w:ascii="Times New Roman" w:hAnsi="Times New Roman" w:cs="Times New Roman"/>
          <w:lang w:val="fr-FR"/>
        </w:rPr>
        <w:t xml:space="preserve"> 12, 781ss.</w:t>
      </w:r>
    </w:p>
  </w:footnote>
  <w:footnote w:id="19">
    <w:p w14:paraId="708E07FA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hAnsi="Times New Roman" w:cs="Times New Roman"/>
          <w:i/>
          <w:iCs/>
          <w:lang w:val="fr-FR"/>
        </w:rPr>
        <w:t>Ibid</w:t>
      </w:r>
      <w:r w:rsidRPr="00520920">
        <w:rPr>
          <w:rFonts w:ascii="Times New Roman" w:hAnsi="Times New Roman" w:cs="Times New Roman"/>
          <w:lang w:val="fr-FR"/>
        </w:rPr>
        <w:t xml:space="preserve">., </w:t>
      </w:r>
      <w:r w:rsidRPr="00520920">
        <w:rPr>
          <w:rFonts w:ascii="Times New Roman" w:hAnsi="Times New Roman" w:cs="Times New Roman"/>
          <w:lang w:val="fr-FR"/>
        </w:rPr>
        <w:t>415.</w:t>
      </w:r>
    </w:p>
  </w:footnote>
  <w:footnote w:id="20">
    <w:p w14:paraId="13D4FB82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DUPUIS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F./THOENIG J.-C. (1985),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L’administration en miettes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Fayard, Paris, 91.</w:t>
      </w:r>
    </w:p>
  </w:footnote>
  <w:footnote w:id="21">
    <w:p w14:paraId="6CC15D1A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GAUDIN </w:t>
      </w:r>
      <w:r>
        <w:rPr>
          <w:rFonts w:ascii="Times New Roman" w:eastAsia="Times New Roman" w:hAnsi="Times New Roman" w:cs="Times New Roman"/>
          <w:lang w:val="fr-FR" w:eastAsia="pt-BR"/>
        </w:rPr>
        <w:t xml:space="preserve">J.-P. (1996), </w:t>
      </w:r>
      <w:r w:rsidRPr="00FE2007">
        <w:rPr>
          <w:rFonts w:ascii="Times New Roman" w:hAnsi="Times New Roman" w:cs="Times New Roman"/>
          <w:lang w:val="fr-FR"/>
        </w:rPr>
        <w:t>“</w:t>
      </w:r>
      <w:r w:rsidRPr="00520920">
        <w:rPr>
          <w:rFonts w:ascii="Times New Roman" w:eastAsia="Times New Roman" w:hAnsi="Times New Roman" w:cs="Times New Roman"/>
          <w:lang w:val="fr-FR" w:eastAsia="pt-BR"/>
        </w:rPr>
        <w:t>Construction de la norm</w:t>
      </w:r>
      <w:r>
        <w:rPr>
          <w:rFonts w:ascii="Times New Roman" w:eastAsia="Times New Roman" w:hAnsi="Times New Roman" w:cs="Times New Roman"/>
          <w:lang w:val="fr-FR" w:eastAsia="pt-BR"/>
        </w:rPr>
        <w:t>e et négociations territoriales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Revue européenne des sciences sociales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 34, (nº 104). 125ss.</w:t>
      </w:r>
    </w:p>
  </w:footnote>
  <w:footnote w:id="22">
    <w:p w14:paraId="511D9519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fr-FR"/>
        </w:rPr>
        <w:t xml:space="preserve">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LASCOUMES </w:t>
      </w:r>
      <w:r w:rsidRPr="00520920">
        <w:rPr>
          <w:rFonts w:ascii="Times New Roman" w:eastAsia="Times New Roman" w:hAnsi="Times New Roman" w:cs="Times New Roman"/>
          <w:lang w:val="fr-FR" w:eastAsia="pt-BR"/>
        </w:rPr>
        <w:t xml:space="preserve">P. (1994), </w:t>
      </w:r>
      <w:r w:rsidRPr="00520920">
        <w:rPr>
          <w:rFonts w:ascii="Times New Roman" w:eastAsia="Times New Roman" w:hAnsi="Times New Roman" w:cs="Times New Roman"/>
          <w:i/>
          <w:iCs/>
          <w:lang w:val="fr-FR" w:eastAsia="pt-BR"/>
        </w:rPr>
        <w:t>L'éco-pouvoir</w:t>
      </w:r>
      <w:r w:rsidRPr="00520920">
        <w:rPr>
          <w:rFonts w:ascii="Times New Roman" w:eastAsia="Times New Roman" w:hAnsi="Times New Roman" w:cs="Times New Roman"/>
          <w:lang w:val="fr-FR" w:eastAsia="pt-BR"/>
        </w:rPr>
        <w:t>, 153.</w:t>
      </w:r>
    </w:p>
  </w:footnote>
  <w:footnote w:id="23">
    <w:p w14:paraId="76EDB439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2007">
        <w:rPr>
          <w:rFonts w:ascii="Times New Roman" w:eastAsia="Times New Roman" w:hAnsi="Times New Roman" w:cs="Times New Roman"/>
          <w:lang w:val="en-US" w:eastAsia="pt-BR"/>
        </w:rPr>
        <w:t>Ver</w:t>
      </w:r>
      <w:proofErr w:type="spellEnd"/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 SCHMITTER P.-C.</w:t>
      </w:r>
      <w:proofErr w:type="gramEnd"/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(1994). </w:t>
      </w:r>
      <w:r w:rsidRPr="00FE2007">
        <w:rPr>
          <w:rFonts w:ascii="Times New Roman" w:hAnsi="Times New Roman" w:cs="Times New Roman"/>
          <w:lang w:val="en-US"/>
        </w:rPr>
        <w:t>“</w:t>
      </w:r>
      <w:r w:rsidRPr="00FE2007">
        <w:rPr>
          <w:rFonts w:ascii="Times New Roman" w:eastAsia="Times New Roman" w:hAnsi="Times New Roman" w:cs="Times New Roman"/>
          <w:lang w:val="en-US" w:eastAsia="pt-BR"/>
        </w:rPr>
        <w:t>The future.</w:t>
      </w:r>
      <w:proofErr w:type="gramEnd"/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520920">
        <w:rPr>
          <w:rFonts w:ascii="Times New Roman" w:eastAsia="Times New Roman" w:hAnsi="Times New Roman" w:cs="Times New Roman"/>
          <w:lang w:val="en-US" w:eastAsia="pt-BR"/>
        </w:rPr>
        <w:t>Euro-Policy and its Impact upon Private Interest Governance within Member-States</w:t>
      </w:r>
      <w:r w:rsidRPr="00FE2007">
        <w:rPr>
          <w:rFonts w:ascii="Times New Roman" w:eastAsia="Times New Roman" w:hAnsi="Times New Roman" w:cs="Times New Roman"/>
          <w:lang w:val="en-US" w:eastAsia="pt-BR"/>
        </w:rPr>
        <w:t>”</w:t>
      </w:r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Droit </w:t>
      </w:r>
      <w:proofErr w:type="gram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et</w:t>
      </w:r>
      <w:proofErr w:type="gramEnd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 </w:t>
      </w:r>
      <w:proofErr w:type="spell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société</w:t>
      </w:r>
      <w:proofErr w:type="spell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28, 659ss.</w:t>
      </w:r>
    </w:p>
  </w:footnote>
  <w:footnote w:id="24">
    <w:p w14:paraId="1827EE3D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 w:rsidRPr="00520920">
        <w:rPr>
          <w:rFonts w:ascii="Times New Roman" w:eastAsia="Times New Roman" w:hAnsi="Times New Roman" w:cs="Times New Roman"/>
          <w:lang w:val="en-US" w:eastAsia="pt-BR"/>
        </w:rPr>
        <w:t>.,</w:t>
      </w:r>
      <w:proofErr w:type="gram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673-675.</w:t>
      </w:r>
    </w:p>
  </w:footnote>
  <w:footnote w:id="25">
    <w:p w14:paraId="4EEB53A1" w14:textId="77777777" w:rsidR="00420C7E" w:rsidRPr="00520920" w:rsidRDefault="00420C7E" w:rsidP="003C418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520920">
        <w:rPr>
          <w:rStyle w:val="Refdenotaderodap"/>
          <w:rFonts w:ascii="Times New Roman" w:hAnsi="Times New Roman" w:cs="Times New Roman"/>
        </w:rPr>
        <w:footnoteRef/>
      </w:r>
      <w:r w:rsidRPr="0052092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20920">
        <w:rPr>
          <w:rFonts w:ascii="Times New Roman" w:eastAsia="Times New Roman" w:hAnsi="Times New Roman" w:cs="Times New Roman"/>
          <w:i/>
          <w:iCs/>
          <w:lang w:val="en-US" w:eastAsia="pt-BR"/>
        </w:rPr>
        <w:t>Ibid.,</w:t>
      </w:r>
      <w:proofErr w:type="gramEnd"/>
      <w:r w:rsidRPr="00520920">
        <w:rPr>
          <w:rFonts w:ascii="Times New Roman" w:eastAsia="Times New Roman" w:hAnsi="Times New Roman" w:cs="Times New Roman"/>
          <w:lang w:val="en-US" w:eastAsia="pt-BR"/>
        </w:rPr>
        <w:t xml:space="preserve"> 675.</w:t>
      </w:r>
    </w:p>
  </w:footnote>
  <w:footnote w:id="26">
    <w:p w14:paraId="34F42D8B" w14:textId="77777777" w:rsidR="00420C7E" w:rsidRDefault="00420C7E" w:rsidP="00582BCD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 xml:space="preserve">WILLKE H. (1992),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5), 270.</w:t>
      </w:r>
      <w:proofErr w:type="gramEnd"/>
    </w:p>
  </w:footnote>
  <w:footnote w:id="27">
    <w:p w14:paraId="1683F01C" w14:textId="77777777" w:rsidR="00420C7E" w:rsidRPr="00FE2007" w:rsidRDefault="00420C7E" w:rsidP="00582BCD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TEUBNER G. (1993),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cit.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, (nota </w:t>
      </w:r>
      <w:proofErr w:type="gramStart"/>
      <w:r w:rsidRPr="00FE2007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FE2007">
        <w:rPr>
          <w:rFonts w:ascii="Times New Roman" w:eastAsia="Times New Roman" w:hAnsi="Times New Roman" w:cs="Times New Roman"/>
          <w:lang w:eastAsia="pt-BR"/>
        </w:rPr>
        <w:t>), 153.</w:t>
      </w:r>
    </w:p>
  </w:footnote>
  <w:footnote w:id="28">
    <w:p w14:paraId="5E9F2801" w14:textId="77777777" w:rsidR="00420C7E" w:rsidRPr="00FE2007" w:rsidRDefault="00420C7E" w:rsidP="00B81C7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Ibid</w:t>
      </w:r>
      <w:r w:rsidRPr="00FE2007">
        <w:rPr>
          <w:rFonts w:ascii="Times New Roman" w:eastAsia="Times New Roman" w:hAnsi="Times New Roman" w:cs="Times New Roman"/>
          <w:lang w:eastAsia="pt-BR"/>
        </w:rPr>
        <w:t>., 96.</w:t>
      </w:r>
    </w:p>
  </w:footnote>
  <w:footnote w:id="29">
    <w:p w14:paraId="1ACE934B" w14:textId="77777777" w:rsidR="00420C7E" w:rsidRDefault="00420C7E" w:rsidP="00BA5E6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MORAND C.-A. (1996),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Vers un droit de l’envirnnnement souple et flexible: le rôle et le fonctionnement des principes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Quel avenir pour le droit de l'environnement?</w:t>
      </w:r>
      <w:r>
        <w:rPr>
          <w:rFonts w:ascii="Times New Roman" w:eastAsia="Times New Roman" w:hAnsi="Times New Roman" w:cs="Times New Roman"/>
          <w:lang w:val="fr-FR" w:eastAsia="pt-BR"/>
        </w:rPr>
        <w:t>, 271-3.</w:t>
      </w:r>
    </w:p>
  </w:footnote>
  <w:footnote w:id="30">
    <w:p w14:paraId="01F5716D" w14:textId="77777777" w:rsidR="00420C7E" w:rsidRDefault="00420C7E" w:rsidP="00BA5E6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DELLEY </w:t>
      </w:r>
      <w:r>
        <w:rPr>
          <w:rFonts w:ascii="Times New Roman" w:eastAsia="Times New Roman" w:hAnsi="Times New Roman" w:cs="Times New Roman"/>
          <w:lang w:val="fr-FR" w:eastAsia="pt-BR"/>
        </w:rPr>
        <w:t xml:space="preserve">J.-D. et al. (1982),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 droit en action. Etude de mise en œuvre de la loi Furgler</w:t>
      </w:r>
      <w:r>
        <w:rPr>
          <w:rFonts w:ascii="Times New Roman" w:eastAsia="Times New Roman" w:hAnsi="Times New Roman" w:cs="Times New Roman"/>
          <w:lang w:val="fr-FR" w:eastAsia="pt-BR"/>
        </w:rPr>
        <w:t>.</w:t>
      </w:r>
    </w:p>
  </w:footnote>
  <w:footnote w:id="31">
    <w:p w14:paraId="400D1985" w14:textId="77777777" w:rsidR="00420C7E" w:rsidRDefault="00420C7E" w:rsidP="00B2419A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DURAN P. (1993),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Piloter l'action publique, avec ou sans le droit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Politiques et Management public</w:t>
      </w:r>
      <w:r>
        <w:rPr>
          <w:rFonts w:ascii="Times New Roman" w:eastAsia="Times New Roman" w:hAnsi="Times New Roman" w:cs="Times New Roman"/>
          <w:lang w:val="fr-FR" w:eastAsia="pt-BR"/>
        </w:rPr>
        <w:t xml:space="preserve"> 11, 32.</w:t>
      </w:r>
    </w:p>
  </w:footnote>
  <w:footnote w:id="32">
    <w:p w14:paraId="5198E2A0" w14:textId="77777777" w:rsidR="00420C7E" w:rsidRDefault="00420C7E" w:rsidP="00B2419A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Ver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THUOT J.-F. (1998),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fin de la représentation et les formes contemporaines de la démocratie</w:t>
      </w:r>
      <w:r>
        <w:rPr>
          <w:rFonts w:ascii="Times New Roman" w:eastAsia="Times New Roman" w:hAnsi="Times New Roman" w:cs="Times New Roman"/>
          <w:lang w:val="fr-FR" w:eastAsia="pt-BR"/>
        </w:rPr>
        <w:t>, 181-183.</w:t>
      </w:r>
    </w:p>
  </w:footnote>
  <w:footnote w:id="33">
    <w:p w14:paraId="713B06C3" w14:textId="77777777" w:rsidR="00420C7E" w:rsidRDefault="00420C7E" w:rsidP="00B2419A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182.</w:t>
      </w:r>
    </w:p>
  </w:footnote>
  <w:footnote w:id="34">
    <w:p w14:paraId="007F639A" w14:textId="77777777" w:rsidR="00420C7E" w:rsidRDefault="00420C7E" w:rsidP="00FB058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Ver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MORAND C.-A. (1991).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Les nouveaux instruments d'action de l'État et le droit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instruments d'action de l'État</w:t>
      </w:r>
      <w:r>
        <w:rPr>
          <w:rFonts w:ascii="Times New Roman" w:eastAsia="Times New Roman" w:hAnsi="Times New Roman" w:cs="Times New Roman"/>
          <w:lang w:val="fr-FR" w:eastAsia="pt-BR"/>
        </w:rPr>
        <w:t>, 186.</w:t>
      </w:r>
    </w:p>
  </w:footnote>
  <w:footnote w:id="35">
    <w:p w14:paraId="321CA8B1" w14:textId="77777777" w:rsidR="00420C7E" w:rsidRDefault="00420C7E" w:rsidP="000F4712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MEYNAUD </w:t>
      </w:r>
      <w:r>
        <w:rPr>
          <w:rFonts w:ascii="Times New Roman" w:eastAsia="Times New Roman" w:hAnsi="Times New Roman" w:cs="Times New Roman"/>
          <w:lang w:val="fr-FR" w:eastAsia="pt-BR"/>
        </w:rPr>
        <w:t xml:space="preserve">J. (1963),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organisations professionnelles en Suisse</w:t>
      </w:r>
      <w:r>
        <w:rPr>
          <w:rFonts w:ascii="Times New Roman" w:eastAsia="Times New Roman" w:hAnsi="Times New Roman" w:cs="Times New Roman"/>
          <w:lang w:val="fr-FR" w:eastAsia="pt-BR"/>
        </w:rPr>
        <w:t>, 268.</w:t>
      </w:r>
    </w:p>
  </w:footnote>
  <w:footnote w:id="36">
    <w:p w14:paraId="10806C6A" w14:textId="77777777" w:rsidR="00420C7E" w:rsidRDefault="00420C7E" w:rsidP="000F4712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BOBBIO (1980), </w:t>
      </w:r>
      <w:r>
        <w:rPr>
          <w:rFonts w:ascii="Times New Roman" w:eastAsia="Times New Roman" w:hAnsi="Times New Roman" w:cs="Times New Roman"/>
          <w:i/>
          <w:iCs/>
          <w:lang w:eastAsia="pt-BR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t-BR"/>
        </w:rPr>
        <w:t>contratto</w:t>
      </w:r>
      <w:proofErr w:type="spellEnd"/>
      <w:r>
        <w:rPr>
          <w:rFonts w:ascii="Times New Roman" w:eastAsia="Times New Roman" w:hAnsi="Times New Roman" w:cs="Times New Roman"/>
          <w:i/>
          <w:iCs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t-BR"/>
        </w:rPr>
        <w:t>soziale</w:t>
      </w:r>
      <w:proofErr w:type="spellEnd"/>
      <w:r>
        <w:rPr>
          <w:rFonts w:ascii="Times New Roman" w:eastAsia="Times New Roman" w:hAnsi="Times New Roman" w:cs="Times New Roman"/>
          <w:i/>
          <w:iCs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t-BR"/>
        </w:rPr>
        <w:t>oggi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, 30.</w:t>
      </w:r>
    </w:p>
  </w:footnote>
  <w:footnote w:id="37">
    <w:p w14:paraId="29CBE2E2" w14:textId="77777777" w:rsidR="00420C7E" w:rsidRDefault="00420C7E" w:rsidP="000F4712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t-BR"/>
        </w:rPr>
        <w:t>Ibid</w:t>
      </w:r>
      <w:r>
        <w:rPr>
          <w:rFonts w:ascii="Times New Roman" w:eastAsia="Times New Roman" w:hAnsi="Times New Roman" w:cs="Times New Roman"/>
          <w:lang w:eastAsia="pt-BR"/>
        </w:rPr>
        <w:t>., 39.</w:t>
      </w:r>
    </w:p>
  </w:footnote>
  <w:footnote w:id="38">
    <w:p w14:paraId="0DCBB50F" w14:textId="77777777" w:rsidR="00420C7E" w:rsidRPr="00FE2007" w:rsidRDefault="00420C7E" w:rsidP="000F4712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EWALD F. (1986). </w:t>
      </w:r>
      <w:proofErr w:type="spellStart"/>
      <w:proofErr w:type="gramStart"/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L'État</w:t>
      </w:r>
      <w:proofErr w:type="spellEnd"/>
      <w:proofErr w:type="gramEnd"/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 xml:space="preserve"> </w:t>
      </w:r>
      <w:proofErr w:type="spellStart"/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providence</w:t>
      </w:r>
      <w:proofErr w:type="spellEnd"/>
      <w:r w:rsidRPr="00FE2007">
        <w:rPr>
          <w:rFonts w:ascii="Times New Roman" w:eastAsia="Times New Roman" w:hAnsi="Times New Roman" w:cs="Times New Roman"/>
          <w:lang w:eastAsia="pt-BR"/>
        </w:rPr>
        <w:t>, 463, 548ss.</w:t>
      </w:r>
    </w:p>
  </w:footnote>
  <w:footnote w:id="39">
    <w:p w14:paraId="5AEDBE14" w14:textId="77777777" w:rsidR="00420C7E" w:rsidRPr="00FE2007" w:rsidRDefault="00420C7E" w:rsidP="002C5CA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BOBBIO (1980),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., (nota 34), </w:t>
      </w:r>
      <w:proofErr w:type="gramStart"/>
      <w:r w:rsidRPr="00FE2007">
        <w:rPr>
          <w:rFonts w:ascii="Times New Roman" w:eastAsia="Times New Roman" w:hAnsi="Times New Roman" w:cs="Times New Roman"/>
          <w:lang w:eastAsia="pt-BR"/>
        </w:rPr>
        <w:t>6</w:t>
      </w:r>
      <w:proofErr w:type="gramEnd"/>
      <w:r w:rsidRPr="00FE2007">
        <w:rPr>
          <w:rFonts w:ascii="Times New Roman" w:eastAsia="Times New Roman" w:hAnsi="Times New Roman" w:cs="Times New Roman"/>
          <w:lang w:eastAsia="pt-BR"/>
        </w:rPr>
        <w:t>.</w:t>
      </w:r>
    </w:p>
  </w:footnote>
  <w:footnote w:id="40">
    <w:p w14:paraId="6DA1DB3E" w14:textId="77777777" w:rsidR="00420C7E" w:rsidRPr="00FE2007" w:rsidRDefault="00420C7E" w:rsidP="0070703D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Ver MORAND C.-A. (1991),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>., (nota 32), 187-188.</w:t>
      </w:r>
    </w:p>
  </w:footnote>
  <w:footnote w:id="41">
    <w:p w14:paraId="7564D71A" w14:textId="77777777" w:rsidR="00420C7E" w:rsidRPr="00FE2007" w:rsidRDefault="00420C7E" w:rsidP="00216007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>Art. L 162-5 do código de seguridade social.</w:t>
      </w:r>
    </w:p>
  </w:footnote>
  <w:footnote w:id="42">
    <w:p w14:paraId="389CEAC5" w14:textId="77777777" w:rsidR="00420C7E" w:rsidRDefault="00420C7E" w:rsidP="00216007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 xml:space="preserve">MOOR P. (1992),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10), 100ss.</w:t>
      </w:r>
    </w:p>
  </w:footnote>
  <w:footnote w:id="43">
    <w:p w14:paraId="76E757D0" w14:textId="77777777" w:rsidR="00420C7E" w:rsidRDefault="00420C7E" w:rsidP="008119F2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>RIVERO J./SAVATIER J. (1975), Droit du travail, 6ème éd., 351.</w:t>
      </w:r>
    </w:p>
  </w:footnote>
  <w:footnote w:id="44">
    <w:p w14:paraId="2420B502" w14:textId="77777777" w:rsidR="00420C7E" w:rsidRDefault="00420C7E" w:rsidP="00E56BD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AUBERT </w:t>
      </w:r>
      <w:r>
        <w:rPr>
          <w:rFonts w:ascii="Times New Roman" w:eastAsia="Times New Roman" w:hAnsi="Times New Roman" w:cs="Times New Roman"/>
          <w:lang w:val="fr-FR" w:eastAsia="pt-BR"/>
        </w:rPr>
        <w:t xml:space="preserve">G. (1991),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Soumissions publiques et conventions collectives de travail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instruments d'action de l'État</w:t>
      </w:r>
      <w:r>
        <w:rPr>
          <w:rFonts w:ascii="Times New Roman" w:eastAsia="Times New Roman" w:hAnsi="Times New Roman" w:cs="Times New Roman"/>
          <w:lang w:val="fr-FR" w:eastAsia="pt-BR"/>
        </w:rPr>
        <w:t>, 147ss.</w:t>
      </w:r>
    </w:p>
  </w:footnote>
  <w:footnote w:id="45">
    <w:p w14:paraId="15CCDDAE" w14:textId="77777777" w:rsidR="00420C7E" w:rsidRDefault="00420C7E" w:rsidP="00F60C6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153.</w:t>
      </w:r>
    </w:p>
  </w:footnote>
  <w:footnote w:id="46">
    <w:p w14:paraId="6F61086B" w14:textId="77777777" w:rsidR="00420C7E" w:rsidRDefault="00420C7E" w:rsidP="00C02D2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Ver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DELLEY J.-D./MADER L. (1986),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 'État face au défit énergétique. Etude de mise en œuvre de mesures fédérales et cantonales d'économie d 'énergie</w:t>
      </w:r>
      <w:r>
        <w:rPr>
          <w:rFonts w:ascii="Times New Roman" w:eastAsia="Times New Roman" w:hAnsi="Times New Roman" w:cs="Times New Roman"/>
          <w:lang w:val="fr-FR" w:eastAsia="pt-BR"/>
        </w:rPr>
        <w:t>, 56-59; 62-64.</w:t>
      </w:r>
    </w:p>
  </w:footnote>
  <w:footnote w:id="47">
    <w:p w14:paraId="788CD127" w14:textId="108E19C0" w:rsidR="00420C7E" w:rsidRDefault="00420C7E" w:rsidP="00912B77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>Ver para o direito s</w:t>
      </w:r>
      <w:r w:rsidR="002B6104">
        <w:rPr>
          <w:rFonts w:ascii="Times New Roman" w:eastAsia="Times New Roman" w:hAnsi="Times New Roman" w:cs="Times New Roman"/>
          <w:lang w:eastAsia="pt-BR"/>
        </w:rPr>
        <w:t>uí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ço MOOR P. (1992),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., (nota 10). </w:t>
      </w:r>
      <w:r>
        <w:rPr>
          <w:rFonts w:ascii="Times New Roman" w:eastAsia="Times New Roman" w:hAnsi="Times New Roman" w:cs="Times New Roman"/>
          <w:lang w:val="fr-FR" w:eastAsia="pt-BR"/>
        </w:rPr>
        <w:t>102ss.</w:t>
      </w:r>
    </w:p>
  </w:footnote>
  <w:footnote w:id="48">
    <w:p w14:paraId="4D40AEBE" w14:textId="77777777" w:rsidR="00420C7E" w:rsidRDefault="00420C7E" w:rsidP="00912B77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E393C">
        <w:rPr>
          <w:rStyle w:val="Refdenotaderodap"/>
          <w:rFonts w:ascii="Times New Roman" w:hAnsi="Times New Roman" w:cs="Times New Roman"/>
        </w:rPr>
        <w:footnoteRef/>
      </w:r>
      <w:r w:rsidRPr="005E393C">
        <w:rPr>
          <w:rFonts w:ascii="Times New Roman" w:hAnsi="Times New Roman" w:cs="Times New Roman"/>
          <w:lang w:val="fr-FR"/>
        </w:rPr>
        <w:t xml:space="preserve"> </w:t>
      </w:r>
      <w:r w:rsidRPr="005E393C"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 w:rsidRPr="005E393C"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 w:rsidRPr="005E393C">
        <w:rPr>
          <w:rFonts w:ascii="Times New Roman" w:eastAsia="Times New Roman" w:hAnsi="Times New Roman" w:cs="Times New Roman"/>
          <w:lang w:val="fr-FR" w:eastAsia="pt-BR"/>
        </w:rPr>
        <w:t>144.</w:t>
      </w:r>
    </w:p>
  </w:footnote>
  <w:footnote w:id="49">
    <w:p w14:paraId="457C8651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96ss.</w:t>
      </w:r>
    </w:p>
  </w:footnote>
  <w:footnote w:id="50">
    <w:p w14:paraId="55399C5A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 xml:space="preserve">Le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Monde</w:t>
      </w:r>
      <w:r>
        <w:rPr>
          <w:rFonts w:ascii="Times New Roman" w:eastAsia="Times New Roman" w:hAnsi="Times New Roman" w:cs="Times New Roman"/>
          <w:lang w:val="fr-FR" w:eastAsia="pt-BR"/>
        </w:rPr>
        <w:t>, 26-27 avril 1998, 6.</w:t>
      </w:r>
    </w:p>
  </w:footnote>
  <w:footnote w:id="51">
    <w:p w14:paraId="1E301B1D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Supra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lang w:val="fr-FR" w:eastAsia="pt-BR"/>
        </w:rPr>
        <w:t>p. 102.</w:t>
      </w:r>
    </w:p>
  </w:footnote>
  <w:footnote w:id="52">
    <w:p w14:paraId="368CE906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MOOR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(1987).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De la règle de droit à l'étude d'impact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Staat und Gesellschaft</w:t>
      </w:r>
      <w:r>
        <w:rPr>
          <w:rFonts w:ascii="Times New Roman" w:eastAsia="Times New Roman" w:hAnsi="Times New Roman" w:cs="Times New Roman"/>
          <w:lang w:val="fr-FR" w:eastAsia="pt-BR"/>
        </w:rPr>
        <w:t>, 72.</w:t>
      </w:r>
    </w:p>
  </w:footnote>
  <w:footnote w:id="53">
    <w:p w14:paraId="56D45B94" w14:textId="7E2F8B2E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>MORAND</w:t>
      </w:r>
      <w:r w:rsidR="005E393C">
        <w:rPr>
          <w:rFonts w:ascii="Times New Roman" w:eastAsia="Times New Roman" w:hAnsi="Times New Roman" w:cs="Times New Roman"/>
          <w:lang w:val="fr-FR" w:eastAsia="pt-BR"/>
        </w:rPr>
        <w:t xml:space="preserve"> C.-A.</w:t>
      </w:r>
      <w:r>
        <w:rPr>
          <w:rFonts w:ascii="Times New Roman" w:eastAsia="Times New Roman" w:hAnsi="Times New Roman" w:cs="Times New Roman"/>
          <w:lang w:val="fr-FR" w:eastAsia="pt-BR"/>
        </w:rPr>
        <w:t xml:space="preserve"> (1996),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Pesée d'intérets et décisions complexes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pesée globale des intérêts. Droit de l’environnement et de l’aménagement du territoire</w:t>
      </w:r>
      <w:r>
        <w:rPr>
          <w:rFonts w:ascii="Times New Roman" w:eastAsia="Times New Roman" w:hAnsi="Times New Roman" w:cs="Times New Roman"/>
          <w:lang w:val="fr-FR" w:eastAsia="pt-BR"/>
        </w:rPr>
        <w:t>, 75ss.</w:t>
      </w:r>
    </w:p>
  </w:footnote>
  <w:footnote w:id="54">
    <w:p w14:paraId="2BCA12C9" w14:textId="03952FF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="005E393C">
        <w:rPr>
          <w:rFonts w:ascii="Times New Roman" w:eastAsia="Times New Roman" w:hAnsi="Times New Roman" w:cs="Times New Roman"/>
          <w:lang w:val="fr-FR" w:eastAsia="pt-BR"/>
        </w:rPr>
        <w:t>Ver também</w:t>
      </w:r>
      <w:r>
        <w:rPr>
          <w:rFonts w:ascii="Times New Roman" w:eastAsia="Times New Roman" w:hAnsi="Times New Roman" w:cs="Times New Roman"/>
          <w:lang w:val="fr-FR" w:eastAsia="pt-BR"/>
        </w:rPr>
        <w:t xml:space="preserve"> CHEVALLIER J. (1991),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La rationalisation de la production juridique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L'État propulsif</w:t>
      </w:r>
      <w:r>
        <w:rPr>
          <w:rFonts w:ascii="Times New Roman" w:eastAsia="Times New Roman" w:hAnsi="Times New Roman" w:cs="Times New Roman"/>
          <w:lang w:val="fr-FR" w:eastAsia="pt-BR"/>
        </w:rPr>
        <w:t>, 37</w:t>
      </w:r>
      <w:r w:rsidR="005E393C">
        <w:rPr>
          <w:rFonts w:ascii="Times New Roman" w:eastAsia="Times New Roman" w:hAnsi="Times New Roman" w:cs="Times New Roman"/>
          <w:lang w:val="fr-FR" w:eastAsia="pt-BR"/>
        </w:rPr>
        <w:t>;</w:t>
      </w:r>
      <w:r>
        <w:rPr>
          <w:rFonts w:ascii="Times New Roman" w:eastAsia="Times New Roman" w:hAnsi="Times New Roman" w:cs="Times New Roman"/>
          <w:lang w:val="fr-FR" w:eastAsia="pt-BR"/>
        </w:rPr>
        <w:t xml:space="preserve"> LASCOUMES P. (1994)</w:t>
      </w:r>
      <w:r w:rsidR="005E393C">
        <w:rPr>
          <w:rFonts w:ascii="Times New Roman" w:eastAsia="Times New Roman" w:hAnsi="Times New Roman" w:cs="Times New Roman"/>
          <w:lang w:val="fr-FR" w:eastAsia="pt-BR"/>
        </w:rPr>
        <w:t>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op. cit.</w:t>
      </w:r>
      <w:r>
        <w:rPr>
          <w:rFonts w:ascii="Times New Roman" w:eastAsia="Times New Roman" w:hAnsi="Times New Roman" w:cs="Times New Roman"/>
          <w:lang w:val="fr-FR" w:eastAsia="pt-BR"/>
        </w:rPr>
        <w:t>, (nota 20), 271-273.</w:t>
      </w:r>
    </w:p>
  </w:footnote>
  <w:footnote w:id="55">
    <w:p w14:paraId="023F7095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HAWKINS </w:t>
      </w:r>
      <w:r>
        <w:rPr>
          <w:rFonts w:ascii="Times New Roman" w:eastAsia="Times New Roman" w:hAnsi="Times New Roman" w:cs="Times New Roman"/>
          <w:lang w:val="fr-FR" w:eastAsia="pt-BR"/>
        </w:rPr>
        <w:t xml:space="preserve">K. (1984),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 xml:space="preserve">Environment and Enforcement.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Regulation and the Social Definition of Pollution.</w:t>
      </w:r>
      <w:proofErr w:type="gramEnd"/>
    </w:p>
  </w:footnote>
  <w:footnote w:id="56">
    <w:p w14:paraId="56CEA326" w14:textId="27069803" w:rsidR="00420C7E" w:rsidRPr="00FE2007" w:rsidRDefault="00420C7E" w:rsidP="00792344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LASCOUMES P. (1994),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>., (nota 20)</w:t>
      </w:r>
      <w:r w:rsidR="005E393C">
        <w:rPr>
          <w:rFonts w:ascii="Times New Roman" w:eastAsia="Times New Roman" w:hAnsi="Times New Roman" w:cs="Times New Roman"/>
          <w:lang w:eastAsia="pt-BR"/>
        </w:rPr>
        <w:t>,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 170ss.</w:t>
      </w:r>
    </w:p>
  </w:footnote>
  <w:footnote w:id="57">
    <w:p w14:paraId="5055CA4A" w14:textId="77777777" w:rsidR="00420C7E" w:rsidRPr="00FE2007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fr-FR"/>
        </w:rPr>
        <w:t xml:space="preserve"> </w:t>
      </w:r>
      <w:r w:rsidRPr="00FE2007"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 w:rsidRPr="00FE2007">
        <w:rPr>
          <w:rFonts w:ascii="Times New Roman" w:eastAsia="Times New Roman" w:hAnsi="Times New Roman" w:cs="Times New Roman"/>
          <w:lang w:val="fr-FR" w:eastAsia="pt-BR"/>
        </w:rPr>
        <w:t>., 171.</w:t>
      </w:r>
    </w:p>
  </w:footnote>
  <w:footnote w:id="58">
    <w:p w14:paraId="063E4F6E" w14:textId="518A5D74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fr-FR"/>
        </w:rPr>
        <w:t xml:space="preserve"> </w:t>
      </w:r>
      <w:r w:rsidRPr="00FE2007"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 w:rsidRPr="00FE2007">
        <w:rPr>
          <w:rFonts w:ascii="Times New Roman" w:eastAsia="Times New Roman" w:hAnsi="Times New Roman" w:cs="Times New Roman"/>
          <w:lang w:val="fr-FR" w:eastAsia="pt-BR"/>
        </w:rPr>
        <w:t>., 171</w:t>
      </w:r>
      <w:r w:rsidR="005E393C">
        <w:rPr>
          <w:rFonts w:ascii="Times New Roman" w:eastAsia="Times New Roman" w:hAnsi="Times New Roman" w:cs="Times New Roman"/>
          <w:lang w:val="fr-FR" w:eastAsia="pt-BR"/>
        </w:rPr>
        <w:t>,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>172.</w:t>
      </w:r>
    </w:p>
  </w:footnote>
  <w:footnote w:id="59">
    <w:p w14:paraId="1F79DA92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DELMAS-MARTY M. (1986),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 flou du droit</w:t>
      </w:r>
      <w:r>
        <w:rPr>
          <w:rFonts w:ascii="Times New Roman" w:eastAsia="Times New Roman" w:hAnsi="Times New Roman" w:cs="Times New Roman"/>
          <w:lang w:val="fr-FR" w:eastAsia="pt-BR"/>
        </w:rPr>
        <w:t>, 162, 163, 182ss.</w:t>
      </w:r>
    </w:p>
  </w:footnote>
  <w:footnote w:id="60">
    <w:p w14:paraId="20C2E1F1" w14:textId="3E4BE5DC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="005E393C">
        <w:rPr>
          <w:rFonts w:ascii="Times New Roman" w:eastAsia="Times New Roman" w:hAnsi="Times New Roman" w:cs="Times New Roman"/>
          <w:lang w:val="fr-FR" w:eastAsia="pt-BR"/>
        </w:rPr>
        <w:t>Ver</w:t>
      </w:r>
      <w:r>
        <w:rPr>
          <w:rFonts w:ascii="Times New Roman" w:eastAsia="Times New Roman" w:hAnsi="Times New Roman" w:cs="Times New Roman"/>
          <w:lang w:val="fr-FR" w:eastAsia="pt-BR"/>
        </w:rPr>
        <w:t xml:space="preserve"> BONAFÉ-SCHMITT J.-P. (1992),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médiation: une justice douce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218 ss; PERRIN J.-F./WIDMER P.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médiation: un mode alternatif de résolution des conflits?</w:t>
      </w:r>
    </w:p>
  </w:footnote>
  <w:footnote w:id="61">
    <w:p w14:paraId="6F62984A" w14:textId="4C9AC024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BOURDIEU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(1991),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Les juristes, gardiens de l´hypocrisie collective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Normes juridiques et régulation sociale</w:t>
      </w:r>
      <w:r w:rsidR="002B6104">
        <w:rPr>
          <w:rFonts w:ascii="Times New Roman" w:eastAsia="Times New Roman" w:hAnsi="Times New Roman" w:cs="Times New Roman"/>
          <w:lang w:val="fr-FR" w:eastAsia="pt-BR"/>
        </w:rPr>
        <w:t xml:space="preserve"> (dir. CHAZEL/COMMAILLE),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98.</w:t>
      </w:r>
    </w:p>
  </w:footnote>
  <w:footnote w:id="62">
    <w:p w14:paraId="34794280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MINARD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(1998),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fortune du colbertisme</w:t>
      </w:r>
      <w:r>
        <w:rPr>
          <w:rFonts w:ascii="Times New Roman" w:eastAsia="Times New Roman" w:hAnsi="Times New Roman" w:cs="Times New Roman"/>
          <w:lang w:val="fr-FR" w:eastAsia="pt-BR"/>
        </w:rPr>
        <w:t>.</w:t>
      </w:r>
    </w:p>
  </w:footnote>
  <w:footnote w:id="63">
    <w:p w14:paraId="2AF8E678" w14:textId="28795764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="002B6104">
        <w:rPr>
          <w:rFonts w:ascii="Times New Roman" w:eastAsia="Times New Roman" w:hAnsi="Times New Roman" w:cs="Times New Roman"/>
          <w:lang w:val="fr-FR" w:eastAsia="pt-BR"/>
        </w:rPr>
        <w:t>Lei de</w:t>
      </w:r>
      <w:r>
        <w:rPr>
          <w:rFonts w:ascii="Times New Roman" w:eastAsia="Times New Roman" w:hAnsi="Times New Roman" w:cs="Times New Roman"/>
          <w:lang w:val="fr-FR" w:eastAsia="pt-BR"/>
        </w:rPr>
        <w:t xml:space="preserve"> 24 </w:t>
      </w:r>
      <w:r w:rsidR="002B6104">
        <w:rPr>
          <w:rFonts w:ascii="Times New Roman" w:eastAsia="Times New Roman" w:hAnsi="Times New Roman" w:cs="Times New Roman"/>
          <w:lang w:val="fr-FR" w:eastAsia="pt-BR"/>
        </w:rPr>
        <w:t>de março de</w:t>
      </w:r>
      <w:r>
        <w:rPr>
          <w:rFonts w:ascii="Times New Roman" w:eastAsia="Times New Roman" w:hAnsi="Times New Roman" w:cs="Times New Roman"/>
          <w:lang w:val="fr-FR" w:eastAsia="pt-BR"/>
        </w:rPr>
        <w:t xml:space="preserve"> 1995.</w:t>
      </w:r>
    </w:p>
  </w:footnote>
  <w:footnote w:id="64">
    <w:p w14:paraId="29AE4563" w14:textId="39F21511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="002B6104">
        <w:rPr>
          <w:rFonts w:ascii="Times New Roman" w:eastAsia="Times New Roman" w:hAnsi="Times New Roman" w:cs="Times New Roman"/>
          <w:lang w:val="fr-FR" w:eastAsia="pt-BR"/>
        </w:rPr>
        <w:t>Ver</w:t>
      </w:r>
      <w:r>
        <w:rPr>
          <w:rFonts w:ascii="Times New Roman" w:eastAsia="Times New Roman" w:hAnsi="Times New Roman" w:cs="Times New Roman"/>
          <w:lang w:val="fr-FR" w:eastAsia="pt-BR"/>
        </w:rPr>
        <w:t xml:space="preserve"> art. 3 </w:t>
      </w:r>
      <w:r w:rsidR="002B6104">
        <w:rPr>
          <w:rFonts w:ascii="Times New Roman" w:eastAsia="Times New Roman" w:hAnsi="Times New Roman" w:cs="Times New Roman"/>
          <w:lang w:val="fr-FR" w:eastAsia="pt-BR"/>
        </w:rPr>
        <w:t>a</w:t>
      </w:r>
      <w:r>
        <w:rPr>
          <w:rFonts w:ascii="Times New Roman" w:eastAsia="Times New Roman" w:hAnsi="Times New Roman" w:cs="Times New Roman"/>
          <w:lang w:val="fr-FR" w:eastAsia="pt-BR"/>
        </w:rPr>
        <w:t xml:space="preserve"> 2 lit</w:t>
      </w:r>
      <w:r w:rsidR="002B6104">
        <w:rPr>
          <w:rFonts w:ascii="Times New Roman" w:eastAsia="Times New Roman" w:hAnsi="Times New Roman" w:cs="Times New Roman"/>
          <w:lang w:val="fr-FR" w:eastAsia="pt-BR"/>
        </w:rPr>
        <w:t>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e </w:t>
      </w:r>
      <w:r w:rsidR="002B6104">
        <w:rPr>
          <w:rFonts w:ascii="Times New Roman" w:eastAsia="Times New Roman" w:hAnsi="Times New Roman" w:cs="Times New Roman"/>
          <w:lang w:val="fr-FR" w:eastAsia="pt-BR"/>
        </w:rPr>
        <w:t>da lei sobre os bancos</w:t>
      </w:r>
      <w:r>
        <w:rPr>
          <w:rFonts w:ascii="Times New Roman" w:eastAsia="Times New Roman" w:hAnsi="Times New Roman" w:cs="Times New Roman"/>
          <w:lang w:val="fr-FR" w:eastAsia="pt-BR"/>
        </w:rPr>
        <w:t xml:space="preserve">; BELLANGER F. (1991), </w:t>
      </w:r>
      <w:r w:rsidRPr="00FE2007">
        <w:rPr>
          <w:rFonts w:ascii="Times New Roman" w:hAnsi="Times New Roman" w:cs="Times New Roman"/>
          <w:lang w:val="fr-FR"/>
        </w:rPr>
        <w:t>“</w:t>
      </w:r>
      <w:r w:rsidR="002B6104">
        <w:rPr>
          <w:rFonts w:ascii="Times New Roman" w:eastAsia="Times New Roman" w:hAnsi="Times New Roman" w:cs="Times New Roman"/>
          <w:lang w:val="fr-FR" w:eastAsia="pt-BR"/>
        </w:rPr>
        <w:t>Les règles déontol</w:t>
      </w:r>
      <w:r>
        <w:rPr>
          <w:rFonts w:ascii="Times New Roman" w:eastAsia="Times New Roman" w:hAnsi="Times New Roman" w:cs="Times New Roman"/>
          <w:lang w:val="fr-FR" w:eastAsia="pt-BR"/>
        </w:rPr>
        <w:t>ogiques comme moyen d'action de</w:t>
      </w:r>
      <w:r w:rsidR="002B6104">
        <w:rPr>
          <w:rFonts w:ascii="Times New Roman" w:eastAsia="Times New Roman" w:hAnsi="Times New Roman" w:cs="Times New Roman"/>
          <w:lang w:val="fr-FR" w:eastAsia="pt-BR"/>
        </w:rPr>
        <w:t xml:space="preserve"> l'État à la lumiè</w:t>
      </w:r>
      <w:r>
        <w:rPr>
          <w:rFonts w:ascii="Times New Roman" w:eastAsia="Times New Roman" w:hAnsi="Times New Roman" w:cs="Times New Roman"/>
          <w:lang w:val="fr-FR" w:eastAsia="pt-BR"/>
        </w:rPr>
        <w:t>re de la Convention de diligence des banques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instruments d'action de l’État</w:t>
      </w:r>
      <w:r>
        <w:rPr>
          <w:rFonts w:ascii="Times New Roman" w:eastAsia="Times New Roman" w:hAnsi="Times New Roman" w:cs="Times New Roman"/>
          <w:lang w:val="fr-FR" w:eastAsia="pt-BR"/>
        </w:rPr>
        <w:t>, 189ss.</w:t>
      </w:r>
    </w:p>
  </w:footnote>
  <w:footnote w:id="65">
    <w:p w14:paraId="1DA8BEDC" w14:textId="28BA2241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BELLANGER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F. (1991), </w:t>
      </w:r>
      <w:r w:rsidR="002B6104">
        <w:rPr>
          <w:rFonts w:ascii="Times New Roman" w:eastAsia="Times New Roman" w:hAnsi="Times New Roman" w:cs="Times New Roman"/>
          <w:i/>
          <w:iCs/>
          <w:lang w:val="fr-FR" w:eastAsia="pt-BR"/>
        </w:rPr>
        <w:t>i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bid</w:t>
      </w:r>
      <w:r>
        <w:rPr>
          <w:rFonts w:ascii="Times New Roman" w:eastAsia="Times New Roman" w:hAnsi="Times New Roman" w:cs="Times New Roman"/>
          <w:lang w:val="fr-FR" w:eastAsia="pt-BR"/>
        </w:rPr>
        <w:t>., 190ss.</w:t>
      </w:r>
    </w:p>
  </w:footnote>
  <w:footnote w:id="66">
    <w:p w14:paraId="6DAEB3DE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203-204.</w:t>
      </w:r>
    </w:p>
  </w:footnote>
  <w:footnote w:id="67">
    <w:p w14:paraId="62374375" w14:textId="07C0F102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OST </w:t>
      </w:r>
      <w:r>
        <w:rPr>
          <w:rFonts w:ascii="Times New Roman" w:eastAsia="Times New Roman" w:hAnsi="Times New Roman" w:cs="Times New Roman"/>
          <w:lang w:val="fr-FR" w:eastAsia="pt-BR"/>
        </w:rPr>
        <w:t xml:space="preserve">F. (1992),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L'auto-organisation écologique des entreprises: un jeu sans conflits et sans règles?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Revue Interdisciplinaire d'études juridiques</w:t>
      </w:r>
      <w:r>
        <w:rPr>
          <w:rFonts w:ascii="Times New Roman" w:eastAsia="Times New Roman" w:hAnsi="Times New Roman" w:cs="Times New Roman"/>
          <w:lang w:val="fr-FR" w:eastAsia="pt-BR"/>
        </w:rPr>
        <w:t xml:space="preserve"> 28, 158ss.</w:t>
      </w:r>
    </w:p>
  </w:footnote>
  <w:footnote w:id="68">
    <w:p w14:paraId="7D23CA6C" w14:textId="286591E1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="002B6104">
        <w:rPr>
          <w:rFonts w:ascii="Times New Roman" w:eastAsia="Times New Roman" w:hAnsi="Times New Roman" w:cs="Times New Roman"/>
          <w:lang w:val="fr-FR" w:eastAsia="pt-BR"/>
        </w:rPr>
        <w:t>Ver</w:t>
      </w:r>
      <w:r>
        <w:rPr>
          <w:rFonts w:ascii="Times New Roman" w:eastAsia="Times New Roman" w:hAnsi="Times New Roman" w:cs="Times New Roman"/>
          <w:lang w:val="fr-FR" w:eastAsia="pt-BR"/>
        </w:rPr>
        <w:t xml:space="preserve"> OBERSON X. (1991),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taxes d'orientation,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87ss.</w:t>
      </w:r>
    </w:p>
  </w:footnote>
  <w:footnote w:id="69">
    <w:p w14:paraId="61199927" w14:textId="0FEA819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>DEMBINSKI P.H</w:t>
      </w:r>
      <w:r w:rsidR="002B6104">
        <w:rPr>
          <w:rFonts w:ascii="Times New Roman" w:eastAsia="Times New Roman" w:hAnsi="Times New Roman" w:cs="Times New Roman"/>
          <w:lang w:val="fr-FR" w:eastAsia="pt-BR"/>
        </w:rPr>
        <w:t>.</w:t>
      </w:r>
      <w:r>
        <w:rPr>
          <w:rFonts w:ascii="Times New Roman" w:eastAsia="Times New Roman" w:hAnsi="Times New Roman" w:cs="Times New Roman"/>
          <w:lang w:val="fr-FR" w:eastAsia="pt-BR"/>
        </w:rPr>
        <w:t xml:space="preserve">/SCHÖNENBERGER (1991),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La création de marchés artificiels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L'État propulsif</w:t>
      </w:r>
      <w:r>
        <w:rPr>
          <w:rFonts w:ascii="Times New Roman" w:eastAsia="Times New Roman" w:hAnsi="Times New Roman" w:cs="Times New Roman"/>
          <w:lang w:val="fr-FR" w:eastAsia="pt-BR"/>
        </w:rPr>
        <w:t>, 174ss.</w:t>
      </w:r>
    </w:p>
  </w:footnote>
  <w:footnote w:id="70">
    <w:p w14:paraId="2E155A31" w14:textId="77777777" w:rsidR="00420C7E" w:rsidRDefault="00420C7E" w:rsidP="00792344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WILLKE </w:t>
      </w:r>
      <w:r>
        <w:rPr>
          <w:rFonts w:ascii="Times New Roman" w:eastAsia="Times New Roman" w:hAnsi="Times New Roman" w:cs="Times New Roman"/>
          <w:lang w:val="fr-FR" w:eastAsia="pt-BR"/>
        </w:rPr>
        <w:t xml:space="preserve">H. (1991),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 droit comme instrument de guidage néo-mercantiliste de l'État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L'État propulsif</w:t>
      </w:r>
      <w:r>
        <w:rPr>
          <w:rFonts w:ascii="Times New Roman" w:eastAsia="Times New Roman" w:hAnsi="Times New Roman" w:cs="Times New Roman"/>
          <w:lang w:val="fr-FR" w:eastAsia="pt-BR"/>
        </w:rPr>
        <w:t>, 100.</w:t>
      </w:r>
    </w:p>
  </w:footnote>
  <w:footnote w:id="71">
    <w:p w14:paraId="0431C84C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MINZBERG </w:t>
      </w:r>
      <w:r>
        <w:rPr>
          <w:rFonts w:ascii="Times New Roman" w:eastAsia="Times New Roman" w:hAnsi="Times New Roman" w:cs="Times New Roman"/>
          <w:lang w:val="fr-FR" w:eastAsia="pt-BR"/>
        </w:rPr>
        <w:t xml:space="preserve">H. (1994),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Grandeur et décadence de la planification stratégique</w:t>
      </w:r>
      <w:r>
        <w:rPr>
          <w:rFonts w:ascii="Times New Roman" w:eastAsia="Times New Roman" w:hAnsi="Times New Roman" w:cs="Times New Roman"/>
          <w:lang w:val="fr-FR" w:eastAsia="pt-BR"/>
        </w:rPr>
        <w:t>, 359.</w:t>
      </w:r>
    </w:p>
  </w:footnote>
  <w:footnote w:id="72">
    <w:p w14:paraId="04DDAB75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MORAND </w:t>
      </w:r>
      <w:r>
        <w:rPr>
          <w:rFonts w:ascii="Times New Roman" w:eastAsia="Times New Roman" w:hAnsi="Times New Roman" w:cs="Times New Roman"/>
          <w:lang w:val="fr-FR" w:eastAsia="pt-BR"/>
        </w:rPr>
        <w:t xml:space="preserve">C.-A. (1988),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Les exigences de méthode législative et de droit constitutionnel portant sur la formation de la législation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Droit et société</w:t>
      </w:r>
      <w:r>
        <w:rPr>
          <w:rFonts w:ascii="Times New Roman" w:eastAsia="Times New Roman" w:hAnsi="Times New Roman" w:cs="Times New Roman"/>
          <w:lang w:val="fr-FR" w:eastAsia="pt-BR"/>
        </w:rPr>
        <w:t xml:space="preserve"> nº 10, 538.</w:t>
      </w:r>
    </w:p>
  </w:footnote>
  <w:footnote w:id="73">
    <w:p w14:paraId="4707628C" w14:textId="1866B1A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FLÜCKIGER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A. (1996),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 régime juridique des plans</w:t>
      </w:r>
      <w:r w:rsidR="002B6104">
        <w:rPr>
          <w:rFonts w:ascii="Times New Roman" w:eastAsia="Times New Roman" w:hAnsi="Times New Roman" w:cs="Times New Roman"/>
          <w:i/>
          <w:iCs/>
          <w:lang w:val="fr-FR" w:eastAsia="pt-BR"/>
        </w:rPr>
        <w:t>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Staempfli, Berne; DURAN P. (1993),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Piloter l’action publique, avec ou sans le droit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Politiques et Manegement public</w:t>
      </w:r>
      <w:r>
        <w:rPr>
          <w:rFonts w:ascii="Times New Roman" w:eastAsia="Times New Roman" w:hAnsi="Times New Roman" w:cs="Times New Roman"/>
          <w:lang w:val="fr-FR" w:eastAsia="pt-BR"/>
        </w:rPr>
        <w:t xml:space="preserve"> 11, 32.</w:t>
      </w:r>
    </w:p>
  </w:footnote>
  <w:footnote w:id="74">
    <w:p w14:paraId="015C73CC" w14:textId="36BA0E30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 xml:space="preserve">FLÜCKIGER A. (1996),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</w:t>
      </w:r>
      <w:r w:rsidR="002B6104">
        <w:rPr>
          <w:rFonts w:ascii="Times New Roman" w:eastAsia="Times New Roman" w:hAnsi="Times New Roman" w:cs="Times New Roman"/>
          <w:lang w:val="en-US" w:eastAsia="pt-BR"/>
        </w:rPr>
        <w:t>,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442.</w:t>
      </w:r>
    </w:p>
  </w:footnote>
  <w:footnote w:id="75">
    <w:p w14:paraId="52D311E7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.,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443.</w:t>
      </w:r>
    </w:p>
  </w:footnote>
  <w:footnote w:id="76">
    <w:p w14:paraId="0662BEFD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Ibid.</w:t>
      </w:r>
      <w:r>
        <w:rPr>
          <w:rFonts w:ascii="Times New Roman" w:eastAsia="Times New Roman" w:hAnsi="Times New Roman" w:cs="Times New Roman"/>
          <w:lang w:val="en-US" w:eastAsia="pt-BR"/>
        </w:rPr>
        <w:t>,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444.</w:t>
      </w:r>
    </w:p>
  </w:footnote>
  <w:footnote w:id="77">
    <w:p w14:paraId="1545965A" w14:textId="30A05BA6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en-US"/>
        </w:rPr>
        <w:t xml:space="preserve"> </w:t>
      </w:r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OST F. (1992), </w:t>
      </w:r>
      <w:r w:rsidRPr="00FE2007"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 w:rsidRPr="00FE2007">
        <w:rPr>
          <w:rFonts w:ascii="Times New Roman" w:eastAsia="Times New Roman" w:hAnsi="Times New Roman" w:cs="Times New Roman"/>
          <w:lang w:val="en-US" w:eastAsia="pt-BR"/>
        </w:rPr>
        <w:t>., (nota 65)</w:t>
      </w:r>
      <w:r w:rsidR="002B6104">
        <w:rPr>
          <w:rFonts w:ascii="Times New Roman" w:eastAsia="Times New Roman" w:hAnsi="Times New Roman" w:cs="Times New Roman"/>
          <w:lang w:val="en-US" w:eastAsia="pt-BR"/>
        </w:rPr>
        <w:t>,</w:t>
      </w:r>
      <w:r w:rsidRPr="00FE2007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>147ss.</w:t>
      </w:r>
    </w:p>
  </w:footnote>
  <w:footnote w:id="78">
    <w:p w14:paraId="29A5B524" w14:textId="159BEB2B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MOOR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(1996),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Intérêts publics et intérets privés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 xml:space="preserve">La pesée globale des intéréts. Droit de l'environnement et </w:t>
      </w:r>
      <w:r w:rsidR="00E220A2">
        <w:rPr>
          <w:rFonts w:ascii="Times New Roman" w:eastAsia="Times New Roman" w:hAnsi="Times New Roman" w:cs="Times New Roman"/>
          <w:i/>
          <w:iCs/>
          <w:lang w:val="fr-FR" w:eastAsia="pt-BR"/>
        </w:rPr>
        <w:t xml:space="preserve">de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l'aménagement du territoire</w:t>
      </w:r>
      <w:r>
        <w:rPr>
          <w:rFonts w:ascii="Times New Roman" w:eastAsia="Times New Roman" w:hAnsi="Times New Roman" w:cs="Times New Roman"/>
          <w:lang w:val="fr-FR" w:eastAsia="pt-BR"/>
        </w:rPr>
        <w:t>, 24.</w:t>
      </w:r>
    </w:p>
  </w:footnote>
  <w:footnote w:id="79">
    <w:p w14:paraId="5522F3A1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34, 35.</w:t>
      </w:r>
    </w:p>
  </w:footnote>
  <w:footnote w:id="80">
    <w:p w14:paraId="38E94141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 xml:space="preserve">., </w:t>
      </w:r>
      <w:r>
        <w:rPr>
          <w:rFonts w:ascii="Times New Roman" w:eastAsia="Times New Roman" w:hAnsi="Times New Roman" w:cs="Times New Roman"/>
          <w:lang w:val="fr-FR" w:eastAsia="pt-BR"/>
        </w:rPr>
        <w:t>37.</w:t>
      </w:r>
    </w:p>
  </w:footnote>
  <w:footnote w:id="81">
    <w:p w14:paraId="67792551" w14:textId="77777777" w:rsidR="00420C7E" w:rsidRDefault="00420C7E" w:rsidP="00315EAF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LADEUR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K.-H. (1995),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Postmoderne Rechtstheorie Selbstreferenz- Selbstorganisation- Prozeduralisierung</w:t>
      </w:r>
      <w:r>
        <w:rPr>
          <w:rFonts w:ascii="Times New Roman" w:eastAsia="Times New Roman" w:hAnsi="Times New Roman" w:cs="Times New Roman"/>
          <w:lang w:val="fr-FR" w:eastAsia="pt-BR"/>
        </w:rPr>
        <w:t>, 2e éd., 210.</w:t>
      </w:r>
    </w:p>
  </w:footnote>
  <w:footnote w:id="82">
    <w:p w14:paraId="2D9971F0" w14:textId="53B0C726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>MORAND C.-A</w:t>
      </w:r>
      <w:r w:rsidR="00E220A2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 xml:space="preserve">(1991),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cit.</w:t>
      </w:r>
      <w:r>
        <w:rPr>
          <w:rFonts w:ascii="Times New Roman" w:eastAsia="Times New Roman" w:hAnsi="Times New Roman" w:cs="Times New Roman"/>
          <w:lang w:val="en-US" w:eastAsia="pt-BR"/>
        </w:rPr>
        <w:t>, (nota 32)</w:t>
      </w:r>
      <w:r w:rsidR="00E220A2">
        <w:rPr>
          <w:rFonts w:ascii="Times New Roman" w:eastAsia="Times New Roman" w:hAnsi="Times New Roman" w:cs="Times New Roman"/>
          <w:lang w:val="en-US" w:eastAsia="pt-BR"/>
        </w:rPr>
        <w:t>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216-218.</w:t>
      </w:r>
      <w:proofErr w:type="gramEnd"/>
    </w:p>
  </w:footnote>
  <w:footnote w:id="83">
    <w:p w14:paraId="72B4D209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OST F. (1995),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 milieu, un object hybride qui déjoue la distinction public-privé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Public/privé</w:t>
      </w:r>
      <w:r>
        <w:rPr>
          <w:rFonts w:ascii="Times New Roman" w:eastAsia="Times New Roman" w:hAnsi="Times New Roman" w:cs="Times New Roman"/>
          <w:lang w:val="fr-FR" w:eastAsia="pt-BR"/>
        </w:rPr>
        <w:t>, 97ss.</w:t>
      </w:r>
    </w:p>
  </w:footnote>
  <w:footnote w:id="84">
    <w:p w14:paraId="1DEA98E9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TEUBNER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G. (1995),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Globale Bukovina zur Emergenz eines transnationalen Rechtspluralismus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théorie des systèmes: une approche inter- et transdisciplinaire,</w:t>
      </w:r>
      <w:r>
        <w:rPr>
          <w:rFonts w:ascii="Times New Roman" w:eastAsia="Times New Roman" w:hAnsi="Times New Roman" w:cs="Times New Roman"/>
          <w:lang w:val="fr-FR" w:eastAsia="pt-BR"/>
        </w:rPr>
        <w:t xml:space="preserve"> Cahier nº 9 de l'IKB, Sion, 101.</w:t>
      </w:r>
    </w:p>
  </w:footnote>
  <w:footnote w:id="85">
    <w:p w14:paraId="4BF8DD03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TRUDEL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(1997),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Droit du cyberspace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ch. 3, 57. L’auteur parle aussi de la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lex electronica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>.</w:t>
      </w:r>
    </w:p>
  </w:footnote>
  <w:footnote w:id="86">
    <w:p w14:paraId="2543A90A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TEUBNER G. (1995).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op. cit</w:t>
      </w:r>
      <w:r>
        <w:rPr>
          <w:rFonts w:ascii="Times New Roman" w:eastAsia="Times New Roman" w:hAnsi="Times New Roman" w:cs="Times New Roman"/>
          <w:lang w:val="fr-FR" w:eastAsia="pt-BR"/>
        </w:rPr>
        <w:t>., (nota 82). 101.</w:t>
      </w:r>
    </w:p>
  </w:footnote>
  <w:footnote w:id="87">
    <w:p w14:paraId="2FB89C28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CARBONNIER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(1994),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Sociologie juridique</w:t>
      </w:r>
      <w:r>
        <w:rPr>
          <w:rFonts w:ascii="Times New Roman" w:eastAsia="Times New Roman" w:hAnsi="Times New Roman" w:cs="Times New Roman"/>
          <w:lang w:val="fr-FR" w:eastAsia="pt-BR"/>
        </w:rPr>
        <w:t>, 360.</w:t>
      </w:r>
    </w:p>
  </w:footnote>
  <w:footnote w:id="88">
    <w:p w14:paraId="584B74DC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TIMSIT </w:t>
      </w:r>
      <w:r>
        <w:rPr>
          <w:rFonts w:ascii="Times New Roman" w:eastAsia="Times New Roman" w:hAnsi="Times New Roman" w:cs="Times New Roman"/>
          <w:lang w:val="fr-FR" w:eastAsia="pt-BR"/>
        </w:rPr>
        <w:t xml:space="preserve">G. (1991),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Les noms de la loi</w:t>
      </w:r>
      <w:r>
        <w:rPr>
          <w:rFonts w:ascii="Times New Roman" w:eastAsia="Times New Roman" w:hAnsi="Times New Roman" w:cs="Times New Roman"/>
          <w:lang w:val="fr-FR" w:eastAsia="pt-BR"/>
        </w:rPr>
        <w:t>, 86.</w:t>
      </w:r>
    </w:p>
  </w:footnote>
  <w:footnote w:id="89">
    <w:p w14:paraId="61CEFCF4" w14:textId="1B981B59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>MORAND C.-A</w:t>
      </w:r>
      <w:r w:rsidR="00E220A2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="00E220A2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(1991),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32), 208.</w:t>
      </w:r>
      <w:proofErr w:type="gramEnd"/>
    </w:p>
  </w:footnote>
  <w:footnote w:id="90">
    <w:p w14:paraId="5CCAFF18" w14:textId="77777777" w:rsidR="00420C7E" w:rsidRDefault="00420C7E" w:rsidP="00B2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OFFE (1981), </w:t>
      </w:r>
      <w:r w:rsidRPr="00FE2007">
        <w:rPr>
          <w:rFonts w:ascii="Times New Roman" w:hAnsi="Times New Roman" w:cs="Times New Roman"/>
          <w:lang w:val="en-US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The attribution of public status to interest groups: observation of the West German Case</w:t>
      </w:r>
      <w:r w:rsidRPr="00FE2007">
        <w:rPr>
          <w:rFonts w:ascii="Times New Roman" w:eastAsia="Times New Roman" w:hAnsi="Times New Roman" w:cs="Times New Roman"/>
          <w:lang w:val="en-US" w:eastAsia="pt-BR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Organizing interest in Western Europe: pluralism, corporatism and the transformation of politics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.</w:t>
      </w:r>
    </w:p>
  </w:footnote>
  <w:footnote w:id="91">
    <w:p w14:paraId="72A92F7B" w14:textId="23110FD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="00E220A2">
        <w:rPr>
          <w:rFonts w:ascii="Times New Roman" w:eastAsia="Times New Roman" w:hAnsi="Times New Roman" w:cs="Times New Roman"/>
          <w:lang w:val="en-US" w:eastAsia="pt-BR"/>
        </w:rPr>
        <w:t>OST F. (1995),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84), 103ss.</w:t>
      </w:r>
    </w:p>
  </w:footnote>
  <w:footnote w:id="92">
    <w:p w14:paraId="5F8F73DF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 xml:space="preserve">WILLKE H. (1997),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 xml:space="preserve">Supervision des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Staates</w:t>
      </w:r>
      <w:proofErr w:type="spellEnd"/>
      <w:r>
        <w:rPr>
          <w:rFonts w:ascii="Times New Roman" w:eastAsia="Times New Roman" w:hAnsi="Times New Roman" w:cs="Times New Roman"/>
          <w:lang w:val="en-US" w:eastAsia="pt-BR"/>
        </w:rPr>
        <w:t>.</w:t>
      </w:r>
    </w:p>
  </w:footnote>
  <w:footnote w:id="93">
    <w:p w14:paraId="1D5D2B53" w14:textId="77777777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fr-FR"/>
        </w:rPr>
        <w:t xml:space="preserve"> 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OST F. (1995), </w:t>
      </w:r>
      <w:r w:rsidRPr="00FE2007">
        <w:rPr>
          <w:rFonts w:ascii="Times New Roman" w:eastAsia="Times New Roman" w:hAnsi="Times New Roman" w:cs="Times New Roman"/>
          <w:i/>
          <w:iCs/>
          <w:lang w:val="fr-FR" w:eastAsia="pt-BR"/>
        </w:rPr>
        <w:t>op. cit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., (nota 84), 104.</w:t>
      </w:r>
    </w:p>
  </w:footnote>
  <w:footnote w:id="94">
    <w:p w14:paraId="1A53C58E" w14:textId="78A5B69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fr-FR"/>
        </w:rPr>
        <w:t xml:space="preserve"> </w:t>
      </w:r>
      <w:r w:rsidR="002B6104">
        <w:rPr>
          <w:rFonts w:ascii="Times New Roman" w:eastAsia="Times New Roman" w:hAnsi="Times New Roman" w:cs="Times New Roman"/>
          <w:lang w:val="fr-FR" w:eastAsia="pt-BR"/>
        </w:rPr>
        <w:t>Ver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 LASCOUMES P. (1994), </w:t>
      </w:r>
      <w:r w:rsidRPr="00FE2007">
        <w:rPr>
          <w:rFonts w:ascii="Times New Roman" w:eastAsia="Times New Roman" w:hAnsi="Times New Roman" w:cs="Times New Roman"/>
          <w:i/>
          <w:iCs/>
          <w:lang w:val="fr-FR" w:eastAsia="pt-BR"/>
        </w:rPr>
        <w:t>op. cit.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 </w:t>
      </w:r>
      <w:r>
        <w:rPr>
          <w:rFonts w:ascii="Times New Roman" w:eastAsia="Times New Roman" w:hAnsi="Times New Roman" w:cs="Times New Roman"/>
          <w:lang w:val="en-US" w:eastAsia="pt-B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pt-BR"/>
        </w:rPr>
        <w:t>no</w:t>
      </w:r>
      <w:r w:rsidR="00E220A2">
        <w:rPr>
          <w:rFonts w:ascii="Times New Roman" w:eastAsia="Times New Roman" w:hAnsi="Times New Roman" w:cs="Times New Roman"/>
          <w:lang w:val="en-US" w:eastAsia="pt-BR"/>
        </w:rPr>
        <w:t>t</w:t>
      </w:r>
      <w:r>
        <w:rPr>
          <w:rFonts w:ascii="Times New Roman" w:eastAsia="Times New Roman" w:hAnsi="Times New Roman" w:cs="Times New Roman"/>
          <w:lang w:val="en-US" w:eastAsia="pt-B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20), 180.</w:t>
      </w:r>
    </w:p>
  </w:footnote>
  <w:footnote w:id="95">
    <w:p w14:paraId="1ACE871E" w14:textId="18C2DDD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>OFFE (1981)</w:t>
      </w:r>
      <w:r w:rsidR="00E220A2">
        <w:rPr>
          <w:rFonts w:ascii="Times New Roman" w:eastAsia="Times New Roman" w:hAnsi="Times New Roman" w:cs="Times New Roman"/>
          <w:lang w:val="en-US" w:eastAsia="pt-BR"/>
        </w:rPr>
        <w:t>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88), 141.</w:t>
      </w:r>
      <w:proofErr w:type="gramEnd"/>
    </w:p>
  </w:footnote>
  <w:footnote w:id="96">
    <w:p w14:paraId="00225C06" w14:textId="670371F4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MORAND C.-A.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 xml:space="preserve">(1991),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32)</w:t>
      </w:r>
      <w:r w:rsidR="00E220A2">
        <w:rPr>
          <w:rFonts w:ascii="Times New Roman" w:eastAsia="Times New Roman" w:hAnsi="Times New Roman" w:cs="Times New Roman"/>
          <w:lang w:val="en-US" w:eastAsia="pt-BR"/>
        </w:rPr>
        <w:t>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216.</w:t>
      </w:r>
      <w:proofErr w:type="gramEnd"/>
    </w:p>
  </w:footnote>
  <w:footnote w:id="97">
    <w:p w14:paraId="413108A7" w14:textId="7CF58BEA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="00E220A2">
        <w:rPr>
          <w:rFonts w:ascii="Times New Roman" w:eastAsia="Times New Roman" w:hAnsi="Times New Roman" w:cs="Times New Roman"/>
          <w:lang w:eastAsia="pt-BR"/>
        </w:rPr>
        <w:t>PAPADOPOULOS Y. (1995),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., (nota </w:t>
      </w:r>
      <w:proofErr w:type="gramStart"/>
      <w:r w:rsidRPr="00FE2007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FE2007">
        <w:rPr>
          <w:rFonts w:ascii="Times New Roman" w:eastAsia="Times New Roman" w:hAnsi="Times New Roman" w:cs="Times New Roman"/>
          <w:lang w:eastAsia="pt-BR"/>
        </w:rPr>
        <w:t>), 86, 87.</w:t>
      </w:r>
    </w:p>
  </w:footnote>
  <w:footnote w:id="98">
    <w:p w14:paraId="1125CA89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</w:t>
      </w:r>
    </w:p>
  </w:footnote>
  <w:footnote w:id="99">
    <w:p w14:paraId="71D79FCA" w14:textId="032BA7C2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>MORAND C.-A</w:t>
      </w:r>
      <w:r w:rsidR="00E220A2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="00E220A2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(1991),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 xml:space="preserve">., (nota 32), 208; OST F. (1992),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cit.</w:t>
      </w:r>
      <w:r>
        <w:rPr>
          <w:rFonts w:ascii="Times New Roman" w:eastAsia="Times New Roman" w:hAnsi="Times New Roman" w:cs="Times New Roman"/>
          <w:lang w:val="en-US" w:eastAsia="pt-BR"/>
        </w:rPr>
        <w:t>, (nota 65), 161, 162.</w:t>
      </w:r>
      <w:proofErr w:type="gramEnd"/>
    </w:p>
  </w:footnote>
  <w:footnote w:id="100">
    <w:p w14:paraId="781A0729" w14:textId="5763C38B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t-BR"/>
        </w:rPr>
        <w:t>OFFE (1981)</w:t>
      </w:r>
      <w:r w:rsidR="00E220A2">
        <w:rPr>
          <w:rFonts w:ascii="Times New Roman" w:eastAsia="Times New Roman" w:hAnsi="Times New Roman" w:cs="Times New Roman"/>
          <w:lang w:val="en-US" w:eastAsia="pt-BR"/>
        </w:rPr>
        <w:t>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cit.,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(nota </w:t>
      </w:r>
      <w:r w:rsidR="00E220A2">
        <w:rPr>
          <w:rFonts w:ascii="Times New Roman" w:eastAsia="Times New Roman" w:hAnsi="Times New Roman" w:cs="Times New Roman"/>
          <w:lang w:val="en-US" w:eastAsia="pt-BR"/>
        </w:rPr>
        <w:t>88), 123ss; MORAND C.-A.</w:t>
      </w:r>
      <w:proofErr w:type="gramEnd"/>
      <w:r w:rsidR="00E220A2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(1991),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32), 218.</w:t>
      </w:r>
      <w:proofErr w:type="gramEnd"/>
    </w:p>
  </w:footnote>
  <w:footnote w:id="101">
    <w:p w14:paraId="199196A0" w14:textId="77777777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PAPADOPOULOS Y. (1995),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cit.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, (nota </w:t>
      </w:r>
      <w:proofErr w:type="gramStart"/>
      <w:r w:rsidRPr="00FE2007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FE2007">
        <w:rPr>
          <w:rFonts w:ascii="Times New Roman" w:eastAsia="Times New Roman" w:hAnsi="Times New Roman" w:cs="Times New Roman"/>
          <w:lang w:eastAsia="pt-BR"/>
        </w:rPr>
        <w:t>), 87.</w:t>
      </w:r>
    </w:p>
  </w:footnote>
  <w:footnote w:id="102">
    <w:p w14:paraId="014C2CCE" w14:textId="2B184DFF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MORAND C-A.</w:t>
      </w:r>
      <w:proofErr w:type="gramEnd"/>
      <w:r w:rsidR="00E220A2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gramStart"/>
      <w:r w:rsidR="00E220A2">
        <w:rPr>
          <w:rFonts w:ascii="Times New Roman" w:eastAsia="Times New Roman" w:hAnsi="Times New Roman" w:cs="Times New Roman"/>
          <w:lang w:val="en-US" w:eastAsia="pt-BR"/>
        </w:rPr>
        <w:t>(1991),</w:t>
      </w:r>
      <w:r>
        <w:rPr>
          <w:rFonts w:ascii="Times New Roman" w:eastAsia="Times New Roman" w:hAnsi="Times New Roman" w:cs="Times New Roman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op. cit</w:t>
      </w:r>
      <w:r>
        <w:rPr>
          <w:rFonts w:ascii="Times New Roman" w:eastAsia="Times New Roman" w:hAnsi="Times New Roman" w:cs="Times New Roman"/>
          <w:lang w:val="en-US" w:eastAsia="pt-BR"/>
        </w:rPr>
        <w:t>., (nota 32), 201.</w:t>
      </w:r>
      <w:proofErr w:type="gramEnd"/>
    </w:p>
  </w:footnote>
  <w:footnote w:id="103">
    <w:p w14:paraId="625F828C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</w:t>
      </w:r>
    </w:p>
  </w:footnote>
  <w:footnote w:id="104">
    <w:p w14:paraId="0520190B" w14:textId="77777777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lang w:eastAsia="pt-BR"/>
        </w:rPr>
        <w:t xml:space="preserve">LASCOUMES P. (1994),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op. cit</w:t>
      </w:r>
      <w:r w:rsidRPr="00FE2007">
        <w:rPr>
          <w:rFonts w:ascii="Times New Roman" w:eastAsia="Times New Roman" w:hAnsi="Times New Roman" w:cs="Times New Roman"/>
          <w:lang w:eastAsia="pt-BR"/>
        </w:rPr>
        <w:t>., (nota 20), 268.</w:t>
      </w:r>
    </w:p>
  </w:footnote>
  <w:footnote w:id="105">
    <w:p w14:paraId="3B6D7451" w14:textId="77777777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</w:rPr>
        <w:t xml:space="preserve"> </w:t>
      </w:r>
      <w:r w:rsidRPr="00FE2007">
        <w:rPr>
          <w:rFonts w:ascii="Times New Roman" w:eastAsia="Times New Roman" w:hAnsi="Times New Roman" w:cs="Times New Roman"/>
          <w:i/>
          <w:iCs/>
          <w:lang w:eastAsia="pt-BR"/>
        </w:rPr>
        <w:t>Ibid</w:t>
      </w:r>
      <w:r w:rsidRPr="00FE2007">
        <w:rPr>
          <w:rFonts w:ascii="Times New Roman" w:eastAsia="Times New Roman" w:hAnsi="Times New Roman" w:cs="Times New Roman"/>
          <w:lang w:eastAsia="pt-BR"/>
        </w:rPr>
        <w:t>., 273.</w:t>
      </w:r>
    </w:p>
  </w:footnote>
  <w:footnote w:id="106">
    <w:p w14:paraId="71141F8A" w14:textId="77777777" w:rsidR="00420C7E" w:rsidRPr="00FE2007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 w:rsidRPr="00FE2007">
        <w:rPr>
          <w:rFonts w:ascii="Times New Roman" w:hAnsi="Times New Roman" w:cs="Times New Roman"/>
          <w:lang w:val="fr-FR"/>
        </w:rPr>
        <w:t xml:space="preserve"> </w:t>
      </w:r>
      <w:r w:rsidRPr="00FE2007">
        <w:rPr>
          <w:rFonts w:ascii="Times New Roman" w:eastAsia="Times New Roman" w:hAnsi="Times New Roman" w:cs="Times New Roman"/>
          <w:lang w:val="fr-FR" w:eastAsia="pt-BR"/>
        </w:rPr>
        <w:t xml:space="preserve">CHEVALLIER (1991), </w:t>
      </w:r>
      <w:r w:rsidRPr="00FE2007">
        <w:rPr>
          <w:rFonts w:ascii="Times New Roman" w:eastAsia="Times New Roman" w:hAnsi="Times New Roman" w:cs="Times New Roman"/>
          <w:i/>
          <w:iCs/>
          <w:lang w:val="fr-FR" w:eastAsia="pt-BR"/>
        </w:rPr>
        <w:t>op. cit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., (nota 52), 272.</w:t>
      </w:r>
    </w:p>
  </w:footnote>
  <w:footnote w:id="107">
    <w:p w14:paraId="2C0AE25A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LASCOUMES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(1994),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op. cit.</w:t>
      </w:r>
      <w:r>
        <w:rPr>
          <w:rFonts w:ascii="Times New Roman" w:eastAsia="Times New Roman" w:hAnsi="Times New Roman" w:cs="Times New Roman"/>
          <w:lang w:val="fr-FR" w:eastAsia="pt-BR"/>
        </w:rPr>
        <w:t>, (nota 20), 272.</w:t>
      </w:r>
    </w:p>
  </w:footnote>
  <w:footnote w:id="108">
    <w:p w14:paraId="389A5BDB" w14:textId="77777777" w:rsidR="00420C7E" w:rsidRDefault="00420C7E" w:rsidP="00B215F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MONNIER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É. (1992),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Evaluation de l’action des pouvoirs publiques</w:t>
      </w:r>
      <w:r>
        <w:rPr>
          <w:rFonts w:ascii="Times New Roman" w:eastAsia="Times New Roman" w:hAnsi="Times New Roman" w:cs="Times New Roman"/>
          <w:lang w:val="fr-FR" w:eastAsia="pt-BR"/>
        </w:rPr>
        <w:t>, 87.</w:t>
      </w:r>
    </w:p>
  </w:footnote>
  <w:footnote w:id="109">
    <w:p w14:paraId="14C2AD23" w14:textId="48501DA4" w:rsidR="00420C7E" w:rsidRDefault="00420C7E" w:rsidP="00F26667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CHEVALLIER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J. (1993), </w:t>
      </w:r>
      <w:r w:rsidRPr="00FE2007">
        <w:rPr>
          <w:rFonts w:ascii="Times New Roman" w:hAnsi="Times New Roman" w:cs="Times New Roman"/>
          <w:lang w:val="fr-FR"/>
        </w:rPr>
        <w:t>“</w:t>
      </w:r>
      <w:r>
        <w:rPr>
          <w:rFonts w:ascii="Times New Roman" w:eastAsia="Times New Roman" w:hAnsi="Times New Roman" w:cs="Times New Roman"/>
          <w:lang w:val="fr-FR" w:eastAsia="pt-BR"/>
        </w:rPr>
        <w:t>Conclusion générale. Les interpr</w:t>
      </w:r>
      <w:r w:rsidR="00E220A2">
        <w:rPr>
          <w:rFonts w:ascii="Times New Roman" w:eastAsia="Times New Roman" w:hAnsi="Times New Roman" w:cs="Times New Roman"/>
          <w:lang w:val="fr-FR" w:eastAsia="pt-BR"/>
        </w:rPr>
        <w:t>è</w:t>
      </w:r>
      <w:r>
        <w:rPr>
          <w:rFonts w:ascii="Times New Roman" w:eastAsia="Times New Roman" w:hAnsi="Times New Roman" w:cs="Times New Roman"/>
          <w:lang w:val="fr-FR" w:eastAsia="pt-BR"/>
        </w:rPr>
        <w:t>tes du droit</w:t>
      </w:r>
      <w:r w:rsidRPr="00FE2007">
        <w:rPr>
          <w:rFonts w:ascii="Times New Roman" w:eastAsia="Times New Roman" w:hAnsi="Times New Roman" w:cs="Times New Roman"/>
          <w:lang w:val="fr-FR" w:eastAsia="pt-BR"/>
        </w:rPr>
        <w:t>”</w:t>
      </w:r>
      <w:r>
        <w:rPr>
          <w:rFonts w:ascii="Times New Roman" w:eastAsia="Times New Roman" w:hAnsi="Times New Roman" w:cs="Times New Roman"/>
          <w:lang w:val="fr-FR" w:eastAsia="pt-B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La doctrine juridique</w:t>
      </w:r>
      <w:r>
        <w:rPr>
          <w:rFonts w:ascii="Times New Roman" w:eastAsia="Times New Roman" w:hAnsi="Times New Roman" w:cs="Times New Roman"/>
          <w:lang w:val="fr-FR" w:eastAsia="pt-BR"/>
        </w:rPr>
        <w:t>, 196.</w:t>
      </w:r>
    </w:p>
  </w:footnote>
  <w:footnote w:id="110">
    <w:p w14:paraId="0B78E39F" w14:textId="77777777" w:rsidR="00420C7E" w:rsidRDefault="00420C7E" w:rsidP="00F26667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LASCOUMES </w:t>
      </w:r>
      <w:r>
        <w:rPr>
          <w:rFonts w:ascii="Times New Roman" w:eastAsia="Times New Roman" w:hAnsi="Times New Roman" w:cs="Times New Roman"/>
          <w:lang w:val="fr-FR" w:eastAsia="pt-BR"/>
        </w:rPr>
        <w:t xml:space="preserve">P. (1994),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op. cit</w:t>
      </w:r>
      <w:r>
        <w:rPr>
          <w:rFonts w:ascii="Times New Roman" w:eastAsia="Times New Roman" w:hAnsi="Times New Roman" w:cs="Times New Roman"/>
          <w:lang w:val="fr-FR" w:eastAsia="pt-BR"/>
        </w:rPr>
        <w:t>., (nota 20), 269-274.</w:t>
      </w:r>
    </w:p>
  </w:footnote>
  <w:footnote w:id="111">
    <w:p w14:paraId="37C0FE50" w14:textId="77777777" w:rsidR="00420C7E" w:rsidRDefault="00420C7E" w:rsidP="00F26667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pt-BR"/>
        </w:rPr>
        <w:t xml:space="preserve">MONNIER </w:t>
      </w:r>
      <w:r>
        <w:rPr>
          <w:rFonts w:ascii="Times New Roman" w:eastAsia="Times New Roman" w:hAnsi="Times New Roman" w:cs="Times New Roman"/>
          <w:lang w:val="fr-FR" w:eastAsia="pt-BR"/>
        </w:rPr>
        <w:t xml:space="preserve">É. (1992),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op. cit.</w:t>
      </w:r>
      <w:r>
        <w:rPr>
          <w:rFonts w:ascii="Times New Roman" w:eastAsia="Times New Roman" w:hAnsi="Times New Roman" w:cs="Times New Roman"/>
          <w:lang w:val="fr-FR" w:eastAsia="pt-BR"/>
        </w:rPr>
        <w:t>, (nota 106), 91-92.</w:t>
      </w:r>
    </w:p>
  </w:footnote>
  <w:footnote w:id="112">
    <w:p w14:paraId="01E91BB5" w14:textId="77777777" w:rsidR="00420C7E" w:rsidRDefault="00420C7E" w:rsidP="00F26667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.,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92.</w:t>
      </w:r>
    </w:p>
  </w:footnote>
  <w:footnote w:id="113">
    <w:p w14:paraId="66D89DA8" w14:textId="77777777" w:rsidR="00420C7E" w:rsidRDefault="00420C7E" w:rsidP="00F26667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 w:eastAsia="pt-BR"/>
        </w:rPr>
        <w:t>Ibid</w:t>
      </w:r>
      <w:r>
        <w:rPr>
          <w:rFonts w:ascii="Times New Roman" w:eastAsia="Times New Roman" w:hAnsi="Times New Roman" w:cs="Times New Roman"/>
          <w:lang w:val="en-US" w:eastAsia="pt-BR"/>
        </w:rPr>
        <w:t>.,</w:t>
      </w:r>
      <w:proofErr w:type="gramEnd"/>
      <w:r>
        <w:rPr>
          <w:rFonts w:ascii="Times New Roman" w:eastAsia="Times New Roman" w:hAnsi="Times New Roman" w:cs="Times New Roman"/>
          <w:lang w:val="en-US" w:eastAsia="pt-BR"/>
        </w:rPr>
        <w:t xml:space="preserve"> 68.</w:t>
      </w:r>
    </w:p>
  </w:footnote>
  <w:footnote w:id="114">
    <w:p w14:paraId="1F252B00" w14:textId="77777777" w:rsidR="00420C7E" w:rsidRDefault="00420C7E" w:rsidP="00F26667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fr-FR" w:eastAsia="pt-BR"/>
        </w:rPr>
        <w:t>Ibid</w:t>
      </w:r>
      <w:r>
        <w:rPr>
          <w:rFonts w:ascii="Times New Roman" w:eastAsia="Times New Roman" w:hAnsi="Times New Roman" w:cs="Times New Roman"/>
          <w:lang w:val="fr-FR" w:eastAsia="pt-BR"/>
        </w:rPr>
        <w:t>., 71ss.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E1"/>
    <w:rsid w:val="00000066"/>
    <w:rsid w:val="00002A5B"/>
    <w:rsid w:val="00004EEC"/>
    <w:rsid w:val="00005088"/>
    <w:rsid w:val="0001548B"/>
    <w:rsid w:val="00016073"/>
    <w:rsid w:val="000168D5"/>
    <w:rsid w:val="00026028"/>
    <w:rsid w:val="000350F4"/>
    <w:rsid w:val="00037209"/>
    <w:rsid w:val="00042C5B"/>
    <w:rsid w:val="00044189"/>
    <w:rsid w:val="00060FBB"/>
    <w:rsid w:val="000614CF"/>
    <w:rsid w:val="00061C78"/>
    <w:rsid w:val="000776AF"/>
    <w:rsid w:val="000776C3"/>
    <w:rsid w:val="000800CC"/>
    <w:rsid w:val="0008122C"/>
    <w:rsid w:val="00081897"/>
    <w:rsid w:val="00082F04"/>
    <w:rsid w:val="00083785"/>
    <w:rsid w:val="00085BBE"/>
    <w:rsid w:val="00086D3D"/>
    <w:rsid w:val="00091819"/>
    <w:rsid w:val="0009411C"/>
    <w:rsid w:val="00095417"/>
    <w:rsid w:val="000B01D9"/>
    <w:rsid w:val="000B6309"/>
    <w:rsid w:val="000C3F4E"/>
    <w:rsid w:val="000C5822"/>
    <w:rsid w:val="000C5E09"/>
    <w:rsid w:val="000C7F3C"/>
    <w:rsid w:val="000D2A28"/>
    <w:rsid w:val="000D4EC8"/>
    <w:rsid w:val="000D7394"/>
    <w:rsid w:val="000E0141"/>
    <w:rsid w:val="000E2452"/>
    <w:rsid w:val="000E56E4"/>
    <w:rsid w:val="000F4712"/>
    <w:rsid w:val="000F4D7E"/>
    <w:rsid w:val="0010377C"/>
    <w:rsid w:val="00106AC7"/>
    <w:rsid w:val="0011139D"/>
    <w:rsid w:val="0011691A"/>
    <w:rsid w:val="00120038"/>
    <w:rsid w:val="0012082B"/>
    <w:rsid w:val="0012220E"/>
    <w:rsid w:val="001244AD"/>
    <w:rsid w:val="00125130"/>
    <w:rsid w:val="00125875"/>
    <w:rsid w:val="0013404F"/>
    <w:rsid w:val="00136698"/>
    <w:rsid w:val="001420C3"/>
    <w:rsid w:val="00146A03"/>
    <w:rsid w:val="00151E09"/>
    <w:rsid w:val="00154553"/>
    <w:rsid w:val="00161D95"/>
    <w:rsid w:val="001632FA"/>
    <w:rsid w:val="00163B18"/>
    <w:rsid w:val="00166D10"/>
    <w:rsid w:val="001674C3"/>
    <w:rsid w:val="00176EA8"/>
    <w:rsid w:val="00177CF2"/>
    <w:rsid w:val="00180264"/>
    <w:rsid w:val="001807F4"/>
    <w:rsid w:val="001809AE"/>
    <w:rsid w:val="00180FBB"/>
    <w:rsid w:val="00182E38"/>
    <w:rsid w:val="00186D98"/>
    <w:rsid w:val="00187A70"/>
    <w:rsid w:val="00187B1B"/>
    <w:rsid w:val="00187C14"/>
    <w:rsid w:val="00192AB2"/>
    <w:rsid w:val="00195D1A"/>
    <w:rsid w:val="001A2800"/>
    <w:rsid w:val="001A34DA"/>
    <w:rsid w:val="001A3C84"/>
    <w:rsid w:val="001A44B3"/>
    <w:rsid w:val="001A6E13"/>
    <w:rsid w:val="001B0C0E"/>
    <w:rsid w:val="001B2034"/>
    <w:rsid w:val="001B2F65"/>
    <w:rsid w:val="001B5719"/>
    <w:rsid w:val="001B6F17"/>
    <w:rsid w:val="001B7E02"/>
    <w:rsid w:val="001D0E3D"/>
    <w:rsid w:val="001D4940"/>
    <w:rsid w:val="001D519A"/>
    <w:rsid w:val="001E4945"/>
    <w:rsid w:val="001E67AA"/>
    <w:rsid w:val="001F3FF4"/>
    <w:rsid w:val="002060F0"/>
    <w:rsid w:val="00206AB7"/>
    <w:rsid w:val="0021540F"/>
    <w:rsid w:val="00216007"/>
    <w:rsid w:val="00224E38"/>
    <w:rsid w:val="0022741B"/>
    <w:rsid w:val="00227626"/>
    <w:rsid w:val="00232E09"/>
    <w:rsid w:val="002352A1"/>
    <w:rsid w:val="002362EB"/>
    <w:rsid w:val="0024763F"/>
    <w:rsid w:val="00251844"/>
    <w:rsid w:val="00254BFD"/>
    <w:rsid w:val="00255CBA"/>
    <w:rsid w:val="00262A76"/>
    <w:rsid w:val="00265C2C"/>
    <w:rsid w:val="00267E42"/>
    <w:rsid w:val="00273F7F"/>
    <w:rsid w:val="0028613B"/>
    <w:rsid w:val="00286518"/>
    <w:rsid w:val="0029023F"/>
    <w:rsid w:val="002905A1"/>
    <w:rsid w:val="00292BA8"/>
    <w:rsid w:val="002931C3"/>
    <w:rsid w:val="002A2C9F"/>
    <w:rsid w:val="002A3C2F"/>
    <w:rsid w:val="002A4385"/>
    <w:rsid w:val="002A5A0D"/>
    <w:rsid w:val="002A5E9A"/>
    <w:rsid w:val="002B1E00"/>
    <w:rsid w:val="002B4F88"/>
    <w:rsid w:val="002B5673"/>
    <w:rsid w:val="002B6104"/>
    <w:rsid w:val="002B7F3E"/>
    <w:rsid w:val="002C0911"/>
    <w:rsid w:val="002C0E54"/>
    <w:rsid w:val="002C0F66"/>
    <w:rsid w:val="002C130B"/>
    <w:rsid w:val="002C26AA"/>
    <w:rsid w:val="002C2A8E"/>
    <w:rsid w:val="002C31D6"/>
    <w:rsid w:val="002C5297"/>
    <w:rsid w:val="002C5CAF"/>
    <w:rsid w:val="002D1799"/>
    <w:rsid w:val="002D2E6D"/>
    <w:rsid w:val="002D398C"/>
    <w:rsid w:val="002E5424"/>
    <w:rsid w:val="002E5DCD"/>
    <w:rsid w:val="002E62CD"/>
    <w:rsid w:val="002F0665"/>
    <w:rsid w:val="002F49CA"/>
    <w:rsid w:val="002F7374"/>
    <w:rsid w:val="002F7FE0"/>
    <w:rsid w:val="00301064"/>
    <w:rsid w:val="00302465"/>
    <w:rsid w:val="0030416B"/>
    <w:rsid w:val="00305C19"/>
    <w:rsid w:val="003071C6"/>
    <w:rsid w:val="00311B15"/>
    <w:rsid w:val="00312400"/>
    <w:rsid w:val="0031286B"/>
    <w:rsid w:val="00315EAF"/>
    <w:rsid w:val="00320D6A"/>
    <w:rsid w:val="00320E0D"/>
    <w:rsid w:val="003225C2"/>
    <w:rsid w:val="00325EC0"/>
    <w:rsid w:val="0032758F"/>
    <w:rsid w:val="003307F2"/>
    <w:rsid w:val="00335FB7"/>
    <w:rsid w:val="003410AB"/>
    <w:rsid w:val="003512FD"/>
    <w:rsid w:val="003538C4"/>
    <w:rsid w:val="00357D1D"/>
    <w:rsid w:val="00362AFB"/>
    <w:rsid w:val="0036759F"/>
    <w:rsid w:val="00370085"/>
    <w:rsid w:val="00371BD0"/>
    <w:rsid w:val="00372724"/>
    <w:rsid w:val="0037461E"/>
    <w:rsid w:val="00377F2E"/>
    <w:rsid w:val="00380ED3"/>
    <w:rsid w:val="003810BC"/>
    <w:rsid w:val="0038137F"/>
    <w:rsid w:val="00381B79"/>
    <w:rsid w:val="00382603"/>
    <w:rsid w:val="00383069"/>
    <w:rsid w:val="00383318"/>
    <w:rsid w:val="00387238"/>
    <w:rsid w:val="00390BA7"/>
    <w:rsid w:val="00390DF4"/>
    <w:rsid w:val="003922DB"/>
    <w:rsid w:val="00393172"/>
    <w:rsid w:val="00394516"/>
    <w:rsid w:val="00394A0D"/>
    <w:rsid w:val="003A48B4"/>
    <w:rsid w:val="003A5C86"/>
    <w:rsid w:val="003A60A0"/>
    <w:rsid w:val="003B2D1F"/>
    <w:rsid w:val="003B2D49"/>
    <w:rsid w:val="003B55EE"/>
    <w:rsid w:val="003B5A41"/>
    <w:rsid w:val="003C10E2"/>
    <w:rsid w:val="003C4185"/>
    <w:rsid w:val="003C4D47"/>
    <w:rsid w:val="003C63C4"/>
    <w:rsid w:val="003D351E"/>
    <w:rsid w:val="003D3567"/>
    <w:rsid w:val="003D468C"/>
    <w:rsid w:val="003D5716"/>
    <w:rsid w:val="003D5777"/>
    <w:rsid w:val="003D6311"/>
    <w:rsid w:val="003E276C"/>
    <w:rsid w:val="003E39EC"/>
    <w:rsid w:val="003E7CBC"/>
    <w:rsid w:val="003F2328"/>
    <w:rsid w:val="003F29FD"/>
    <w:rsid w:val="00401C1F"/>
    <w:rsid w:val="00403AFF"/>
    <w:rsid w:val="00405E05"/>
    <w:rsid w:val="004067E7"/>
    <w:rsid w:val="004116A3"/>
    <w:rsid w:val="00420C7E"/>
    <w:rsid w:val="00420E4B"/>
    <w:rsid w:val="00425FD0"/>
    <w:rsid w:val="004271A3"/>
    <w:rsid w:val="0043114F"/>
    <w:rsid w:val="0043137C"/>
    <w:rsid w:val="00434B19"/>
    <w:rsid w:val="00434ED1"/>
    <w:rsid w:val="00437AEC"/>
    <w:rsid w:val="00452993"/>
    <w:rsid w:val="0046299D"/>
    <w:rsid w:val="00463E1C"/>
    <w:rsid w:val="00465A62"/>
    <w:rsid w:val="0046797C"/>
    <w:rsid w:val="00480075"/>
    <w:rsid w:val="004801A1"/>
    <w:rsid w:val="00480E3A"/>
    <w:rsid w:val="00485785"/>
    <w:rsid w:val="00486A14"/>
    <w:rsid w:val="00487207"/>
    <w:rsid w:val="00491637"/>
    <w:rsid w:val="00494ED5"/>
    <w:rsid w:val="004954A1"/>
    <w:rsid w:val="004A6C92"/>
    <w:rsid w:val="004B0400"/>
    <w:rsid w:val="004B107F"/>
    <w:rsid w:val="004B38EA"/>
    <w:rsid w:val="004B5073"/>
    <w:rsid w:val="004B6415"/>
    <w:rsid w:val="004C3446"/>
    <w:rsid w:val="004C41AF"/>
    <w:rsid w:val="004C77D0"/>
    <w:rsid w:val="004D0A80"/>
    <w:rsid w:val="004E28AC"/>
    <w:rsid w:val="004E48C0"/>
    <w:rsid w:val="004F0CA3"/>
    <w:rsid w:val="004F3075"/>
    <w:rsid w:val="004F3EDD"/>
    <w:rsid w:val="00501A41"/>
    <w:rsid w:val="005059BB"/>
    <w:rsid w:val="005071AF"/>
    <w:rsid w:val="00514D62"/>
    <w:rsid w:val="00517937"/>
    <w:rsid w:val="00520920"/>
    <w:rsid w:val="00531236"/>
    <w:rsid w:val="00534F6F"/>
    <w:rsid w:val="00542270"/>
    <w:rsid w:val="005461F6"/>
    <w:rsid w:val="005513D6"/>
    <w:rsid w:val="005537FE"/>
    <w:rsid w:val="00553D0E"/>
    <w:rsid w:val="005618ED"/>
    <w:rsid w:val="00563A1B"/>
    <w:rsid w:val="00564112"/>
    <w:rsid w:val="00565E15"/>
    <w:rsid w:val="00566BCC"/>
    <w:rsid w:val="00570E20"/>
    <w:rsid w:val="00574385"/>
    <w:rsid w:val="00576F7B"/>
    <w:rsid w:val="0058074F"/>
    <w:rsid w:val="00582BCD"/>
    <w:rsid w:val="00585869"/>
    <w:rsid w:val="00585DB3"/>
    <w:rsid w:val="0058774E"/>
    <w:rsid w:val="00587CCA"/>
    <w:rsid w:val="00592C83"/>
    <w:rsid w:val="005A3B90"/>
    <w:rsid w:val="005A653C"/>
    <w:rsid w:val="005A70A5"/>
    <w:rsid w:val="005A76A8"/>
    <w:rsid w:val="005A7865"/>
    <w:rsid w:val="005B343A"/>
    <w:rsid w:val="005B46B8"/>
    <w:rsid w:val="005B7280"/>
    <w:rsid w:val="005C4D4D"/>
    <w:rsid w:val="005D0597"/>
    <w:rsid w:val="005D2D6B"/>
    <w:rsid w:val="005D46E7"/>
    <w:rsid w:val="005E087B"/>
    <w:rsid w:val="005E393C"/>
    <w:rsid w:val="005E5568"/>
    <w:rsid w:val="005E5DB7"/>
    <w:rsid w:val="005E6A0B"/>
    <w:rsid w:val="005E7F74"/>
    <w:rsid w:val="005F65B1"/>
    <w:rsid w:val="0060501D"/>
    <w:rsid w:val="00613BB3"/>
    <w:rsid w:val="00614D2E"/>
    <w:rsid w:val="00622A74"/>
    <w:rsid w:val="00624873"/>
    <w:rsid w:val="00626C18"/>
    <w:rsid w:val="00626FC4"/>
    <w:rsid w:val="00627649"/>
    <w:rsid w:val="00630155"/>
    <w:rsid w:val="006302D1"/>
    <w:rsid w:val="00632912"/>
    <w:rsid w:val="00640690"/>
    <w:rsid w:val="0064220A"/>
    <w:rsid w:val="006425B3"/>
    <w:rsid w:val="006517EE"/>
    <w:rsid w:val="00656EDC"/>
    <w:rsid w:val="0066263D"/>
    <w:rsid w:val="006678EA"/>
    <w:rsid w:val="00671AF3"/>
    <w:rsid w:val="0067430F"/>
    <w:rsid w:val="00674512"/>
    <w:rsid w:val="00674A89"/>
    <w:rsid w:val="0067687E"/>
    <w:rsid w:val="0067757D"/>
    <w:rsid w:val="0068287B"/>
    <w:rsid w:val="006828FA"/>
    <w:rsid w:val="0068338A"/>
    <w:rsid w:val="00684E1F"/>
    <w:rsid w:val="006933DC"/>
    <w:rsid w:val="00696C0F"/>
    <w:rsid w:val="00696FA9"/>
    <w:rsid w:val="006A0217"/>
    <w:rsid w:val="006A16FD"/>
    <w:rsid w:val="006A19D8"/>
    <w:rsid w:val="006A5D48"/>
    <w:rsid w:val="006B64A5"/>
    <w:rsid w:val="006C2796"/>
    <w:rsid w:val="006C6EE3"/>
    <w:rsid w:val="006D1AE8"/>
    <w:rsid w:val="006D2117"/>
    <w:rsid w:val="006D4853"/>
    <w:rsid w:val="006D63C4"/>
    <w:rsid w:val="006E0470"/>
    <w:rsid w:val="006E38E6"/>
    <w:rsid w:val="006E484B"/>
    <w:rsid w:val="006F22FD"/>
    <w:rsid w:val="006F24C0"/>
    <w:rsid w:val="006F3CC8"/>
    <w:rsid w:val="006F4F7F"/>
    <w:rsid w:val="006F7A3A"/>
    <w:rsid w:val="00700FE8"/>
    <w:rsid w:val="0070123D"/>
    <w:rsid w:val="00705017"/>
    <w:rsid w:val="0070703D"/>
    <w:rsid w:val="00707FD7"/>
    <w:rsid w:val="007118FB"/>
    <w:rsid w:val="00711C1A"/>
    <w:rsid w:val="00712159"/>
    <w:rsid w:val="00715284"/>
    <w:rsid w:val="00717B52"/>
    <w:rsid w:val="00722227"/>
    <w:rsid w:val="0072402F"/>
    <w:rsid w:val="007351DF"/>
    <w:rsid w:val="00742779"/>
    <w:rsid w:val="0074342B"/>
    <w:rsid w:val="00746AC6"/>
    <w:rsid w:val="00750008"/>
    <w:rsid w:val="007535BA"/>
    <w:rsid w:val="00761EC5"/>
    <w:rsid w:val="00772BDC"/>
    <w:rsid w:val="00772D1A"/>
    <w:rsid w:val="00774094"/>
    <w:rsid w:val="00775B9F"/>
    <w:rsid w:val="00775F57"/>
    <w:rsid w:val="00780B98"/>
    <w:rsid w:val="00781CFE"/>
    <w:rsid w:val="00792344"/>
    <w:rsid w:val="007935F0"/>
    <w:rsid w:val="00794262"/>
    <w:rsid w:val="00795521"/>
    <w:rsid w:val="007959BF"/>
    <w:rsid w:val="007A080B"/>
    <w:rsid w:val="007A633E"/>
    <w:rsid w:val="007B10AC"/>
    <w:rsid w:val="007B2470"/>
    <w:rsid w:val="007B4CFA"/>
    <w:rsid w:val="007B4FDD"/>
    <w:rsid w:val="007B6E3C"/>
    <w:rsid w:val="007C75D2"/>
    <w:rsid w:val="007D0DB6"/>
    <w:rsid w:val="007D4CF1"/>
    <w:rsid w:val="007D5B11"/>
    <w:rsid w:val="007D79BB"/>
    <w:rsid w:val="007E0F82"/>
    <w:rsid w:val="007E3642"/>
    <w:rsid w:val="007E543B"/>
    <w:rsid w:val="007F2F72"/>
    <w:rsid w:val="007F51D1"/>
    <w:rsid w:val="007F7E12"/>
    <w:rsid w:val="007F7EF4"/>
    <w:rsid w:val="008022F8"/>
    <w:rsid w:val="008041B9"/>
    <w:rsid w:val="00807427"/>
    <w:rsid w:val="0081131A"/>
    <w:rsid w:val="00811859"/>
    <w:rsid w:val="008119F2"/>
    <w:rsid w:val="00821E43"/>
    <w:rsid w:val="008273C2"/>
    <w:rsid w:val="0083061C"/>
    <w:rsid w:val="00831871"/>
    <w:rsid w:val="008336E4"/>
    <w:rsid w:val="008419D1"/>
    <w:rsid w:val="0084614F"/>
    <w:rsid w:val="00850CB7"/>
    <w:rsid w:val="008511C4"/>
    <w:rsid w:val="008511EC"/>
    <w:rsid w:val="00851D11"/>
    <w:rsid w:val="0085339D"/>
    <w:rsid w:val="00857BC3"/>
    <w:rsid w:val="00857C90"/>
    <w:rsid w:val="008633C2"/>
    <w:rsid w:val="00866560"/>
    <w:rsid w:val="00874A9C"/>
    <w:rsid w:val="00875ECA"/>
    <w:rsid w:val="00876672"/>
    <w:rsid w:val="00891828"/>
    <w:rsid w:val="00894D78"/>
    <w:rsid w:val="0089784F"/>
    <w:rsid w:val="008A4022"/>
    <w:rsid w:val="008A542E"/>
    <w:rsid w:val="008A7548"/>
    <w:rsid w:val="008B0E20"/>
    <w:rsid w:val="008B6AAA"/>
    <w:rsid w:val="008C53CA"/>
    <w:rsid w:val="008C7243"/>
    <w:rsid w:val="008D4A43"/>
    <w:rsid w:val="008E3891"/>
    <w:rsid w:val="008F645F"/>
    <w:rsid w:val="0091148D"/>
    <w:rsid w:val="00912B77"/>
    <w:rsid w:val="00925E83"/>
    <w:rsid w:val="00930892"/>
    <w:rsid w:val="00931390"/>
    <w:rsid w:val="00944254"/>
    <w:rsid w:val="00945617"/>
    <w:rsid w:val="00954B55"/>
    <w:rsid w:val="00956493"/>
    <w:rsid w:val="009623B7"/>
    <w:rsid w:val="00971172"/>
    <w:rsid w:val="00971D99"/>
    <w:rsid w:val="0098059E"/>
    <w:rsid w:val="0098110A"/>
    <w:rsid w:val="00985EE1"/>
    <w:rsid w:val="00987C4D"/>
    <w:rsid w:val="009909CF"/>
    <w:rsid w:val="00991395"/>
    <w:rsid w:val="00993E92"/>
    <w:rsid w:val="009A06B8"/>
    <w:rsid w:val="009B2972"/>
    <w:rsid w:val="009B3268"/>
    <w:rsid w:val="009B36C7"/>
    <w:rsid w:val="009B5C2F"/>
    <w:rsid w:val="009C6D5D"/>
    <w:rsid w:val="009D01DD"/>
    <w:rsid w:val="009D1BE9"/>
    <w:rsid w:val="009D4808"/>
    <w:rsid w:val="009D5C4C"/>
    <w:rsid w:val="009D5C8E"/>
    <w:rsid w:val="009D63BE"/>
    <w:rsid w:val="009E5FE9"/>
    <w:rsid w:val="009E625B"/>
    <w:rsid w:val="009E673D"/>
    <w:rsid w:val="009E7248"/>
    <w:rsid w:val="009F0BEC"/>
    <w:rsid w:val="009F5F58"/>
    <w:rsid w:val="009F7629"/>
    <w:rsid w:val="00A0043D"/>
    <w:rsid w:val="00A0058E"/>
    <w:rsid w:val="00A15450"/>
    <w:rsid w:val="00A1576C"/>
    <w:rsid w:val="00A15951"/>
    <w:rsid w:val="00A21792"/>
    <w:rsid w:val="00A220FB"/>
    <w:rsid w:val="00A22592"/>
    <w:rsid w:val="00A251CB"/>
    <w:rsid w:val="00A25BF0"/>
    <w:rsid w:val="00A25CA9"/>
    <w:rsid w:val="00A32985"/>
    <w:rsid w:val="00A40A37"/>
    <w:rsid w:val="00A40E8C"/>
    <w:rsid w:val="00A4179C"/>
    <w:rsid w:val="00A474F1"/>
    <w:rsid w:val="00A51601"/>
    <w:rsid w:val="00A51798"/>
    <w:rsid w:val="00A52083"/>
    <w:rsid w:val="00A52C91"/>
    <w:rsid w:val="00A543D8"/>
    <w:rsid w:val="00A57F12"/>
    <w:rsid w:val="00A6058E"/>
    <w:rsid w:val="00A7358F"/>
    <w:rsid w:val="00A748DC"/>
    <w:rsid w:val="00A82CB5"/>
    <w:rsid w:val="00A9177F"/>
    <w:rsid w:val="00A97DFA"/>
    <w:rsid w:val="00AA56E9"/>
    <w:rsid w:val="00AA6419"/>
    <w:rsid w:val="00AA754E"/>
    <w:rsid w:val="00AB2011"/>
    <w:rsid w:val="00AB3C84"/>
    <w:rsid w:val="00AC1420"/>
    <w:rsid w:val="00AC77D0"/>
    <w:rsid w:val="00AC7B7B"/>
    <w:rsid w:val="00AD1A82"/>
    <w:rsid w:val="00AD39B5"/>
    <w:rsid w:val="00AD39C6"/>
    <w:rsid w:val="00AD3A26"/>
    <w:rsid w:val="00AD3E0C"/>
    <w:rsid w:val="00AE319A"/>
    <w:rsid w:val="00AE7574"/>
    <w:rsid w:val="00AF12D7"/>
    <w:rsid w:val="00AF2686"/>
    <w:rsid w:val="00B00E82"/>
    <w:rsid w:val="00B0152E"/>
    <w:rsid w:val="00B048BE"/>
    <w:rsid w:val="00B05E19"/>
    <w:rsid w:val="00B0790E"/>
    <w:rsid w:val="00B12391"/>
    <w:rsid w:val="00B215F6"/>
    <w:rsid w:val="00B236BB"/>
    <w:rsid w:val="00B2419A"/>
    <w:rsid w:val="00B26475"/>
    <w:rsid w:val="00B30B13"/>
    <w:rsid w:val="00B37CBF"/>
    <w:rsid w:val="00B42138"/>
    <w:rsid w:val="00B43163"/>
    <w:rsid w:val="00B47B30"/>
    <w:rsid w:val="00B54E78"/>
    <w:rsid w:val="00B55816"/>
    <w:rsid w:val="00B5583F"/>
    <w:rsid w:val="00B636BF"/>
    <w:rsid w:val="00B65284"/>
    <w:rsid w:val="00B66632"/>
    <w:rsid w:val="00B67648"/>
    <w:rsid w:val="00B73E94"/>
    <w:rsid w:val="00B810F7"/>
    <w:rsid w:val="00B81382"/>
    <w:rsid w:val="00B819AA"/>
    <w:rsid w:val="00B81C73"/>
    <w:rsid w:val="00B82417"/>
    <w:rsid w:val="00B82F46"/>
    <w:rsid w:val="00B83735"/>
    <w:rsid w:val="00B839B6"/>
    <w:rsid w:val="00B91722"/>
    <w:rsid w:val="00B97444"/>
    <w:rsid w:val="00B9745C"/>
    <w:rsid w:val="00B97DDD"/>
    <w:rsid w:val="00BA09CA"/>
    <w:rsid w:val="00BA44E8"/>
    <w:rsid w:val="00BA4DA5"/>
    <w:rsid w:val="00BA50E4"/>
    <w:rsid w:val="00BA5E6E"/>
    <w:rsid w:val="00BB38D8"/>
    <w:rsid w:val="00BB5ACD"/>
    <w:rsid w:val="00BB605F"/>
    <w:rsid w:val="00BB6D05"/>
    <w:rsid w:val="00BC0FCB"/>
    <w:rsid w:val="00BC4306"/>
    <w:rsid w:val="00BC4428"/>
    <w:rsid w:val="00BC46C9"/>
    <w:rsid w:val="00BC5153"/>
    <w:rsid w:val="00BC6D1C"/>
    <w:rsid w:val="00BD7625"/>
    <w:rsid w:val="00BE0B5A"/>
    <w:rsid w:val="00BE4DBA"/>
    <w:rsid w:val="00BE5854"/>
    <w:rsid w:val="00BE5FC3"/>
    <w:rsid w:val="00BF440E"/>
    <w:rsid w:val="00BF5627"/>
    <w:rsid w:val="00BF65FC"/>
    <w:rsid w:val="00BF7573"/>
    <w:rsid w:val="00C01982"/>
    <w:rsid w:val="00C02D25"/>
    <w:rsid w:val="00C07B7D"/>
    <w:rsid w:val="00C10B0D"/>
    <w:rsid w:val="00C112B0"/>
    <w:rsid w:val="00C17DB4"/>
    <w:rsid w:val="00C229E3"/>
    <w:rsid w:val="00C2550B"/>
    <w:rsid w:val="00C25FAF"/>
    <w:rsid w:val="00C26522"/>
    <w:rsid w:val="00C315B8"/>
    <w:rsid w:val="00C34B67"/>
    <w:rsid w:val="00C40453"/>
    <w:rsid w:val="00C40DF4"/>
    <w:rsid w:val="00C41C05"/>
    <w:rsid w:val="00C459D5"/>
    <w:rsid w:val="00C47191"/>
    <w:rsid w:val="00C514A4"/>
    <w:rsid w:val="00C5573E"/>
    <w:rsid w:val="00C6005C"/>
    <w:rsid w:val="00C60613"/>
    <w:rsid w:val="00C67B09"/>
    <w:rsid w:val="00C700BA"/>
    <w:rsid w:val="00C71B69"/>
    <w:rsid w:val="00C71CC6"/>
    <w:rsid w:val="00C7200A"/>
    <w:rsid w:val="00C7253E"/>
    <w:rsid w:val="00C740B8"/>
    <w:rsid w:val="00C85D2E"/>
    <w:rsid w:val="00C860EA"/>
    <w:rsid w:val="00C864D2"/>
    <w:rsid w:val="00C86AB5"/>
    <w:rsid w:val="00C8720D"/>
    <w:rsid w:val="00C90F22"/>
    <w:rsid w:val="00C917B9"/>
    <w:rsid w:val="00C91AB8"/>
    <w:rsid w:val="00C925F7"/>
    <w:rsid w:val="00C94A5B"/>
    <w:rsid w:val="00C952C0"/>
    <w:rsid w:val="00C95362"/>
    <w:rsid w:val="00C95A65"/>
    <w:rsid w:val="00C95E57"/>
    <w:rsid w:val="00C9654B"/>
    <w:rsid w:val="00CA3719"/>
    <w:rsid w:val="00CA55AE"/>
    <w:rsid w:val="00CB207F"/>
    <w:rsid w:val="00CC1516"/>
    <w:rsid w:val="00CC5AE1"/>
    <w:rsid w:val="00CD00C3"/>
    <w:rsid w:val="00CD0C84"/>
    <w:rsid w:val="00CD225D"/>
    <w:rsid w:val="00CD3294"/>
    <w:rsid w:val="00CD6B83"/>
    <w:rsid w:val="00CD7A9D"/>
    <w:rsid w:val="00CE0054"/>
    <w:rsid w:val="00CE41DF"/>
    <w:rsid w:val="00CF0541"/>
    <w:rsid w:val="00CF4DCD"/>
    <w:rsid w:val="00CF5CE4"/>
    <w:rsid w:val="00D02329"/>
    <w:rsid w:val="00D04E22"/>
    <w:rsid w:val="00D10FE8"/>
    <w:rsid w:val="00D14249"/>
    <w:rsid w:val="00D15387"/>
    <w:rsid w:val="00D157F1"/>
    <w:rsid w:val="00D27A7D"/>
    <w:rsid w:val="00D34958"/>
    <w:rsid w:val="00D37F6B"/>
    <w:rsid w:val="00D401B6"/>
    <w:rsid w:val="00D412C7"/>
    <w:rsid w:val="00D4374D"/>
    <w:rsid w:val="00D446AD"/>
    <w:rsid w:val="00D5543E"/>
    <w:rsid w:val="00D554CB"/>
    <w:rsid w:val="00D56350"/>
    <w:rsid w:val="00D61E02"/>
    <w:rsid w:val="00D62465"/>
    <w:rsid w:val="00D628EB"/>
    <w:rsid w:val="00D6525E"/>
    <w:rsid w:val="00D67A63"/>
    <w:rsid w:val="00D7541C"/>
    <w:rsid w:val="00D8136A"/>
    <w:rsid w:val="00D86B02"/>
    <w:rsid w:val="00DA54D2"/>
    <w:rsid w:val="00DA5DFD"/>
    <w:rsid w:val="00DB6A30"/>
    <w:rsid w:val="00DC5131"/>
    <w:rsid w:val="00DD09EC"/>
    <w:rsid w:val="00DD166C"/>
    <w:rsid w:val="00DD4940"/>
    <w:rsid w:val="00DD56BA"/>
    <w:rsid w:val="00DE338B"/>
    <w:rsid w:val="00DE3D33"/>
    <w:rsid w:val="00DF257B"/>
    <w:rsid w:val="00DF57F8"/>
    <w:rsid w:val="00DF7A56"/>
    <w:rsid w:val="00E00353"/>
    <w:rsid w:val="00E01159"/>
    <w:rsid w:val="00E0742D"/>
    <w:rsid w:val="00E21745"/>
    <w:rsid w:val="00E21ECF"/>
    <w:rsid w:val="00E220A2"/>
    <w:rsid w:val="00E24144"/>
    <w:rsid w:val="00E352C1"/>
    <w:rsid w:val="00E41F5F"/>
    <w:rsid w:val="00E42011"/>
    <w:rsid w:val="00E4443F"/>
    <w:rsid w:val="00E473F0"/>
    <w:rsid w:val="00E502D3"/>
    <w:rsid w:val="00E56BD4"/>
    <w:rsid w:val="00E613CE"/>
    <w:rsid w:val="00E6184B"/>
    <w:rsid w:val="00E64E9F"/>
    <w:rsid w:val="00E718D1"/>
    <w:rsid w:val="00E7311A"/>
    <w:rsid w:val="00E74C1C"/>
    <w:rsid w:val="00E7767E"/>
    <w:rsid w:val="00E84657"/>
    <w:rsid w:val="00E9085E"/>
    <w:rsid w:val="00E913BA"/>
    <w:rsid w:val="00E91CA6"/>
    <w:rsid w:val="00E94793"/>
    <w:rsid w:val="00EA7886"/>
    <w:rsid w:val="00EB2EB4"/>
    <w:rsid w:val="00EB6AD6"/>
    <w:rsid w:val="00EC45C9"/>
    <w:rsid w:val="00ED0BE9"/>
    <w:rsid w:val="00ED488F"/>
    <w:rsid w:val="00ED636C"/>
    <w:rsid w:val="00EE3A5D"/>
    <w:rsid w:val="00EE5043"/>
    <w:rsid w:val="00EF181D"/>
    <w:rsid w:val="00EF1D16"/>
    <w:rsid w:val="00EF2009"/>
    <w:rsid w:val="00EF68FA"/>
    <w:rsid w:val="00EF72C7"/>
    <w:rsid w:val="00F0070D"/>
    <w:rsid w:val="00F03A4D"/>
    <w:rsid w:val="00F07A96"/>
    <w:rsid w:val="00F104CE"/>
    <w:rsid w:val="00F10746"/>
    <w:rsid w:val="00F12D12"/>
    <w:rsid w:val="00F14AC2"/>
    <w:rsid w:val="00F17722"/>
    <w:rsid w:val="00F179E3"/>
    <w:rsid w:val="00F213E9"/>
    <w:rsid w:val="00F23CAE"/>
    <w:rsid w:val="00F25A95"/>
    <w:rsid w:val="00F26667"/>
    <w:rsid w:val="00F3126C"/>
    <w:rsid w:val="00F4498C"/>
    <w:rsid w:val="00F455B5"/>
    <w:rsid w:val="00F45A50"/>
    <w:rsid w:val="00F527D9"/>
    <w:rsid w:val="00F56375"/>
    <w:rsid w:val="00F60C6E"/>
    <w:rsid w:val="00F6156A"/>
    <w:rsid w:val="00F66884"/>
    <w:rsid w:val="00F80F54"/>
    <w:rsid w:val="00F841A6"/>
    <w:rsid w:val="00F86973"/>
    <w:rsid w:val="00F94F88"/>
    <w:rsid w:val="00FA1816"/>
    <w:rsid w:val="00FA19E3"/>
    <w:rsid w:val="00FA6B0F"/>
    <w:rsid w:val="00FA73D0"/>
    <w:rsid w:val="00FA756C"/>
    <w:rsid w:val="00FB0586"/>
    <w:rsid w:val="00FB1D8A"/>
    <w:rsid w:val="00FB7508"/>
    <w:rsid w:val="00FC0140"/>
    <w:rsid w:val="00FC6954"/>
    <w:rsid w:val="00FD032C"/>
    <w:rsid w:val="00FD1B8A"/>
    <w:rsid w:val="00FD28F1"/>
    <w:rsid w:val="00FE09F1"/>
    <w:rsid w:val="00FE2007"/>
    <w:rsid w:val="00FF5D3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32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32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32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43D"/>
  </w:style>
  <w:style w:type="paragraph" w:styleId="Rodap">
    <w:name w:val="footer"/>
    <w:basedOn w:val="Normal"/>
    <w:link w:val="RodapChar"/>
    <w:uiPriority w:val="99"/>
    <w:unhideWhenUsed/>
    <w:rsid w:val="00A0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43D"/>
  </w:style>
  <w:style w:type="paragraph" w:styleId="Textodebalo">
    <w:name w:val="Balloon Text"/>
    <w:basedOn w:val="Normal"/>
    <w:link w:val="TextodebaloChar"/>
    <w:uiPriority w:val="99"/>
    <w:semiHidden/>
    <w:unhideWhenUsed/>
    <w:rsid w:val="009B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6D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4DC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007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32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32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32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43D"/>
  </w:style>
  <w:style w:type="paragraph" w:styleId="Rodap">
    <w:name w:val="footer"/>
    <w:basedOn w:val="Normal"/>
    <w:link w:val="RodapChar"/>
    <w:uiPriority w:val="99"/>
    <w:unhideWhenUsed/>
    <w:rsid w:val="00A0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43D"/>
  </w:style>
  <w:style w:type="paragraph" w:styleId="Textodebalo">
    <w:name w:val="Balloon Text"/>
    <w:basedOn w:val="Normal"/>
    <w:link w:val="TextodebaloChar"/>
    <w:uiPriority w:val="99"/>
    <w:semiHidden/>
    <w:unhideWhenUsed/>
    <w:rsid w:val="009B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6D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4DC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00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F9B1-5E3D-4F61-BD15-FA4C8836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10484</Words>
  <Characters>56616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Ruiz</dc:creator>
  <cp:lastModifiedBy>eliana</cp:lastModifiedBy>
  <cp:revision>2</cp:revision>
  <cp:lastPrinted>2019-11-12T23:01:00Z</cp:lastPrinted>
  <dcterms:created xsi:type="dcterms:W3CDTF">2020-03-16T21:08:00Z</dcterms:created>
  <dcterms:modified xsi:type="dcterms:W3CDTF">2020-03-16T21:08:00Z</dcterms:modified>
</cp:coreProperties>
</file>