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76" w:rsidRPr="001017A6" w:rsidRDefault="00895866" w:rsidP="00016325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Termo de Abertura de Projeto de Parceria</w:t>
      </w:r>
    </w:p>
    <w:p w:rsidR="00A03276" w:rsidRPr="001017A6" w:rsidRDefault="00A03276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A03276" w:rsidRPr="00140C65" w:rsidRDefault="00140C65" w:rsidP="00A03276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Título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03276" w:rsidRPr="001017A6" w:rsidTr="007A68EC">
        <w:tc>
          <w:tcPr>
            <w:tcW w:w="10774" w:type="dxa"/>
          </w:tcPr>
          <w:p w:rsidR="00F52E0D" w:rsidRPr="00C30B8C" w:rsidRDefault="00C30B8C" w:rsidP="007A68EC">
            <w:pPr>
              <w:pStyle w:val="NormalWeb"/>
              <w:rPr>
                <w:rFonts w:ascii="Arial Narrow" w:hAnsi="Arial Narrow"/>
                <w:lang w:val="pt-BR"/>
              </w:rPr>
            </w:pPr>
            <w:r w:rsidRPr="00C30B8C">
              <w:rPr>
                <w:rFonts w:ascii="Arial Narrow" w:hAnsi="Arial Narrow"/>
                <w:lang w:val="pt-BR"/>
              </w:rPr>
              <w:t xml:space="preserve">Proposta </w:t>
            </w:r>
            <w:r w:rsidR="00717D57">
              <w:rPr>
                <w:rFonts w:ascii="Arial Narrow" w:hAnsi="Arial Narrow"/>
                <w:lang w:val="pt-BR"/>
              </w:rPr>
              <w:t xml:space="preserve">para </w:t>
            </w:r>
            <w:r w:rsidR="007A68EC">
              <w:rPr>
                <w:rFonts w:ascii="Arial Narrow" w:hAnsi="Arial Narrow"/>
                <w:lang w:val="pt-BR"/>
              </w:rPr>
              <w:t>obtenção de “Selo Verde”</w:t>
            </w:r>
          </w:p>
        </w:tc>
      </w:tr>
    </w:tbl>
    <w:p w:rsidR="00A03276" w:rsidRDefault="00A03276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FD10C3" w:rsidRPr="00140C65" w:rsidRDefault="00240ED8" w:rsidP="00FD10C3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Código - </w:t>
      </w:r>
      <w:r w:rsidR="00FD10C3" w:rsidRPr="00140C65">
        <w:rPr>
          <w:rFonts w:ascii="Arial Narrow" w:hAnsi="Arial Narrow"/>
          <w:b/>
        </w:rPr>
        <w:t xml:space="preserve">Apelido 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40C65" w:rsidRPr="001017A6" w:rsidTr="007A68EC">
        <w:tc>
          <w:tcPr>
            <w:tcW w:w="10774" w:type="dxa"/>
          </w:tcPr>
          <w:p w:rsidR="00140C65" w:rsidRPr="001017A6" w:rsidRDefault="00140C65" w:rsidP="00AA2137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</w:tbl>
    <w:p w:rsidR="00FD10C3" w:rsidRDefault="00FD10C3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9A47FB" w:rsidRDefault="009A47FB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F81FEE" w:rsidRPr="001017A6" w:rsidRDefault="00140C65" w:rsidP="00BE244A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7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Problema e projeto</w:t>
      </w:r>
    </w:p>
    <w:p w:rsidR="00F81FEE" w:rsidRDefault="00F81FEE" w:rsidP="00F81FEE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EA209C" w:rsidRPr="00140C65" w:rsidRDefault="00FD10C3" w:rsidP="00F81FEE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Contexto</w:t>
      </w:r>
    </w:p>
    <w:p w:rsidR="007A68EC" w:rsidRPr="007A68EC" w:rsidRDefault="007A68EC" w:rsidP="007A68E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r w:rsidRPr="007A68EC">
        <w:rPr>
          <w:rFonts w:ascii="Arial Narrow" w:hAnsi="Arial Narrow"/>
        </w:rPr>
        <w:t>O Iguatemi São Carlos, inaugurado em 1997, é o segundo shopping da Iguatemi Empresa de Shopping Centers no interior de São Paulo.  Ao longo destes 20 anos, consolidou-se como um espaço privilegiado para compras, entretenimento, lazer, diversão, opções gastronômicas diferenciadas e serviços para toda a região de São Carlos. Seu condomínio comercial conta com aproximadamente 100 espaços comerciais.</w:t>
      </w:r>
    </w:p>
    <w:p w:rsidR="007A68EC" w:rsidRPr="007A68EC" w:rsidRDefault="007A68EC" w:rsidP="007A68E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r w:rsidRPr="007A68EC">
        <w:rPr>
          <w:rFonts w:ascii="Arial Narrow" w:hAnsi="Arial Narrow"/>
        </w:rPr>
        <w:t xml:space="preserve">A gestão deste complexo comercial impõe vários desafios à administração, que vem trabalhando em diferentes frentes e alcançando reconhecimento em algumas áreas, como é o caso do reconhecimento alcançado como uma das melhores empresas para se trabalhar no Brasil. O Shopping Iguatemi São Carlos, no ano de 2018, ocupou a 3ª colocação no ranking das pequenas e médias empresas do varejo nacional, dentre 154 inscritas. A classificação foi anunciada pelo instituto </w:t>
      </w:r>
      <w:proofErr w:type="spellStart"/>
      <w:r w:rsidRPr="007A68EC">
        <w:rPr>
          <w:rFonts w:ascii="Arial Narrow" w:hAnsi="Arial Narrow"/>
        </w:rPr>
        <w:t>Great</w:t>
      </w:r>
      <w:proofErr w:type="spellEnd"/>
      <w:r w:rsidRPr="007A68EC">
        <w:rPr>
          <w:rFonts w:ascii="Arial Narrow" w:hAnsi="Arial Narrow"/>
        </w:rPr>
        <w:t xml:space="preserve"> </w:t>
      </w:r>
      <w:proofErr w:type="spellStart"/>
      <w:r w:rsidRPr="007A68EC">
        <w:rPr>
          <w:rFonts w:ascii="Arial Narrow" w:hAnsi="Arial Narrow"/>
        </w:rPr>
        <w:t>Place</w:t>
      </w:r>
      <w:proofErr w:type="spellEnd"/>
      <w:r w:rsidRPr="007A68EC">
        <w:rPr>
          <w:rFonts w:ascii="Arial Narrow" w:hAnsi="Arial Narrow"/>
        </w:rPr>
        <w:t xml:space="preserve"> </w:t>
      </w:r>
      <w:proofErr w:type="spellStart"/>
      <w:r w:rsidRPr="007A68EC">
        <w:rPr>
          <w:rFonts w:ascii="Arial Narrow" w:hAnsi="Arial Narrow"/>
        </w:rPr>
        <w:t>to</w:t>
      </w:r>
      <w:proofErr w:type="spellEnd"/>
      <w:r w:rsidRPr="007A68EC">
        <w:rPr>
          <w:rFonts w:ascii="Arial Narrow" w:hAnsi="Arial Narrow"/>
        </w:rPr>
        <w:t xml:space="preserve"> </w:t>
      </w:r>
      <w:proofErr w:type="spellStart"/>
      <w:r w:rsidRPr="007A68EC">
        <w:rPr>
          <w:rFonts w:ascii="Arial Narrow" w:hAnsi="Arial Narrow"/>
        </w:rPr>
        <w:t>Work</w:t>
      </w:r>
      <w:proofErr w:type="spellEnd"/>
      <w:r w:rsidRPr="007A68EC">
        <w:rPr>
          <w:rFonts w:ascii="Arial Narrow" w:hAnsi="Arial Narrow"/>
        </w:rPr>
        <w:t xml:space="preserve"> (GPTW), responsável por avaliar o ambiente de trabalho nas organizações em diversos países, em parceria com a Editora Globo.</w:t>
      </w:r>
    </w:p>
    <w:p w:rsidR="007A68EC" w:rsidRPr="007A68EC" w:rsidRDefault="007A68EC" w:rsidP="007A68E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r w:rsidRPr="007A68EC">
        <w:rPr>
          <w:rFonts w:ascii="Arial Narrow" w:hAnsi="Arial Narrow"/>
        </w:rPr>
        <w:t xml:space="preserve">Outra frente atacada pela atual administração, seguindo na linha de uma gestão sustentável (econômica, ambiental e humana), é a implantação de processos de limpeza alternativos (uso sustentável de recursos com eliminação de produtos químicos) e a mudança gradual do sistema de iluminação (sistema de iluminação por lâmpadas LED).  Por meio destas iniciativas, a administração busca uma nova oportunidade de reconhecimento do trabalho executado, visando também a estruturação de uma linha de ações que a conduzam à </w:t>
      </w:r>
      <w:r w:rsidR="00255D9F">
        <w:rPr>
          <w:rFonts w:ascii="Arial Narrow" w:hAnsi="Arial Narrow"/>
        </w:rPr>
        <w:t xml:space="preserve">obtenção de </w:t>
      </w:r>
      <w:r w:rsidRPr="007A68EC">
        <w:rPr>
          <w:rFonts w:ascii="Arial Narrow" w:hAnsi="Arial Narrow"/>
        </w:rPr>
        <w:t>um “Selo Verde”, atestando as ações assertivas na dimensão ambiental.</w:t>
      </w:r>
    </w:p>
    <w:p w:rsidR="009A47FB" w:rsidRDefault="009A47FB" w:rsidP="00C56E9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A03276" w:rsidRPr="00140C65" w:rsidRDefault="00140C65" w:rsidP="00C56E9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Objetivos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03276" w:rsidRPr="001017A6" w:rsidTr="007A68EC">
        <w:tc>
          <w:tcPr>
            <w:tcW w:w="10774" w:type="dxa"/>
          </w:tcPr>
          <w:p w:rsidR="00A03276" w:rsidRPr="001017A6" w:rsidRDefault="00CD21F0" w:rsidP="00857EA5">
            <w:pPr>
              <w:tabs>
                <w:tab w:val="left" w:pos="27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Desenvolver </w:t>
            </w:r>
            <w:r w:rsidR="003D21F0">
              <w:rPr>
                <w:rFonts w:ascii="Arial Narrow" w:hAnsi="Arial Narrow"/>
              </w:rPr>
              <w:t xml:space="preserve">uma análise </w:t>
            </w:r>
            <w:r w:rsidR="008E2721">
              <w:rPr>
                <w:rFonts w:ascii="Arial Narrow" w:hAnsi="Arial Narrow"/>
              </w:rPr>
              <w:t xml:space="preserve">para a identificação </w:t>
            </w:r>
            <w:r w:rsidR="00857EA5">
              <w:rPr>
                <w:rFonts w:ascii="Arial Narrow" w:hAnsi="Arial Narrow"/>
              </w:rPr>
              <w:t>e sele</w:t>
            </w:r>
            <w:r w:rsidR="008E2721">
              <w:rPr>
                <w:rFonts w:ascii="Arial Narrow" w:hAnsi="Arial Narrow"/>
              </w:rPr>
              <w:t xml:space="preserve">ção </w:t>
            </w:r>
            <w:r w:rsidR="00857EA5">
              <w:rPr>
                <w:rFonts w:ascii="Arial Narrow" w:hAnsi="Arial Narrow"/>
              </w:rPr>
              <w:t xml:space="preserve">de </w:t>
            </w:r>
            <w:r w:rsidR="008E2721">
              <w:rPr>
                <w:rFonts w:ascii="Arial Narrow" w:hAnsi="Arial Narrow"/>
              </w:rPr>
              <w:t>um dos Selos Verdes oferecidos pelo mercado</w:t>
            </w:r>
            <w:r w:rsidR="00857EA5">
              <w:rPr>
                <w:rFonts w:ascii="Arial Narrow" w:hAnsi="Arial Narrow"/>
              </w:rPr>
              <w:t xml:space="preserve"> </w:t>
            </w:r>
            <w:r w:rsidR="008E2721">
              <w:rPr>
                <w:rFonts w:ascii="Arial Narrow" w:hAnsi="Arial Narrow"/>
              </w:rPr>
              <w:t>a serem conquistados pelo Shopping, levando em conta as atuais iniciativas de sustentabilidade implantadas e requisitos adicionais a serem implantados</w:t>
            </w:r>
            <w:r w:rsidR="00857EA5">
              <w:rPr>
                <w:rFonts w:ascii="Arial Narrow" w:hAnsi="Arial Narrow"/>
              </w:rPr>
              <w:t xml:space="preserve"> (barreiras e facilitadores)</w:t>
            </w:r>
            <w:r w:rsidR="008E2721">
              <w:rPr>
                <w:rFonts w:ascii="Arial Narrow" w:hAnsi="Arial Narrow"/>
              </w:rPr>
              <w:t xml:space="preserve">. </w:t>
            </w:r>
          </w:p>
        </w:tc>
      </w:tr>
    </w:tbl>
    <w:p w:rsidR="00C40F30" w:rsidRDefault="00C40F30" w:rsidP="00C56E9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140C65" w:rsidRPr="00140C65" w:rsidRDefault="00140C65" w:rsidP="00140C65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Partes envolvidas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3544"/>
        <w:gridCol w:w="1843"/>
        <w:gridCol w:w="2268"/>
        <w:gridCol w:w="3119"/>
      </w:tblGrid>
      <w:tr w:rsidR="00DD663D" w:rsidRPr="00FD10C3" w:rsidTr="009A47FB">
        <w:tc>
          <w:tcPr>
            <w:tcW w:w="3544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 w:rsidRPr="00FD10C3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1843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Nomes</w:t>
            </w:r>
          </w:p>
        </w:tc>
        <w:tc>
          <w:tcPr>
            <w:tcW w:w="2268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 w:rsidRPr="00FD10C3">
              <w:rPr>
                <w:rFonts w:ascii="Arial Narrow" w:hAnsi="Arial Narrow"/>
                <w:b/>
              </w:rPr>
              <w:t>Papéis</w:t>
            </w:r>
          </w:p>
        </w:tc>
        <w:tc>
          <w:tcPr>
            <w:tcW w:w="3119" w:type="dxa"/>
          </w:tcPr>
          <w:p w:rsidR="00DD663D" w:rsidRPr="00FD10C3" w:rsidRDefault="001A050A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Contatos</w:t>
            </w:r>
          </w:p>
        </w:tc>
      </w:tr>
      <w:tr w:rsidR="00DD663D" w:rsidRPr="001017A6" w:rsidTr="009A47FB">
        <w:tc>
          <w:tcPr>
            <w:tcW w:w="3544" w:type="dxa"/>
          </w:tcPr>
          <w:p w:rsidR="00DD663D" w:rsidRPr="001017A6" w:rsidRDefault="007A68EC" w:rsidP="007A68EC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Shopping Iguatemi – Gerente de Manutenção</w:t>
            </w:r>
          </w:p>
        </w:tc>
        <w:tc>
          <w:tcPr>
            <w:tcW w:w="1843" w:type="dxa"/>
          </w:tcPr>
          <w:p w:rsidR="00DD663D" w:rsidRDefault="009A47FB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Everton Sabino</w:t>
            </w:r>
          </w:p>
        </w:tc>
        <w:tc>
          <w:tcPr>
            <w:tcW w:w="2268" w:type="dxa"/>
          </w:tcPr>
          <w:p w:rsidR="00DD663D" w:rsidRDefault="009A47FB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Suporte focal</w:t>
            </w:r>
          </w:p>
        </w:tc>
        <w:tc>
          <w:tcPr>
            <w:tcW w:w="3119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9A47FB" w:rsidRPr="001017A6" w:rsidTr="009A47FB">
        <w:tc>
          <w:tcPr>
            <w:tcW w:w="3544" w:type="dxa"/>
          </w:tcPr>
          <w:p w:rsidR="009A47FB" w:rsidRPr="001017A6" w:rsidRDefault="009A47FB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Shopping Iguatemi – Gerente Geral</w:t>
            </w:r>
          </w:p>
        </w:tc>
        <w:tc>
          <w:tcPr>
            <w:tcW w:w="1843" w:type="dxa"/>
          </w:tcPr>
          <w:p w:rsidR="009A47FB" w:rsidRPr="009A47FB" w:rsidRDefault="009A47FB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9A47FB">
              <w:rPr>
                <w:rFonts w:ascii="Arial Narrow" w:hAnsi="Arial Narrow" w:cs="Calibri"/>
                <w:bCs/>
                <w:color w:val="333333"/>
                <w:bdr w:val="none" w:sz="0" w:space="0" w:color="auto" w:frame="1"/>
                <w:shd w:val="clear" w:color="auto" w:fill="FFFFFF"/>
              </w:rPr>
              <w:t>Vinícius Luiz Borges Molina</w:t>
            </w:r>
          </w:p>
        </w:tc>
        <w:tc>
          <w:tcPr>
            <w:tcW w:w="2268" w:type="dxa"/>
          </w:tcPr>
          <w:p w:rsidR="009A47FB" w:rsidRDefault="009A47FB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Sponsor</w:t>
            </w:r>
            <w:proofErr w:type="spellEnd"/>
          </w:p>
        </w:tc>
        <w:tc>
          <w:tcPr>
            <w:tcW w:w="3119" w:type="dxa"/>
          </w:tcPr>
          <w:p w:rsidR="009A47FB" w:rsidRDefault="009A47FB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9A47FB">
        <w:tc>
          <w:tcPr>
            <w:tcW w:w="3544" w:type="dxa"/>
          </w:tcPr>
          <w:p w:rsidR="00DD663D" w:rsidRDefault="00DD663D" w:rsidP="006C72A9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DD663D" w:rsidRDefault="00DD663D" w:rsidP="00832289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9A47FB">
        <w:tc>
          <w:tcPr>
            <w:tcW w:w="3544" w:type="dxa"/>
          </w:tcPr>
          <w:p w:rsidR="00DD663D" w:rsidRDefault="00DD663D" w:rsidP="006C72A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Coordenadores da disciplina SEP0625 </w:t>
            </w:r>
          </w:p>
        </w:tc>
        <w:tc>
          <w:tcPr>
            <w:tcW w:w="1843" w:type="dxa"/>
          </w:tcPr>
          <w:p w:rsidR="00DD663D" w:rsidRDefault="00DD663D" w:rsidP="0083228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Marcel Musetti e Mateus Gerolamo</w:t>
            </w:r>
          </w:p>
        </w:tc>
        <w:tc>
          <w:tcPr>
            <w:tcW w:w="2268" w:type="dxa"/>
          </w:tcPr>
          <w:p w:rsidR="00DD663D" w:rsidRDefault="00255D9F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D80203">
              <w:rPr>
                <w:rFonts w:ascii="Arial Narrow" w:hAnsi="Arial Narrow"/>
              </w:rPr>
              <w:t>Coordenadores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F03C0" w:rsidRDefault="00DF03C0" w:rsidP="00DF03C0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9D4B07">
              <w:rPr>
                <w:rFonts w:ascii="Arial Narrow" w:hAnsi="Arial Narrow"/>
              </w:rPr>
              <w:t>musetti@sc.usp.br</w:t>
            </w:r>
          </w:p>
          <w:p w:rsidR="00DD663D" w:rsidRDefault="00DF03C0" w:rsidP="00DF03C0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gerolamo@sc.usp.br</w:t>
            </w:r>
          </w:p>
        </w:tc>
      </w:tr>
      <w:tr w:rsidR="00DD663D" w:rsidRPr="001017A6" w:rsidTr="009A47FB">
        <w:tc>
          <w:tcPr>
            <w:tcW w:w="3544" w:type="dxa"/>
          </w:tcPr>
          <w:p w:rsidR="00DD663D" w:rsidRDefault="00DD663D" w:rsidP="00490037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estudantes disciplina SEP0625</w:t>
            </w:r>
          </w:p>
        </w:tc>
        <w:tc>
          <w:tcPr>
            <w:tcW w:w="1843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268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projeto</w:t>
            </w:r>
          </w:p>
        </w:tc>
        <w:tc>
          <w:tcPr>
            <w:tcW w:w="3119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9A47FB">
        <w:tc>
          <w:tcPr>
            <w:tcW w:w="3544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 acadêmico</w:t>
            </w:r>
          </w:p>
        </w:tc>
        <w:tc>
          <w:tcPr>
            <w:tcW w:w="1843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268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Apoio acadêmico e orientação sobre gestão</w:t>
            </w:r>
          </w:p>
        </w:tc>
        <w:tc>
          <w:tcPr>
            <w:tcW w:w="3119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9A47FB">
        <w:tc>
          <w:tcPr>
            <w:tcW w:w="3544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professores</w:t>
            </w:r>
          </w:p>
        </w:tc>
        <w:tc>
          <w:tcPr>
            <w:tcW w:w="1843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268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Disciplinas temáticas</w:t>
            </w:r>
          </w:p>
        </w:tc>
        <w:tc>
          <w:tcPr>
            <w:tcW w:w="3119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</w:tbl>
    <w:p w:rsidR="00140C65" w:rsidRDefault="00140C65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895866" w:rsidRPr="00140C65" w:rsidRDefault="00895866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Número de equipes</w:t>
      </w:r>
      <w:r w:rsidR="00140C65" w:rsidRPr="00140C65">
        <w:rPr>
          <w:rFonts w:ascii="Arial Narrow" w:hAnsi="Arial Narrow"/>
          <w:b/>
        </w:rPr>
        <w:t xml:space="preserve"> alocadas</w:t>
      </w:r>
    </w:p>
    <w:p w:rsidR="00895866" w:rsidRDefault="009A47FB" w:rsidP="00895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Duas e</w:t>
      </w:r>
      <w:r w:rsidR="00490037">
        <w:rPr>
          <w:rFonts w:ascii="Arial Narrow" w:hAnsi="Arial Narrow"/>
        </w:rPr>
        <w:t>quipes de estudantes</w:t>
      </w:r>
    </w:p>
    <w:p w:rsidR="009A47FB" w:rsidRDefault="009A47F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40C65" w:rsidRPr="001017A6" w:rsidRDefault="00140C65" w:rsidP="00140C65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Resultados, premissas e restrições</w:t>
      </w:r>
    </w:p>
    <w:p w:rsidR="007B41DC" w:rsidRDefault="007B41DC" w:rsidP="00140C65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140C65" w:rsidRPr="00140C65" w:rsidRDefault="00140C65" w:rsidP="00140C65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 xml:space="preserve">Resultados </w:t>
      </w:r>
      <w:r>
        <w:rPr>
          <w:rFonts w:ascii="Arial Narrow" w:hAnsi="Arial Narrow"/>
          <w:b/>
        </w:rPr>
        <w:t xml:space="preserve">potenciais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0C65" w:rsidRPr="001017A6" w:rsidTr="00BE244A">
        <w:tc>
          <w:tcPr>
            <w:tcW w:w="9918" w:type="dxa"/>
          </w:tcPr>
          <w:p w:rsidR="00140C65" w:rsidRDefault="00832289" w:rsidP="00832289">
            <w:pPr>
              <w:pStyle w:val="PargrafodaLista"/>
              <w:numPr>
                <w:ilvl w:val="0"/>
                <w:numId w:val="8"/>
              </w:num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Detalhamento após a definição do objetivo:</w:t>
            </w:r>
          </w:p>
          <w:p w:rsid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 w:rsidRPr="00832289">
              <w:rPr>
                <w:rFonts w:ascii="Arial Narrow" w:hAnsi="Arial Narrow"/>
              </w:rPr>
              <w:t>1....</w:t>
            </w:r>
          </w:p>
          <w:p w:rsid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2....</w:t>
            </w:r>
          </w:p>
          <w:p w:rsidR="00832289" w:rsidRP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3.....</w:t>
            </w:r>
          </w:p>
        </w:tc>
      </w:tr>
    </w:tbl>
    <w:p w:rsidR="00140C65" w:rsidRDefault="00140C65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685E97" w:rsidRPr="00140C65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Valor para a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85E97" w:rsidRPr="001017A6" w:rsidTr="007A68EC">
        <w:tc>
          <w:tcPr>
            <w:tcW w:w="9918" w:type="dxa"/>
          </w:tcPr>
          <w:p w:rsidR="00685E97" w:rsidRPr="001017A6" w:rsidRDefault="00685E97" w:rsidP="00DD6D02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D53997">
              <w:rPr>
                <w:rFonts w:ascii="Arial Narrow" w:hAnsi="Arial Narrow"/>
              </w:rPr>
              <w:t xml:space="preserve">O principal valor para a empresa </w:t>
            </w:r>
            <w:r w:rsidR="009A47FB">
              <w:rPr>
                <w:rFonts w:ascii="Arial Narrow" w:hAnsi="Arial Narrow"/>
              </w:rPr>
              <w:t xml:space="preserve">parceira </w:t>
            </w:r>
            <w:r w:rsidRPr="00D53997">
              <w:rPr>
                <w:rFonts w:ascii="Arial Narrow" w:hAnsi="Arial Narrow"/>
              </w:rPr>
              <w:t>será a qualidade das análises e a obtenção de uma lista de ações</w:t>
            </w:r>
            <w:r w:rsidR="009A47FB">
              <w:rPr>
                <w:rFonts w:ascii="Arial Narrow" w:hAnsi="Arial Narrow"/>
              </w:rPr>
              <w:t xml:space="preserve"> (proposição de solução)</w:t>
            </w:r>
            <w:r w:rsidRPr="00D53997">
              <w:rPr>
                <w:rFonts w:ascii="Arial Narrow" w:hAnsi="Arial Narrow"/>
              </w:rPr>
              <w:t xml:space="preserve"> que podem ser de curto e médio prazo, para que possam ser implementadas.  Quanto mais viáveis e de simples adoção, maior valor para a empresa</w:t>
            </w:r>
            <w:r w:rsidRPr="00D53997">
              <w:rPr>
                <w:rFonts w:ascii="Arial Narrow" w:hAnsi="Arial Narrow"/>
                <w:color w:val="FF0000"/>
              </w:rPr>
              <w:t>.</w:t>
            </w:r>
          </w:p>
        </w:tc>
      </w:tr>
    </w:tbl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Premissas e restrições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5E97" w:rsidTr="007A68EC">
        <w:tc>
          <w:tcPr>
            <w:tcW w:w="9918" w:type="dxa"/>
          </w:tcPr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soluções propostas deverão respeitar restrições de momento apresentadas pela empresa;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Este projeto a ser desenvolvido será replicado, isso é, será desenvolvido de maneira paralela por duas equipes em função da quantidade de possibilidades de solução a serem exploradas;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duas equipes podem atuar juntas, principalmente na coleta dos dados para evitar redundâncias e duplicação de esforços pelos profissionais da empresa; </w:t>
            </w:r>
          </w:p>
          <w:p w:rsidR="00685E97" w:rsidRPr="00F114C5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 w:rsidRPr="00F114C5">
              <w:rPr>
                <w:rFonts w:ascii="Arial Narrow" w:hAnsi="Arial Narrow"/>
              </w:rPr>
              <w:t>As análises</w:t>
            </w:r>
            <w:r w:rsidR="009A47FB">
              <w:rPr>
                <w:rFonts w:ascii="Arial Narrow" w:hAnsi="Arial Narrow"/>
              </w:rPr>
              <w:t xml:space="preserve"> </w:t>
            </w:r>
            <w:r w:rsidRPr="00F114C5">
              <w:rPr>
                <w:rFonts w:ascii="Arial Narrow" w:hAnsi="Arial Narrow"/>
              </w:rPr>
              <w:t xml:space="preserve">serão </w:t>
            </w:r>
            <w:r>
              <w:rPr>
                <w:rFonts w:ascii="Arial Narrow" w:hAnsi="Arial Narrow"/>
              </w:rPr>
              <w:t xml:space="preserve">NECESSARIAMENTE </w:t>
            </w:r>
            <w:r w:rsidRPr="00F114C5">
              <w:rPr>
                <w:rFonts w:ascii="Arial Narrow" w:hAnsi="Arial Narrow"/>
              </w:rPr>
              <w:t xml:space="preserve">distintas e realizadas de maneira independente entre as equipes. Isso significa que </w:t>
            </w:r>
            <w:r>
              <w:rPr>
                <w:rFonts w:ascii="Arial Narrow" w:hAnsi="Arial Narrow"/>
              </w:rPr>
              <w:t>a</w:t>
            </w:r>
            <w:r w:rsidRPr="00F114C5">
              <w:rPr>
                <w:rFonts w:ascii="Arial Narrow" w:hAnsi="Arial Narrow"/>
              </w:rPr>
              <w:t xml:space="preserve"> análise, e não os dados, </w:t>
            </w:r>
            <w:r>
              <w:rPr>
                <w:rFonts w:ascii="Arial Narrow" w:hAnsi="Arial Narrow"/>
              </w:rPr>
              <w:t xml:space="preserve">realizada por uma equipe, </w:t>
            </w:r>
            <w:r w:rsidRPr="00F114C5">
              <w:rPr>
                <w:rFonts w:ascii="Arial Narrow" w:hAnsi="Arial Narrow"/>
              </w:rPr>
              <w:t xml:space="preserve">NÃO poderá ser, em hipótese alguma, reutilizada por </w:t>
            </w:r>
            <w:r>
              <w:rPr>
                <w:rFonts w:ascii="Arial Narrow" w:hAnsi="Arial Narrow"/>
              </w:rPr>
              <w:t>outra equipe em seu relatório</w:t>
            </w:r>
            <w:r w:rsidRPr="00F114C5">
              <w:rPr>
                <w:rFonts w:ascii="Arial Narrow" w:hAnsi="Arial Narrow"/>
              </w:rPr>
              <w:t>. As equipes po</w:t>
            </w:r>
            <w:r>
              <w:rPr>
                <w:rFonts w:ascii="Arial Narrow" w:hAnsi="Arial Narrow"/>
              </w:rPr>
              <w:t>derão eventualmente fazer uso das</w:t>
            </w:r>
            <w:r w:rsidRPr="00F114C5">
              <w:rPr>
                <w:rFonts w:ascii="Arial Narrow" w:hAnsi="Arial Narrow"/>
              </w:rPr>
              <w:t xml:space="preserve"> mesma</w:t>
            </w:r>
            <w:r>
              <w:rPr>
                <w:rFonts w:ascii="Arial Narrow" w:hAnsi="Arial Narrow"/>
              </w:rPr>
              <w:t>s</w:t>
            </w:r>
            <w:r w:rsidRPr="00F114C5">
              <w:rPr>
                <w:rFonts w:ascii="Arial Narrow" w:hAnsi="Arial Narrow"/>
              </w:rPr>
              <w:t xml:space="preserve"> técnica</w:t>
            </w:r>
            <w:r>
              <w:rPr>
                <w:rFonts w:ascii="Arial Narrow" w:hAnsi="Arial Narrow"/>
              </w:rPr>
              <w:t>s</w:t>
            </w:r>
            <w:r w:rsidRPr="00F114C5">
              <w:rPr>
                <w:rFonts w:ascii="Arial Narrow" w:hAnsi="Arial Narrow"/>
              </w:rPr>
              <w:t xml:space="preserve">, mas </w:t>
            </w:r>
            <w:r>
              <w:rPr>
                <w:rFonts w:ascii="Arial Narrow" w:hAnsi="Arial Narrow"/>
              </w:rPr>
              <w:t>espera-se</w:t>
            </w:r>
            <w:r w:rsidRPr="00F114C5">
              <w:rPr>
                <w:rFonts w:ascii="Arial Narrow" w:hAnsi="Arial Narrow"/>
              </w:rPr>
              <w:t xml:space="preserve"> execuções independentes e, consequentemente resultados e </w:t>
            </w:r>
            <w:r>
              <w:rPr>
                <w:rFonts w:ascii="Arial Narrow" w:hAnsi="Arial Narrow"/>
              </w:rPr>
              <w:t>conclusões distintas</w:t>
            </w:r>
            <w:r w:rsidRPr="00F114C5">
              <w:rPr>
                <w:rFonts w:ascii="Arial Narrow" w:hAnsi="Arial Narrow"/>
              </w:rPr>
              <w:t xml:space="preserve">. 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equipes poderão identificar medidas de desempenho geral comuns para serem incluídas em seus estudos de forma a facilitar a comparação das duas propostas pela empresa;  </w:t>
            </w:r>
          </w:p>
          <w:p w:rsidR="00685E97" w:rsidRPr="00CB425C" w:rsidRDefault="00685E97" w:rsidP="00685E97">
            <w:pPr>
              <w:pStyle w:val="PargrafodaLista"/>
              <w:numPr>
                <w:ilvl w:val="0"/>
                <w:numId w:val="6"/>
              </w:numPr>
              <w:ind w:left="306" w:hanging="3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 dados identificados poderão ser complementados, com informações de catálogos de equipamentos e de livros técnicos, sempre que necessário.</w:t>
            </w:r>
          </w:p>
        </w:tc>
      </w:tr>
    </w:tbl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D41209" w:rsidRDefault="00D41209" w:rsidP="00614FF6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sectPr w:rsidR="00D41209" w:rsidSect="007A68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3C" w:rsidRDefault="00366D3C" w:rsidP="00484606">
      <w:pPr>
        <w:spacing w:after="0" w:line="240" w:lineRule="auto"/>
      </w:pPr>
      <w:r>
        <w:separator/>
      </w:r>
    </w:p>
  </w:endnote>
  <w:endnote w:type="continuationSeparator" w:id="0">
    <w:p w:rsidR="00366D3C" w:rsidRDefault="00366D3C" w:rsidP="0048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3C" w:rsidRDefault="00366D3C" w:rsidP="00484606">
      <w:pPr>
        <w:spacing w:after="0" w:line="240" w:lineRule="auto"/>
      </w:pPr>
      <w:r>
        <w:separator/>
      </w:r>
    </w:p>
  </w:footnote>
  <w:footnote w:type="continuationSeparator" w:id="0">
    <w:p w:rsidR="00366D3C" w:rsidRDefault="00366D3C" w:rsidP="0048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4"/>
      <w:gridCol w:w="4768"/>
    </w:tblGrid>
    <w:tr w:rsidR="00F10D32" w:rsidTr="007A68EC">
      <w:tc>
        <w:tcPr>
          <w:tcW w:w="5864" w:type="dxa"/>
        </w:tcPr>
        <w:p w:rsidR="00F10D32" w:rsidRDefault="00F10D32" w:rsidP="00F10D32">
          <w:pPr>
            <w:pStyle w:val="Cabealho"/>
          </w:pPr>
          <w:r w:rsidRPr="00F10D32">
            <w:rPr>
              <w:noProof/>
              <w:lang w:eastAsia="pt-BR"/>
            </w:rPr>
            <w:drawing>
              <wp:inline distT="0" distB="0" distL="0" distR="0">
                <wp:extent cx="2771775" cy="717715"/>
                <wp:effectExtent l="0" t="0" r="0" b="635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esc_horizontal_com_subtitulo_portugues_s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449" cy="717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8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56"/>
          </w:tblGrid>
          <w:tr w:rsidR="006A085F" w:rsidRPr="00F10D32" w:rsidTr="009B76E5">
            <w:tc>
              <w:tcPr>
                <w:tcW w:w="2856" w:type="dxa"/>
              </w:tcPr>
              <w:p w:rsidR="006A085F" w:rsidRPr="00F10D32" w:rsidRDefault="006A085F" w:rsidP="009B76E5">
                <w:pPr>
                  <w:pStyle w:val="Cabealho"/>
                  <w:jc w:val="center"/>
                  <w:rPr>
                    <w:noProof/>
                    <w:lang w:val="en-US"/>
                  </w:rPr>
                </w:pPr>
              </w:p>
            </w:tc>
          </w:tr>
        </w:tbl>
        <w:p w:rsidR="00F10D32" w:rsidRPr="00F10D32" w:rsidRDefault="008E2721" w:rsidP="007A68EC">
          <w:pPr>
            <w:pStyle w:val="Cabealho"/>
            <w:tabs>
              <w:tab w:val="clear" w:pos="4252"/>
              <w:tab w:val="center" w:pos="4547"/>
            </w:tabs>
            <w:jc w:val="center"/>
            <w:rPr>
              <w:noProof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 wp14:anchorId="7A0A2158" wp14:editId="71AE205B">
                <wp:extent cx="1486535" cy="381635"/>
                <wp:effectExtent l="0" t="0" r="0" b="0"/>
                <wp:docPr id="1" name="Imagem 1" descr="Iní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í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D32" w:rsidRDefault="00F10D32" w:rsidP="00F10D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1BF"/>
    <w:multiLevelType w:val="hybridMultilevel"/>
    <w:tmpl w:val="A6FA4B9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62431"/>
    <w:multiLevelType w:val="hybridMultilevel"/>
    <w:tmpl w:val="336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72E0"/>
    <w:multiLevelType w:val="hybridMultilevel"/>
    <w:tmpl w:val="AD60B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BD8"/>
    <w:multiLevelType w:val="hybridMultilevel"/>
    <w:tmpl w:val="C964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D6A"/>
    <w:multiLevelType w:val="hybridMultilevel"/>
    <w:tmpl w:val="4984A558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B78F2"/>
    <w:multiLevelType w:val="hybridMultilevel"/>
    <w:tmpl w:val="3FFE4102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854D3"/>
    <w:multiLevelType w:val="hybridMultilevel"/>
    <w:tmpl w:val="B86463B2"/>
    <w:lvl w:ilvl="0" w:tplc="C744F236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5BFF1386"/>
    <w:multiLevelType w:val="hybridMultilevel"/>
    <w:tmpl w:val="98184486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510E"/>
    <w:multiLevelType w:val="hybridMultilevel"/>
    <w:tmpl w:val="A9BC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06"/>
    <w:rsid w:val="00016325"/>
    <w:rsid w:val="00022502"/>
    <w:rsid w:val="000776AF"/>
    <w:rsid w:val="000933E2"/>
    <w:rsid w:val="000B4103"/>
    <w:rsid w:val="000C7FCA"/>
    <w:rsid w:val="000E4733"/>
    <w:rsid w:val="000F26D2"/>
    <w:rsid w:val="001017A6"/>
    <w:rsid w:val="00111522"/>
    <w:rsid w:val="00126B51"/>
    <w:rsid w:val="00140C65"/>
    <w:rsid w:val="00146F30"/>
    <w:rsid w:val="001928B9"/>
    <w:rsid w:val="001A050A"/>
    <w:rsid w:val="001A3A08"/>
    <w:rsid w:val="00240ED8"/>
    <w:rsid w:val="00255D9F"/>
    <w:rsid w:val="002606AB"/>
    <w:rsid w:val="00266EAD"/>
    <w:rsid w:val="002920DF"/>
    <w:rsid w:val="002B030A"/>
    <w:rsid w:val="002D4920"/>
    <w:rsid w:val="00303BD7"/>
    <w:rsid w:val="0032168B"/>
    <w:rsid w:val="00354303"/>
    <w:rsid w:val="00366D3C"/>
    <w:rsid w:val="00392F78"/>
    <w:rsid w:val="00396AD1"/>
    <w:rsid w:val="003C3294"/>
    <w:rsid w:val="003C36C6"/>
    <w:rsid w:val="003D21F0"/>
    <w:rsid w:val="003D3E9C"/>
    <w:rsid w:val="003E2274"/>
    <w:rsid w:val="003F63B3"/>
    <w:rsid w:val="00431ED6"/>
    <w:rsid w:val="00445B38"/>
    <w:rsid w:val="00470800"/>
    <w:rsid w:val="00484606"/>
    <w:rsid w:val="00490037"/>
    <w:rsid w:val="004C2EA6"/>
    <w:rsid w:val="004D1F04"/>
    <w:rsid w:val="00505153"/>
    <w:rsid w:val="005545C2"/>
    <w:rsid w:val="00586920"/>
    <w:rsid w:val="005D2E7F"/>
    <w:rsid w:val="005D49B4"/>
    <w:rsid w:val="005D6054"/>
    <w:rsid w:val="005E7DB7"/>
    <w:rsid w:val="005F4B15"/>
    <w:rsid w:val="00607E4A"/>
    <w:rsid w:val="00614FF6"/>
    <w:rsid w:val="0062454B"/>
    <w:rsid w:val="00685933"/>
    <w:rsid w:val="00685E97"/>
    <w:rsid w:val="006A085F"/>
    <w:rsid w:val="006B2CCB"/>
    <w:rsid w:val="006C72A9"/>
    <w:rsid w:val="00711476"/>
    <w:rsid w:val="00713F8E"/>
    <w:rsid w:val="007174D9"/>
    <w:rsid w:val="00717D57"/>
    <w:rsid w:val="0072120E"/>
    <w:rsid w:val="00754C9B"/>
    <w:rsid w:val="007865D4"/>
    <w:rsid w:val="00794FF3"/>
    <w:rsid w:val="0079550D"/>
    <w:rsid w:val="007A68EC"/>
    <w:rsid w:val="007B41DC"/>
    <w:rsid w:val="007B50E6"/>
    <w:rsid w:val="007C273C"/>
    <w:rsid w:val="007D58BE"/>
    <w:rsid w:val="007D72B8"/>
    <w:rsid w:val="00805E4A"/>
    <w:rsid w:val="00832289"/>
    <w:rsid w:val="008361C5"/>
    <w:rsid w:val="00846127"/>
    <w:rsid w:val="00850D77"/>
    <w:rsid w:val="00857EA5"/>
    <w:rsid w:val="008919DF"/>
    <w:rsid w:val="00895866"/>
    <w:rsid w:val="008C5938"/>
    <w:rsid w:val="008C68E7"/>
    <w:rsid w:val="008D737F"/>
    <w:rsid w:val="008E2721"/>
    <w:rsid w:val="008E759B"/>
    <w:rsid w:val="0099495A"/>
    <w:rsid w:val="009A47FB"/>
    <w:rsid w:val="009C7406"/>
    <w:rsid w:val="009D7D65"/>
    <w:rsid w:val="009F4448"/>
    <w:rsid w:val="00A003AE"/>
    <w:rsid w:val="00A03276"/>
    <w:rsid w:val="00A17A21"/>
    <w:rsid w:val="00A2058A"/>
    <w:rsid w:val="00A90491"/>
    <w:rsid w:val="00AA2137"/>
    <w:rsid w:val="00AA3CE7"/>
    <w:rsid w:val="00AC1392"/>
    <w:rsid w:val="00AE3B96"/>
    <w:rsid w:val="00AF0159"/>
    <w:rsid w:val="00B439B8"/>
    <w:rsid w:val="00B94A8D"/>
    <w:rsid w:val="00B96A67"/>
    <w:rsid w:val="00BE244A"/>
    <w:rsid w:val="00BF6220"/>
    <w:rsid w:val="00BF732E"/>
    <w:rsid w:val="00C01308"/>
    <w:rsid w:val="00C2005B"/>
    <w:rsid w:val="00C30B8C"/>
    <w:rsid w:val="00C40F30"/>
    <w:rsid w:val="00C4745C"/>
    <w:rsid w:val="00C56E9C"/>
    <w:rsid w:val="00C83B73"/>
    <w:rsid w:val="00C95DAC"/>
    <w:rsid w:val="00CB425C"/>
    <w:rsid w:val="00CC761C"/>
    <w:rsid w:val="00CD21F0"/>
    <w:rsid w:val="00CE1E81"/>
    <w:rsid w:val="00CF55EA"/>
    <w:rsid w:val="00D062A0"/>
    <w:rsid w:val="00D41209"/>
    <w:rsid w:val="00D60150"/>
    <w:rsid w:val="00D62FFB"/>
    <w:rsid w:val="00D73033"/>
    <w:rsid w:val="00D80203"/>
    <w:rsid w:val="00D93FF4"/>
    <w:rsid w:val="00DA34F2"/>
    <w:rsid w:val="00DD663D"/>
    <w:rsid w:val="00DE1F48"/>
    <w:rsid w:val="00DF03C0"/>
    <w:rsid w:val="00DF76D1"/>
    <w:rsid w:val="00E41D15"/>
    <w:rsid w:val="00E70D1A"/>
    <w:rsid w:val="00EA209C"/>
    <w:rsid w:val="00ED6CFE"/>
    <w:rsid w:val="00EE1B52"/>
    <w:rsid w:val="00F10D32"/>
    <w:rsid w:val="00F114C5"/>
    <w:rsid w:val="00F26417"/>
    <w:rsid w:val="00F52E0D"/>
    <w:rsid w:val="00F620A1"/>
    <w:rsid w:val="00F62E2C"/>
    <w:rsid w:val="00F67DD3"/>
    <w:rsid w:val="00F81FEE"/>
    <w:rsid w:val="00F82C50"/>
    <w:rsid w:val="00F9424A"/>
    <w:rsid w:val="00FD10C3"/>
    <w:rsid w:val="00FD145C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01CF1-35BB-45FA-96FE-CB0D097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606"/>
  </w:style>
  <w:style w:type="paragraph" w:styleId="Rodap">
    <w:name w:val="footer"/>
    <w:basedOn w:val="Normal"/>
    <w:link w:val="RodapChar"/>
    <w:uiPriority w:val="99"/>
    <w:unhideWhenUsed/>
    <w:rsid w:val="0048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606"/>
  </w:style>
  <w:style w:type="character" w:styleId="Hyperlink">
    <w:name w:val="Hyperlink"/>
    <w:basedOn w:val="Fontepargpadro"/>
    <w:uiPriority w:val="99"/>
    <w:unhideWhenUsed/>
    <w:rsid w:val="00A0327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276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0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B50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5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0B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3C3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B7C1-E773-4514-85E6-B9178DFF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AgUSPin</dc:creator>
  <cp:lastModifiedBy>mateus</cp:lastModifiedBy>
  <cp:revision>6</cp:revision>
  <cp:lastPrinted>2017-03-13T21:00:00Z</cp:lastPrinted>
  <dcterms:created xsi:type="dcterms:W3CDTF">2020-01-08T09:51:00Z</dcterms:created>
  <dcterms:modified xsi:type="dcterms:W3CDTF">2020-01-15T08:03:00Z</dcterms:modified>
</cp:coreProperties>
</file>