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41EC" w14:textId="77777777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94156A">
        <w:rPr>
          <w:rFonts w:ascii="Times New Roman" w:hAnsi="Times New Roman" w:cs="Times New Roman"/>
          <w:sz w:val="24"/>
          <w:szCs w:val="24"/>
        </w:rPr>
        <w:tab/>
      </w:r>
      <w:r w:rsidR="00A2707C">
        <w:rPr>
          <w:rFonts w:ascii="Times New Roman" w:eastAsia="Times New Roman" w:hAnsi="Times New Roman" w:cs="Times New Roman"/>
          <w:b/>
          <w:noProof/>
          <w:sz w:val="24"/>
          <w:szCs w:val="24"/>
          <w:highlight w:val="green"/>
          <w:lang w:val="es-ES" w:eastAsia="zh-CN"/>
        </w:rPr>
        <w:object w:dxaOrig="1440" w:dyaOrig="1440" w14:anchorId="3D33DF74">
          <v:group id="_x0000_s1026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0A10371E" w14:textId="77777777" w:rsidR="00CF0FEC" w:rsidRPr="000C0FAE" w:rsidRDefault="00CF0FEC" w:rsidP="008D465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2B1F2270" w14:textId="77777777" w:rsidR="00CF0FEC" w:rsidRPr="001402F6" w:rsidRDefault="00CF0FEC" w:rsidP="008D4658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</w:pPr>
                    <w:r w:rsidRPr="001402F6"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  <w:t>Departamento de Direito Econômico, Financeiro e Tributário</w:t>
                    </w:r>
                  </w:p>
                  <w:p w14:paraId="6478E06D" w14:textId="77777777" w:rsidR="00CF0FEC" w:rsidRDefault="00CF0FEC" w:rsidP="008D4658">
                    <w:pPr>
                      <w:rPr>
                        <w:sz w:val="16"/>
                      </w:rPr>
                    </w:pPr>
                  </w:p>
                  <w:p w14:paraId="0C46A937" w14:textId="77777777" w:rsidR="00CF0FEC" w:rsidRDefault="00CF0FEC" w:rsidP="008D465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3264428" r:id="rId6"/>
        </w:object>
      </w:r>
    </w:p>
    <w:p w14:paraId="79F1CB6E" w14:textId="77777777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4C162CDA" w14:textId="77777777" w:rsidR="008D4658" w:rsidRPr="0094156A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09C384A2" w14:textId="77777777" w:rsidR="008D4658" w:rsidRPr="0094156A" w:rsidRDefault="008D4658" w:rsidP="008D46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2CC401BC" w14:textId="77777777" w:rsidR="008D4658" w:rsidRPr="0094156A" w:rsidRDefault="008D4658" w:rsidP="008D4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2887D283" w14:textId="37DC8BB3" w:rsidR="008D4658" w:rsidRPr="0094156A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7DA3A7C1" w14:textId="72462294" w:rsidR="008D4658" w:rsidRPr="0094156A" w:rsidRDefault="00967A5D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Seminário – 1º semestre de </w:t>
      </w:r>
      <w:r w:rsidR="000B26D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0A6791D9" w14:textId="77777777" w:rsidR="008D4658" w:rsidRPr="0094156A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2F9B0" w14:textId="4459AA8D" w:rsidR="008D4658" w:rsidRPr="0094156A" w:rsidRDefault="00597C02" w:rsidP="0032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Caso </w:t>
      </w:r>
      <w:r w:rsidR="008E3A73" w:rsidRPr="0094156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4156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81C0E" w:rsidRPr="0094156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26FE1">
        <w:rPr>
          <w:rFonts w:ascii="Times New Roman" w:eastAsia="Times New Roman" w:hAnsi="Times New Roman" w:cs="Times New Roman"/>
          <w:b/>
          <w:sz w:val="24"/>
          <w:szCs w:val="24"/>
        </w:rPr>
        <w:t>Princípios e Limitações Constitucionais ao Poder de Tributar (III)</w:t>
      </w:r>
    </w:p>
    <w:p w14:paraId="67F76D29" w14:textId="77777777" w:rsidR="00747AF7" w:rsidRDefault="00747AF7" w:rsidP="00181C0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15543" w14:textId="432D6646" w:rsidR="00CF0FEC" w:rsidRDefault="00364C5F" w:rsidP="009318F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</w:t>
      </w:r>
      <w:r w:rsidR="00CF0FEC">
        <w:rPr>
          <w:rFonts w:ascii="Times New Roman" w:hAnsi="Times New Roman" w:cs="Times New Roman"/>
          <w:sz w:val="24"/>
          <w:szCs w:val="24"/>
        </w:rPr>
        <w:t xml:space="preserve"> </w:t>
      </w:r>
      <w:r w:rsidR="009318F1">
        <w:rPr>
          <w:rFonts w:ascii="Times New Roman" w:hAnsi="Times New Roman" w:cs="Times New Roman"/>
          <w:sz w:val="24"/>
          <w:szCs w:val="24"/>
        </w:rPr>
        <w:t>TRENÓ</w:t>
      </w:r>
      <w:r w:rsidR="00CF0FEC">
        <w:rPr>
          <w:rFonts w:ascii="Times New Roman" w:hAnsi="Times New Roman" w:cs="Times New Roman"/>
          <w:sz w:val="24"/>
          <w:szCs w:val="24"/>
        </w:rPr>
        <w:t xml:space="preserve"> S/A comercializa materiais de escritório</w:t>
      </w:r>
      <w:r w:rsidR="002D0BFD">
        <w:rPr>
          <w:rFonts w:ascii="Times New Roman" w:hAnsi="Times New Roman" w:cs="Times New Roman"/>
          <w:sz w:val="24"/>
          <w:szCs w:val="24"/>
        </w:rPr>
        <w:t>, dentre os quais lápis, apontadores, mesas, cadeiras, computadores, embalagens dentre outros,</w:t>
      </w:r>
      <w:r w:rsidR="00CF0FEC">
        <w:rPr>
          <w:rFonts w:ascii="Times New Roman" w:hAnsi="Times New Roman" w:cs="Times New Roman"/>
          <w:sz w:val="24"/>
          <w:szCs w:val="24"/>
        </w:rPr>
        <w:t xml:space="preserve"> para pessoas jurídicas de todos os lugares do Brasil. </w:t>
      </w:r>
      <w:r w:rsidR="009318F1">
        <w:rPr>
          <w:rFonts w:ascii="Times New Roman" w:hAnsi="Times New Roman" w:cs="Times New Roman"/>
          <w:sz w:val="24"/>
          <w:szCs w:val="24"/>
        </w:rPr>
        <w:t>As vendas da empresa na região nordeste do País são realizadas a partir do seu estabelecimento localizado no Estado do Rio Grande do Norte. No início de 2020, os contadores da TRENÓ S/A declararam regularmente o ICMS referente ao mês de dezembro de 2019, que representou o maior faturamento da empresa nos últimos 10 anos.</w:t>
      </w:r>
    </w:p>
    <w:p w14:paraId="5428FAE1" w14:textId="07846635" w:rsidR="009318F1" w:rsidRDefault="009318F1" w:rsidP="009318F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por conta das festas de fim de ano, os administradores da empresa acabaram não providenciando o pagamento da Guia de ICMS no valor de R$ 350.000,00 (trezentos e cinquenta mil reais), que venceu no dia 31/01/2020. Ao verificarem o erro, no dia 20/02/2020, os contadores da empresa emitiram nova guia de pagamento, a qual veio acrescida de multa de mora no valor de R$ 175.000,00 (cento e setenta e cinco mil reais). Assustados com esse valor, os contadores verificaram que a Lei do Rio Grande do Norte nº 1.234/2006</w:t>
      </w:r>
      <w:r w:rsidR="00ED3F00">
        <w:rPr>
          <w:rFonts w:ascii="Times New Roman" w:hAnsi="Times New Roman" w:cs="Times New Roman"/>
          <w:sz w:val="24"/>
          <w:szCs w:val="24"/>
        </w:rPr>
        <w:t xml:space="preserve"> (fictícia)</w:t>
      </w:r>
      <w:r>
        <w:rPr>
          <w:rFonts w:ascii="Times New Roman" w:hAnsi="Times New Roman" w:cs="Times New Roman"/>
          <w:sz w:val="24"/>
          <w:szCs w:val="24"/>
        </w:rPr>
        <w:t xml:space="preserve"> determina a incidência de multa de mora no valor de 50% do valor do tributo devido, na hipótese de pagamento em atraso, independentemente do período </w:t>
      </w:r>
      <w:r w:rsidR="00ED3F00">
        <w:rPr>
          <w:rFonts w:ascii="Times New Roman" w:hAnsi="Times New Roman" w:cs="Times New Roman"/>
          <w:sz w:val="24"/>
          <w:szCs w:val="24"/>
        </w:rPr>
        <w:t>de mora.</w:t>
      </w:r>
    </w:p>
    <w:p w14:paraId="17351E94" w14:textId="2852A04B" w:rsidR="00260EFD" w:rsidRDefault="00260EFD" w:rsidP="00364C5F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Inconformada, </w:t>
      </w:r>
      <w:r w:rsidR="009318F1">
        <w:rPr>
          <w:rFonts w:ascii="Times New Roman" w:hAnsi="Times New Roman" w:cs="Times New Roman"/>
          <w:sz w:val="24"/>
          <w:szCs w:val="24"/>
        </w:rPr>
        <w:t xml:space="preserve">especialmente considerando-se que a multa de mora federal </w:t>
      </w:r>
      <w:r w:rsidR="00F05E2B">
        <w:rPr>
          <w:rFonts w:ascii="Times New Roman" w:hAnsi="Times New Roman" w:cs="Times New Roman"/>
          <w:sz w:val="24"/>
          <w:szCs w:val="24"/>
        </w:rPr>
        <w:t xml:space="preserve">máxima </w:t>
      </w:r>
      <w:r w:rsidR="009318F1">
        <w:rPr>
          <w:rFonts w:ascii="Times New Roman" w:hAnsi="Times New Roman" w:cs="Times New Roman"/>
          <w:sz w:val="24"/>
          <w:szCs w:val="24"/>
        </w:rPr>
        <w:t>é de 20% e</w:t>
      </w:r>
      <w:r w:rsidR="00F0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5E2B">
        <w:rPr>
          <w:rFonts w:ascii="Times New Roman" w:hAnsi="Times New Roman" w:cs="Times New Roman"/>
          <w:sz w:val="24"/>
          <w:szCs w:val="24"/>
        </w:rPr>
        <w:t xml:space="preserve"> maior parte dos Estados e Municípios pratica o mesmo valor, a</w:t>
      </w:r>
      <w:r>
        <w:rPr>
          <w:rFonts w:ascii="Times New Roman" w:hAnsi="Times New Roman" w:cs="Times New Roman"/>
          <w:sz w:val="24"/>
          <w:szCs w:val="24"/>
        </w:rPr>
        <w:t xml:space="preserve"> empresa </w:t>
      </w:r>
      <w:r w:rsidR="00F05E2B">
        <w:rPr>
          <w:rFonts w:ascii="Times New Roman" w:hAnsi="Times New Roman" w:cs="Times New Roman"/>
          <w:sz w:val="24"/>
          <w:szCs w:val="24"/>
        </w:rPr>
        <w:t>TR</w:t>
      </w:r>
      <w:r w:rsidR="00A2707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05E2B">
        <w:rPr>
          <w:rFonts w:ascii="Times New Roman" w:hAnsi="Times New Roman" w:cs="Times New Roman"/>
          <w:sz w:val="24"/>
          <w:szCs w:val="24"/>
        </w:rPr>
        <w:t>NÓ</w:t>
      </w:r>
      <w:r>
        <w:rPr>
          <w:rFonts w:ascii="Times New Roman" w:hAnsi="Times New Roman" w:cs="Times New Roman"/>
          <w:sz w:val="24"/>
          <w:szCs w:val="24"/>
        </w:rPr>
        <w:t xml:space="preserve"> S/A procura escritório de advocacia para </w:t>
      </w:r>
      <w:r w:rsidR="00F05E2B">
        <w:rPr>
          <w:rFonts w:ascii="Times New Roman" w:hAnsi="Times New Roman" w:cs="Times New Roman"/>
          <w:sz w:val="24"/>
          <w:szCs w:val="24"/>
        </w:rPr>
        <w:t>ajuizar Mandado de Segurança visando à declaração do seu direito de recolher o tributo sem a multa de mora em questão</w:t>
      </w:r>
      <w:r w:rsidR="00ED3F00">
        <w:rPr>
          <w:rFonts w:ascii="Times New Roman" w:hAnsi="Times New Roman" w:cs="Times New Roman"/>
          <w:sz w:val="24"/>
          <w:szCs w:val="24"/>
        </w:rPr>
        <w:t>, ou com a multa em percentual reduzido.</w:t>
      </w:r>
    </w:p>
    <w:p w14:paraId="1A23A54C" w14:textId="1071C12A" w:rsidR="00181C0E" w:rsidRPr="0094156A" w:rsidRDefault="00181C0E" w:rsidP="00181C0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6A">
        <w:rPr>
          <w:rFonts w:ascii="Times New Roman" w:hAnsi="Times New Roman" w:cs="Times New Roman"/>
          <w:sz w:val="24"/>
          <w:szCs w:val="24"/>
        </w:rPr>
        <w:t>Assim</w:t>
      </w:r>
      <w:r w:rsidR="00260EFD">
        <w:rPr>
          <w:rFonts w:ascii="Times New Roman" w:hAnsi="Times New Roman" w:cs="Times New Roman"/>
          <w:sz w:val="24"/>
          <w:szCs w:val="24"/>
        </w:rPr>
        <w:t>, elaborem</w:t>
      </w:r>
      <w:r w:rsidR="003D077E" w:rsidRPr="0094156A">
        <w:rPr>
          <w:rFonts w:ascii="Times New Roman" w:hAnsi="Times New Roman" w:cs="Times New Roman"/>
          <w:sz w:val="24"/>
          <w:szCs w:val="24"/>
        </w:rPr>
        <w:t>:</w:t>
      </w:r>
    </w:p>
    <w:p w14:paraId="6489218F" w14:textId="44D933C5" w:rsidR="00181C0E" w:rsidRPr="0094156A" w:rsidRDefault="00181C0E" w:rsidP="00181C0E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como representantes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da empresa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os argumentos contrários à exigência da multa </w:t>
      </w:r>
      <w:r w:rsidR="00F05E2B">
        <w:rPr>
          <w:rFonts w:ascii="Times New Roman" w:eastAsia="Times New Roman" w:hAnsi="Times New Roman" w:cs="Times New Roman"/>
          <w:sz w:val="24"/>
          <w:szCs w:val="24"/>
        </w:rPr>
        <w:t>de mora de 50%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 no caso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7BD959B1" w14:textId="36AF5249" w:rsidR="00181C0E" w:rsidRPr="0094156A" w:rsidRDefault="00181C0E" w:rsidP="00181C0E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i/>
          <w:sz w:val="24"/>
          <w:szCs w:val="24"/>
        </w:rPr>
        <w:t>(ii)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como representantes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F05E2B">
        <w:rPr>
          <w:rFonts w:ascii="Times New Roman" w:eastAsia="Times New Roman" w:hAnsi="Times New Roman" w:cs="Times New Roman"/>
          <w:sz w:val="24"/>
          <w:szCs w:val="24"/>
        </w:rPr>
        <w:t>F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isco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 xml:space="preserve">os argumentos favoráveis à manutenção da multa </w:t>
      </w:r>
      <w:r w:rsidR="00F05E2B">
        <w:rPr>
          <w:rFonts w:ascii="Times New Roman" w:eastAsia="Times New Roman" w:hAnsi="Times New Roman" w:cs="Times New Roman"/>
          <w:sz w:val="24"/>
          <w:szCs w:val="24"/>
        </w:rPr>
        <w:t>de mora</w:t>
      </w:r>
      <w:r w:rsidR="00ED3F00">
        <w:rPr>
          <w:rFonts w:ascii="Times New Roman" w:eastAsia="Times New Roman" w:hAnsi="Times New Roman" w:cs="Times New Roman"/>
          <w:sz w:val="24"/>
          <w:szCs w:val="24"/>
        </w:rPr>
        <w:t xml:space="preserve"> de 50%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D5ABFD" w14:textId="77103BF6" w:rsidR="00874F28" w:rsidRPr="00F05E2B" w:rsidRDefault="00181C0E" w:rsidP="00F05E2B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6A">
        <w:rPr>
          <w:rFonts w:ascii="Times New Roman" w:eastAsia="Times New Roman" w:hAnsi="Times New Roman" w:cs="Times New Roman"/>
          <w:sz w:val="24"/>
          <w:szCs w:val="24"/>
        </w:rPr>
        <w:tab/>
        <w:t xml:space="preserve">Esclareça-se que demais argumentos que transbordem da temática </w:t>
      </w:r>
      <w:r w:rsidRPr="0094156A">
        <w:rPr>
          <w:rFonts w:ascii="Times New Roman" w:hAnsi="Times New Roman" w:cs="Times New Roman"/>
          <w:sz w:val="24"/>
          <w:szCs w:val="24"/>
        </w:rPr>
        <w:t>“Princípios e Limitações Constitucionais ao Poder de Tributar”</w:t>
      </w:r>
      <w:r w:rsidRPr="0094156A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 aula para a res</w:t>
      </w:r>
      <w:r w:rsidR="00260EFD">
        <w:rPr>
          <w:rFonts w:ascii="Times New Roman" w:eastAsia="Times New Roman" w:hAnsi="Times New Roman" w:cs="Times New Roman"/>
          <w:sz w:val="24"/>
          <w:szCs w:val="24"/>
        </w:rPr>
        <w:t>olução do caso, especialmente no confisco, razoabilidade</w:t>
      </w:r>
      <w:r w:rsidR="00C10DBE" w:rsidRPr="0094156A">
        <w:rPr>
          <w:rFonts w:ascii="Times New Roman" w:eastAsia="Times New Roman" w:hAnsi="Times New Roman" w:cs="Times New Roman"/>
          <w:sz w:val="24"/>
          <w:szCs w:val="24"/>
        </w:rPr>
        <w:t xml:space="preserve"> e proporcionalidade.</w:t>
      </w:r>
    </w:p>
    <w:sectPr w:rsidR="00874F28" w:rsidRPr="00F05E2B" w:rsidSect="00181C0E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58"/>
    <w:rsid w:val="000B26DB"/>
    <w:rsid w:val="000D0C0D"/>
    <w:rsid w:val="000D5F54"/>
    <w:rsid w:val="0011678F"/>
    <w:rsid w:val="001402F6"/>
    <w:rsid w:val="00181C0E"/>
    <w:rsid w:val="001A6F48"/>
    <w:rsid w:val="001C28BA"/>
    <w:rsid w:val="00254378"/>
    <w:rsid w:val="00260EFD"/>
    <w:rsid w:val="002A0449"/>
    <w:rsid w:val="002D0BFD"/>
    <w:rsid w:val="002E0DD3"/>
    <w:rsid w:val="003226BC"/>
    <w:rsid w:val="00326FE1"/>
    <w:rsid w:val="00364C5F"/>
    <w:rsid w:val="0038512B"/>
    <w:rsid w:val="003D077E"/>
    <w:rsid w:val="00406059"/>
    <w:rsid w:val="005448AE"/>
    <w:rsid w:val="0058647E"/>
    <w:rsid w:val="00597C02"/>
    <w:rsid w:val="00627535"/>
    <w:rsid w:val="00663D27"/>
    <w:rsid w:val="006D34C3"/>
    <w:rsid w:val="007111A6"/>
    <w:rsid w:val="00747AF7"/>
    <w:rsid w:val="00780CB1"/>
    <w:rsid w:val="007816A1"/>
    <w:rsid w:val="00831036"/>
    <w:rsid w:val="00874F28"/>
    <w:rsid w:val="008D4658"/>
    <w:rsid w:val="008E3A73"/>
    <w:rsid w:val="008F6EA9"/>
    <w:rsid w:val="009318F1"/>
    <w:rsid w:val="0094156A"/>
    <w:rsid w:val="00967A5D"/>
    <w:rsid w:val="009A0A06"/>
    <w:rsid w:val="009C5754"/>
    <w:rsid w:val="00A2707C"/>
    <w:rsid w:val="00B35754"/>
    <w:rsid w:val="00B660BC"/>
    <w:rsid w:val="00BD27F2"/>
    <w:rsid w:val="00BE7EC7"/>
    <w:rsid w:val="00C10DBE"/>
    <w:rsid w:val="00CC7A2B"/>
    <w:rsid w:val="00CD7F1D"/>
    <w:rsid w:val="00CF0FEC"/>
    <w:rsid w:val="00DC4069"/>
    <w:rsid w:val="00E0051E"/>
    <w:rsid w:val="00ED3F00"/>
    <w:rsid w:val="00F05E2B"/>
    <w:rsid w:val="00F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C543F51"/>
  <w15:docId w15:val="{BDBDF710-CA96-472C-AEA4-BC9398D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5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4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46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83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31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421A-1379-46C3-ABA8-E199DCACBA7F}"/>
</file>

<file path=customXml/itemProps2.xml><?xml version="1.0" encoding="utf-8"?>
<ds:datastoreItem xmlns:ds="http://schemas.openxmlformats.org/officeDocument/2006/customXml" ds:itemID="{B3FEE7E6-F8BC-45E9-96AA-50AA03299153}"/>
</file>

<file path=customXml/itemProps3.xml><?xml version="1.0" encoding="utf-8"?>
<ds:datastoreItem xmlns:ds="http://schemas.openxmlformats.org/officeDocument/2006/customXml" ds:itemID="{C4251E14-2BE6-411A-A0EF-9116F7537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Paulo Arthur</cp:lastModifiedBy>
  <cp:revision>5</cp:revision>
  <dcterms:created xsi:type="dcterms:W3CDTF">2020-02-07T17:57:00Z</dcterms:created>
  <dcterms:modified xsi:type="dcterms:W3CDTF">2020-02-15T12:34:00Z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