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31C3" w14:textId="77777777" w:rsidR="002855EC" w:rsidRDefault="00686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03C92">
        <w:object w:dxaOrig="2393" w:dyaOrig="2445" w14:anchorId="5BBB05E4">
          <v:rect id="rectole0000000000" o:spid="_x0000_i1025" style="width:1in;height:1in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PBrush" ShapeID="rectole0000000000" DrawAspect="Content" ObjectID="_1643264405" r:id="rId6"/>
        </w:object>
      </w:r>
    </w:p>
    <w:p w14:paraId="5A90EC05" w14:textId="77777777" w:rsidR="002855EC" w:rsidRDefault="002855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4BB65FE" w14:textId="77777777" w:rsidR="002855EC" w:rsidRDefault="00686A8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Disciplina: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DIREITO TRIBUTÁRIO I</w:t>
      </w:r>
    </w:p>
    <w:p w14:paraId="24448383" w14:textId="77777777" w:rsidR="002855EC" w:rsidRDefault="00686A8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Professores: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Humberto Ávila</w:t>
      </w:r>
    </w:p>
    <w:p w14:paraId="737601F1" w14:textId="12D842C5" w:rsidR="002855EC" w:rsidRDefault="00686A81">
      <w:pPr>
        <w:spacing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Turma: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4º Ano Diurno/Noturno</w:t>
      </w:r>
    </w:p>
    <w:p w14:paraId="0D863A17" w14:textId="77777777" w:rsidR="004777E7" w:rsidRDefault="004777E7">
      <w:pPr>
        <w:spacing w:after="10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77E7" w14:paraId="212F95BE" w14:textId="77777777" w:rsidTr="004777E7">
        <w:tc>
          <w:tcPr>
            <w:tcW w:w="8644" w:type="dxa"/>
          </w:tcPr>
          <w:p w14:paraId="016F24F1" w14:textId="03650048" w:rsidR="004777E7" w:rsidRDefault="004777E7" w:rsidP="004777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Seminário – 1º semestre de 20</w:t>
            </w:r>
            <w:r w:rsidR="00A83F35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  <w:p w14:paraId="1FE8D359" w14:textId="77777777" w:rsidR="004777E7" w:rsidRDefault="004777E7" w:rsidP="004777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D6A974" w14:textId="30CF1152" w:rsidR="004777E7" w:rsidRDefault="004777E7" w:rsidP="004777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Caso 03– Espécies Tributárias</w:t>
            </w:r>
          </w:p>
        </w:tc>
      </w:tr>
    </w:tbl>
    <w:p w14:paraId="51F1A13B" w14:textId="060ACD68" w:rsidR="004777E7" w:rsidRDefault="004777E7" w:rsidP="00D3088F">
      <w:pPr>
        <w:tabs>
          <w:tab w:val="left" w:pos="318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9454561" w14:textId="37171FAD" w:rsidR="000A6CE6" w:rsidRDefault="00D3088F" w:rsidP="007C1A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A Lei do Estado do Pará nº 8.091/2014 criou o </w:t>
      </w:r>
      <w:r w:rsidRPr="00D3088F">
        <w:rPr>
          <w:rFonts w:ascii="Times New Roman" w:eastAsia="Times New Roman" w:hAnsi="Times New Roman" w:cs="Times New Roman"/>
          <w:sz w:val="24"/>
        </w:rPr>
        <w:t>Cadastro Estadual de Controle, Acompanhamento e Fiscalização das Atividades de Exploração e Aproveitam</w:t>
      </w:r>
      <w:r>
        <w:rPr>
          <w:rFonts w:ascii="Times New Roman" w:eastAsia="Times New Roman" w:hAnsi="Times New Roman" w:cs="Times New Roman"/>
          <w:sz w:val="24"/>
        </w:rPr>
        <w:t xml:space="preserve">ento de Recursos Hídricos (CERH). Sobre o tema, dispõem os </w:t>
      </w:r>
      <w:proofErr w:type="spellStart"/>
      <w:r>
        <w:rPr>
          <w:rFonts w:ascii="Times New Roman" w:eastAsia="Times New Roman" w:hAnsi="Times New Roman" w:cs="Times New Roman"/>
          <w:sz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</w:rPr>
        <w:t>. 13 a 15 do referido diploma legal:</w:t>
      </w:r>
    </w:p>
    <w:p w14:paraId="3616A8B0" w14:textId="77777777" w:rsidR="00D3088F" w:rsidRDefault="00D3088F" w:rsidP="007C1A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D7C506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Art. 13. Fica instituído o Cadastro Estadual de Controle, Acompanhamento e Fiscalização das Atividades de Exploração e Aproveitamento de Recursos Hídricos - CERH, de inscrição obrigatória para a pessoa, física ou jurídica, que utilize recurso hídrico como insumo no seu processo produtivo ou com a finalidade de exploração ou aproveitamento econômico.</w:t>
      </w:r>
    </w:p>
    <w:p w14:paraId="18455998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Parágrafo único. A inscrição no cadastro não estará sujeita ao pagamento de taxa e terá o prazo e os procedimentos estabelecidos em regulamento.</w:t>
      </w:r>
    </w:p>
    <w:p w14:paraId="378AD2C4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C48C08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Art. 14. As pessoas obrigadas à inscrição no CERH, observado o prazo, a forma, a periodicidade e as condições estabelecidas em regulamento, prestarão informações sobre:</w:t>
      </w:r>
    </w:p>
    <w:p w14:paraId="6D153263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I - outorgas para captação de água superficial e/ou subterrânea, seu prazo de validade e as condições neles estabelecidas;</w:t>
      </w:r>
    </w:p>
    <w:p w14:paraId="2EC1ABF6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II - a condição efetiva de exploração e aproveitamento de recursos hídricos;</w:t>
      </w:r>
    </w:p>
    <w:p w14:paraId="1EEDD6DB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III - o início, a suspensão e o encerramento da efetiva exploração e/ou aproveitamento de recursos hídricos;</w:t>
      </w:r>
    </w:p>
    <w:p w14:paraId="4A912E15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IV - a quantidade dos recursos hídricos utilizados;</w:t>
      </w:r>
    </w:p>
    <w:p w14:paraId="5C3A3415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V - a destinação dada aos recursos hídricos utilizados;</w:t>
      </w:r>
    </w:p>
    <w:p w14:paraId="02996DD3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VI - o número de trabalhadores empregados nas atividades que envolvam exploração e/ou aproveitamento de recursos hídricos, bem como as respectivas idades, remunerações médias, qualificação profissional e grau de instrução;</w:t>
      </w:r>
    </w:p>
    <w:p w14:paraId="2FEB5250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VII - o número de trabalhadores empregados nas demais atividades (administrativas e outras), as respectivas idades, remunerações médias, qualificação profissional e grau de instrução;</w:t>
      </w:r>
    </w:p>
    <w:p w14:paraId="29E52B02" w14:textId="77777777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VIII - as necessidades relacionadas à qualificação profissional e às exigências tecnológicas e de infraestrutura para aprimoramento e aperfeiçoamento das atividades que envolvam a exploração e/ou aproveitamento de recursos hídricos;</w:t>
      </w:r>
    </w:p>
    <w:p w14:paraId="7EE015D7" w14:textId="286CCEED" w:rsidR="00D3088F" w:rsidRPr="00D3088F" w:rsidRDefault="00D3088F" w:rsidP="00D308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 xml:space="preserve">IX - outros </w:t>
      </w:r>
      <w:r>
        <w:rPr>
          <w:rFonts w:ascii="Times New Roman" w:eastAsia="Times New Roman" w:hAnsi="Times New Roman" w:cs="Times New Roman"/>
          <w:sz w:val="20"/>
          <w:szCs w:val="20"/>
        </w:rPr>
        <w:t>dados indicados em regulamento.</w:t>
      </w:r>
    </w:p>
    <w:p w14:paraId="5FD5AF28" w14:textId="77777777" w:rsidR="00D3088F" w:rsidRDefault="00D3088F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88F">
        <w:rPr>
          <w:rFonts w:ascii="Times New Roman" w:eastAsia="Times New Roman" w:hAnsi="Times New Roman" w:cs="Times New Roman"/>
          <w:sz w:val="20"/>
          <w:szCs w:val="20"/>
        </w:rPr>
        <w:t>Art. 15. Compete à Secretaria de Estado de Meio Ambiente e Sustentabilidade - SEMAS, a administração do CERH.</w:t>
      </w:r>
    </w:p>
    <w:p w14:paraId="50E59733" w14:textId="77777777" w:rsidR="00D3088F" w:rsidRDefault="00D3088F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4FFD48" w14:textId="2678B6A5" w:rsidR="00D3088F" w:rsidRPr="00D3088F" w:rsidRDefault="00D3088F" w:rsidP="00D30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Sob a justificativa de custear essa atividade de fiscalização, foi instituída pela mesma Lei a </w:t>
      </w:r>
      <w:r w:rsidRPr="00D3088F">
        <w:rPr>
          <w:rFonts w:ascii="Times New Roman" w:eastAsia="Times New Roman" w:hAnsi="Times New Roman" w:cs="Times New Roman"/>
          <w:sz w:val="24"/>
          <w:szCs w:val="24"/>
        </w:rPr>
        <w:t xml:space="preserve">Taxa de Controle, Acompanhamento e Fiscalização das Atividades de Exploração e Aproveitamento de Recursos Hídricos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3088F">
        <w:rPr>
          <w:rFonts w:ascii="Times New Roman" w:eastAsia="Times New Roman" w:hAnsi="Times New Roman" w:cs="Times New Roman"/>
          <w:sz w:val="24"/>
          <w:szCs w:val="24"/>
        </w:rPr>
        <w:t>TFRH</w:t>
      </w:r>
      <w:r>
        <w:rPr>
          <w:rFonts w:ascii="Times New Roman" w:eastAsia="Times New Roman" w:hAnsi="Times New Roman" w:cs="Times New Roman"/>
          <w:sz w:val="24"/>
          <w:szCs w:val="24"/>
        </w:rPr>
        <w:t>), nos seguintes moldes:</w:t>
      </w:r>
    </w:p>
    <w:p w14:paraId="7B7CFE9B" w14:textId="23AD781C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lastRenderedPageBreak/>
        <w:t>CAPÍTULO II - DA TAXA DE CONTROLE, ACOMPANHAMENTO E FISCALIZAÇÃO DAS ATIVIDADES DE EXPLORAÇÃO E APROVEITAMENTO DE RECURSOS HÍDRICOS - TFRH</w:t>
      </w:r>
    </w:p>
    <w:p w14:paraId="14362E72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Art. 2º Fica instituída a Taxa de Controle, Acompanhamento e Fiscalização das Atividades de Exploração e Aproveitamento de Recursos Hídricos - TFRH, cujo fato gerador é o exercício regular do Poder de Polícia conferido ao Estado sobre a atividade de exploração e aproveitamento de recursos hídricos em território paraense.</w:t>
      </w:r>
    </w:p>
    <w:p w14:paraId="7DA07752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0E6F91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Art. 3º O Poder de Polícia de que trata o art. 2º será exercido pela Secretaria de Estado de Meio Ambiente e Sustentabilidade - SEMAS, para:</w:t>
      </w:r>
    </w:p>
    <w:p w14:paraId="26451172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 - planejar, organizar, dirigir, coordenar, executar, controlar e avaliar as ações setoriais relativas à utilização de recursos hídricos;</w:t>
      </w:r>
    </w:p>
    <w:p w14:paraId="1E0CC8BD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II - registrar, controlar e fiscalizar a exploração e o aproveitamento de recursos hídricos.</w:t>
      </w:r>
    </w:p>
    <w:p w14:paraId="5079FBC8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Parágrafo único. No exercício das atividades relacionadas no caput, a Secretaria de Estado de Meio Ambiente e Sustentabilidade - SEMAS, contará com o apoio operacional dos demais órgãos da Administração Estadual.</w:t>
      </w:r>
    </w:p>
    <w:p w14:paraId="72BD0863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7AAE9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Art. 4º São isentos do pagamento da TFRH, nos termos e condições do regulamento:</w:t>
      </w:r>
    </w:p>
    <w:p w14:paraId="1C290D7B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 - a utilização de recurso hídrico destinado ao abastecimento residencial;</w:t>
      </w:r>
    </w:p>
    <w:p w14:paraId="321A4761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II - a utilização de recurso hídrico em pequeno volume, a ser definido segundo as peculiaridades das diferentes atividades econômicas.</w:t>
      </w:r>
    </w:p>
    <w:p w14:paraId="35311A99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D62890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Art. 5º Contribuinte da TFRH é a pessoa, física ou jurídica, que utilize recurso hídrico como insumo no seu processo produtivo ou com a finalidade de exploração ou aproveitamento econômico.</w:t>
      </w:r>
    </w:p>
    <w:p w14:paraId="2DDEF302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1D4D45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Art. 6º O valor da TFRH corresponderá a 0,2 (dois décimos) da Unidade Padrão Fiscal do Estado do Pará - UPF-PA por m3 (metro cúbico) de recurso hídrico utilizado.</w:t>
      </w:r>
    </w:p>
    <w:p w14:paraId="482A3D16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7659D9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 xml:space="preserve">§ 1º O valor da TFRH corresponderá a 0,2 (dois décimos) da Unidade Padrão Fiscal do Estado do Pará - UPF-PA por 1.000 m3 (mil metros cúbicos), no caso de utilização de recursos hídricos para fins de aproveitamento </w:t>
      </w:r>
      <w:proofErr w:type="spellStart"/>
      <w:r w:rsidRPr="00A83F35">
        <w:rPr>
          <w:rFonts w:ascii="Times New Roman" w:eastAsia="Times New Roman" w:hAnsi="Times New Roman" w:cs="Times New Roman"/>
          <w:sz w:val="20"/>
          <w:szCs w:val="20"/>
        </w:rPr>
        <w:t>hidroenergético</w:t>
      </w:r>
      <w:proofErr w:type="spellEnd"/>
      <w:r w:rsidRPr="00A83F35">
        <w:rPr>
          <w:rFonts w:ascii="Times New Roman" w:eastAsia="Times New Roman" w:hAnsi="Times New Roman" w:cs="Times New Roman"/>
          <w:sz w:val="20"/>
          <w:szCs w:val="20"/>
        </w:rPr>
        <w:t>. (Redação do parágrafo dada pela Lei Nº 8872 DE 19/06/2019).</w:t>
      </w:r>
    </w:p>
    <w:p w14:paraId="6645810A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§ 2º O Poder Executivo poderá reduzir o valor da TFRH, nos seguintes casos:</w:t>
      </w:r>
    </w:p>
    <w:p w14:paraId="6D1E08D5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 - para evitar onerosidade excessiva;</w:t>
      </w:r>
    </w:p>
    <w:p w14:paraId="740121D3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II - nos casos da utilização de recursos hídricos para a produção na cadeia alimentícia;</w:t>
      </w:r>
    </w:p>
    <w:p w14:paraId="20A16E8E" w14:textId="77777777" w:rsidR="00A83F35" w:rsidRP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III - para atender às peculiaridades das diferentes atividades econômicas;</w:t>
      </w:r>
    </w:p>
    <w:p w14:paraId="2BBBCC68" w14:textId="6392C278" w:rsidR="00A83F35" w:rsidRDefault="00A83F35" w:rsidP="00A83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F35">
        <w:rPr>
          <w:rFonts w:ascii="Times New Roman" w:eastAsia="Times New Roman" w:hAnsi="Times New Roman" w:cs="Times New Roman"/>
          <w:sz w:val="20"/>
          <w:szCs w:val="20"/>
        </w:rPr>
        <w:t>IV - considerando a ocorrência de investimentos voluntários para melhorar a qualidade do uso sustentável de água.</w:t>
      </w:r>
    </w:p>
    <w:p w14:paraId="5E9D6DCC" w14:textId="77777777" w:rsidR="00A83F35" w:rsidRDefault="00A83F35" w:rsidP="000A6C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A11571" w14:textId="4334ABEF" w:rsidR="007C1AAF" w:rsidRDefault="00E43590" w:rsidP="00BE4BF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Inconformada com a nova exação</w:t>
      </w:r>
      <w:r w:rsidR="00686A81">
        <w:rPr>
          <w:rFonts w:ascii="Times New Roman" w:eastAsia="Times New Roman" w:hAnsi="Times New Roman" w:cs="Times New Roman"/>
          <w:sz w:val="24"/>
        </w:rPr>
        <w:t xml:space="preserve">, a </w:t>
      </w:r>
      <w:r w:rsidR="000A6CE6">
        <w:rPr>
          <w:rFonts w:ascii="Times New Roman" w:eastAsia="Times New Roman" w:hAnsi="Times New Roman" w:cs="Times New Roman"/>
          <w:sz w:val="24"/>
        </w:rPr>
        <w:t xml:space="preserve">Confederação Nacional da Indústria </w:t>
      </w:r>
      <w:r w:rsidR="004777E7">
        <w:rPr>
          <w:rFonts w:ascii="Times New Roman" w:eastAsia="Times New Roman" w:hAnsi="Times New Roman" w:cs="Times New Roman"/>
          <w:sz w:val="24"/>
        </w:rPr>
        <w:t>(</w:t>
      </w:r>
      <w:r w:rsidR="000A6CE6">
        <w:rPr>
          <w:rFonts w:ascii="Times New Roman" w:eastAsia="Times New Roman" w:hAnsi="Times New Roman" w:cs="Times New Roman"/>
          <w:sz w:val="24"/>
        </w:rPr>
        <w:t>CNI</w:t>
      </w:r>
      <w:r w:rsidR="004777E7">
        <w:rPr>
          <w:rFonts w:ascii="Times New Roman" w:eastAsia="Times New Roman" w:hAnsi="Times New Roman" w:cs="Times New Roman"/>
          <w:sz w:val="24"/>
        </w:rPr>
        <w:t>)</w:t>
      </w:r>
      <w:r w:rsidR="00686A81">
        <w:rPr>
          <w:rFonts w:ascii="Times New Roman" w:eastAsia="Times New Roman" w:hAnsi="Times New Roman" w:cs="Times New Roman"/>
          <w:sz w:val="24"/>
        </w:rPr>
        <w:t xml:space="preserve"> procurou escritório de advocacia especializado em questões tributárias para avaliar a legalidade/constitucionalidade da referida taxa</w:t>
      </w:r>
      <w:r w:rsidR="00E62A3C">
        <w:rPr>
          <w:rFonts w:ascii="Times New Roman" w:eastAsia="Times New Roman" w:hAnsi="Times New Roman" w:cs="Times New Roman"/>
          <w:sz w:val="24"/>
        </w:rPr>
        <w:t xml:space="preserve">, por entender que a exação </w:t>
      </w:r>
      <w:r w:rsidR="00B03C92">
        <w:rPr>
          <w:rFonts w:ascii="Times New Roman" w:eastAsia="Times New Roman" w:hAnsi="Times New Roman" w:cs="Times New Roman"/>
          <w:sz w:val="24"/>
        </w:rPr>
        <w:t>possui características de</w:t>
      </w:r>
      <w:r w:rsidR="00E62A3C">
        <w:rPr>
          <w:rFonts w:ascii="Times New Roman" w:eastAsia="Times New Roman" w:hAnsi="Times New Roman" w:cs="Times New Roman"/>
          <w:sz w:val="24"/>
        </w:rPr>
        <w:t xml:space="preserve"> imposto</w:t>
      </w:r>
      <w:r w:rsidR="00686A81">
        <w:rPr>
          <w:rFonts w:ascii="Times New Roman" w:eastAsia="Times New Roman" w:hAnsi="Times New Roman" w:cs="Times New Roman"/>
          <w:sz w:val="24"/>
        </w:rPr>
        <w:t>.</w:t>
      </w:r>
    </w:p>
    <w:p w14:paraId="56CA4A94" w14:textId="77777777" w:rsidR="007C1AAF" w:rsidRDefault="00686A81" w:rsidP="007C1A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Assim, elaborem:</w:t>
      </w:r>
    </w:p>
    <w:p w14:paraId="394DC15A" w14:textId="41873A5D" w:rsidR="007C1AAF" w:rsidRPr="007C1AAF" w:rsidRDefault="00686A81" w:rsidP="007C1AAF">
      <w:pPr>
        <w:pStyle w:val="PargrafodaLista"/>
        <w:numPr>
          <w:ilvl w:val="0"/>
          <w:numId w:val="1"/>
        </w:numPr>
        <w:spacing w:before="120"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r w:rsidRPr="007C1AAF">
        <w:rPr>
          <w:rFonts w:ascii="Times New Roman" w:eastAsia="Times New Roman" w:hAnsi="Times New Roman" w:cs="Times New Roman"/>
          <w:sz w:val="24"/>
        </w:rPr>
        <w:t>como representantes do Fisco, os argumentos cabíveis para justificar a constitucionalidade da taxa; e</w:t>
      </w:r>
    </w:p>
    <w:p w14:paraId="7DEE916F" w14:textId="7CC5FAAB" w:rsidR="002855EC" w:rsidRPr="007C1AAF" w:rsidRDefault="00686A81" w:rsidP="007C1AAF">
      <w:pPr>
        <w:pStyle w:val="PargrafodaLista"/>
        <w:numPr>
          <w:ilvl w:val="0"/>
          <w:numId w:val="1"/>
        </w:numPr>
        <w:spacing w:before="120"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C1AAF">
        <w:rPr>
          <w:rFonts w:ascii="Times New Roman" w:eastAsia="Times New Roman" w:hAnsi="Times New Roman" w:cs="Times New Roman"/>
          <w:sz w:val="24"/>
        </w:rPr>
        <w:t>como</w:t>
      </w:r>
      <w:proofErr w:type="gramEnd"/>
      <w:r w:rsidRPr="007C1AAF">
        <w:rPr>
          <w:rFonts w:ascii="Times New Roman" w:eastAsia="Times New Roman" w:hAnsi="Times New Roman" w:cs="Times New Roman"/>
          <w:sz w:val="24"/>
        </w:rPr>
        <w:t xml:space="preserve"> representantes do contribuinte, os argumentos cabíveis para justificar a inconstitucionalidade </w:t>
      </w:r>
      <w:r w:rsidR="000A0D56">
        <w:rPr>
          <w:rFonts w:ascii="Times New Roman" w:eastAsia="Times New Roman" w:hAnsi="Times New Roman" w:cs="Times New Roman"/>
          <w:sz w:val="24"/>
        </w:rPr>
        <w:t xml:space="preserve">da </w:t>
      </w:r>
      <w:bookmarkStart w:id="0" w:name="_GoBack"/>
      <w:bookmarkEnd w:id="0"/>
      <w:r w:rsidRPr="007C1AAF">
        <w:rPr>
          <w:rFonts w:ascii="Times New Roman" w:eastAsia="Times New Roman" w:hAnsi="Times New Roman" w:cs="Times New Roman"/>
          <w:sz w:val="24"/>
        </w:rPr>
        <w:t xml:space="preserve">taxa; </w:t>
      </w:r>
    </w:p>
    <w:p w14:paraId="21838E4E" w14:textId="72559D28" w:rsidR="000A6CE6" w:rsidRDefault="00686A81" w:rsidP="00E4359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Esclareça-se que demais argumentos que transbordem da temática “Espécies Tributárias” poderão ser suscitados, devendo, porém, os debates em sala centrar-se no tema da aula para a resolução do caso. </w:t>
      </w:r>
    </w:p>
    <w:sectPr w:rsidR="000A6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57C5D"/>
    <w:multiLevelType w:val="hybridMultilevel"/>
    <w:tmpl w:val="0E7CF640"/>
    <w:lvl w:ilvl="0" w:tplc="54884B32">
      <w:start w:val="1"/>
      <w:numFmt w:val="lowerRoman"/>
      <w:lvlText w:val="(%1)"/>
      <w:lvlJc w:val="left"/>
      <w:pPr>
        <w:ind w:left="1768" w:hanging="10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C"/>
    <w:rsid w:val="000A0D56"/>
    <w:rsid w:val="000A6CE6"/>
    <w:rsid w:val="00201C14"/>
    <w:rsid w:val="002855EC"/>
    <w:rsid w:val="00471F1C"/>
    <w:rsid w:val="004777E7"/>
    <w:rsid w:val="00686A81"/>
    <w:rsid w:val="007C1AAF"/>
    <w:rsid w:val="009964FE"/>
    <w:rsid w:val="009D3148"/>
    <w:rsid w:val="00A83F35"/>
    <w:rsid w:val="00B03C92"/>
    <w:rsid w:val="00BE4BF5"/>
    <w:rsid w:val="00D3088F"/>
    <w:rsid w:val="00E43590"/>
    <w:rsid w:val="00E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DA90"/>
  <w15:docId w15:val="{3E6D843A-B41B-4074-B3C4-52F9CCBE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1AAF"/>
    <w:pPr>
      <w:ind w:left="720"/>
      <w:contextualSpacing/>
    </w:pPr>
  </w:style>
  <w:style w:type="table" w:styleId="Tabelacomgrade">
    <w:name w:val="Table Grid"/>
    <w:basedOn w:val="Tabelanormal"/>
    <w:uiPriority w:val="39"/>
    <w:rsid w:val="0047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255EB-8C2C-4084-A7B4-46FD7AB99DF0}"/>
</file>

<file path=customXml/itemProps2.xml><?xml version="1.0" encoding="utf-8"?>
<ds:datastoreItem xmlns:ds="http://schemas.openxmlformats.org/officeDocument/2006/customXml" ds:itemID="{C830A117-88A9-48E3-9153-CB06D5BA5792}"/>
</file>

<file path=customXml/itemProps3.xml><?xml version="1.0" encoding="utf-8"?>
<ds:datastoreItem xmlns:ds="http://schemas.openxmlformats.org/officeDocument/2006/customXml" ds:itemID="{540AA572-8B6C-48A7-939D-C13441B75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Arthur</dc:creator>
  <cp:lastModifiedBy>Paulo Arthur</cp:lastModifiedBy>
  <cp:revision>5</cp:revision>
  <dcterms:created xsi:type="dcterms:W3CDTF">2020-02-02T13:56:00Z</dcterms:created>
  <dcterms:modified xsi:type="dcterms:W3CDTF">2020-02-15T12:34:00Z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