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3EBB" w14:textId="77777777" w:rsidR="00B06A1A" w:rsidRDefault="0017012C" w:rsidP="00AD08F6">
      <w:pPr>
        <w:spacing w:line="240" w:lineRule="auto"/>
        <w:jc w:val="center"/>
        <w:rPr>
          <w:b/>
          <w:bCs/>
          <w:u w:val="single"/>
        </w:rPr>
      </w:pPr>
      <w:r w:rsidRPr="00AD08F6">
        <w:rPr>
          <w:b/>
          <w:bCs/>
          <w:u w:val="single"/>
        </w:rPr>
        <w:t xml:space="preserve">Aula do dia </w:t>
      </w:r>
      <w:r w:rsidR="002029A9">
        <w:rPr>
          <w:b/>
          <w:bCs/>
          <w:u w:val="single"/>
        </w:rPr>
        <w:t>14</w:t>
      </w:r>
      <w:r w:rsidRPr="00AD08F6">
        <w:rPr>
          <w:b/>
          <w:bCs/>
          <w:u w:val="single"/>
        </w:rPr>
        <w:t xml:space="preserve">.02.2020 – Direito administrativo e </w:t>
      </w:r>
      <w:r w:rsidR="00B06A1A">
        <w:rPr>
          <w:b/>
          <w:bCs/>
          <w:u w:val="single"/>
        </w:rPr>
        <w:t>modelo federativo</w:t>
      </w:r>
      <w:r w:rsidR="002029A9">
        <w:rPr>
          <w:b/>
          <w:bCs/>
          <w:u w:val="single"/>
        </w:rPr>
        <w:t xml:space="preserve"> </w:t>
      </w:r>
    </w:p>
    <w:p w14:paraId="77FB64E8" w14:textId="2A7C8062" w:rsidR="0017012C" w:rsidRPr="00AD08F6" w:rsidRDefault="002029A9" w:rsidP="00AD08F6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(PEC 188, Senado</w:t>
      </w:r>
      <w:r w:rsidR="00B06A1A">
        <w:rPr>
          <w:b/>
          <w:bCs/>
          <w:u w:val="single"/>
        </w:rPr>
        <w:t xml:space="preserve"> Federal</w:t>
      </w:r>
      <w:r>
        <w:rPr>
          <w:b/>
          <w:bCs/>
          <w:u w:val="single"/>
        </w:rPr>
        <w:t>)</w:t>
      </w:r>
    </w:p>
    <w:p w14:paraId="025AFDE3" w14:textId="6D868CCE" w:rsidR="002434C5" w:rsidRDefault="002434C5" w:rsidP="00AD08F6">
      <w:pPr>
        <w:spacing w:line="240" w:lineRule="auto"/>
        <w:jc w:val="both"/>
      </w:pPr>
    </w:p>
    <w:p w14:paraId="440920E2" w14:textId="46FDAEEB" w:rsidR="00B06A1A" w:rsidRDefault="00AB5786" w:rsidP="00AD08F6">
      <w:pPr>
        <w:spacing w:line="240" w:lineRule="auto"/>
        <w:jc w:val="both"/>
      </w:pPr>
      <w:r>
        <w:t>A</w:t>
      </w:r>
      <w:r w:rsidR="002029A9">
        <w:t xml:space="preserve"> Proposta de Emenda à Constituição nº 188, de 2019, do Senado Federal</w:t>
      </w:r>
      <w:r w:rsidR="002B0672">
        <w:t>, que passou a ser conhecida como “PEC do Pacto Federativo”,</w:t>
      </w:r>
      <w:r w:rsidR="002029A9">
        <w:t xml:space="preserve"> </w:t>
      </w:r>
      <w:r w:rsidR="00A52F45">
        <w:t>busca</w:t>
      </w:r>
      <w:r w:rsidR="002B0672">
        <w:t xml:space="preserve"> reformar regras constitucionais </w:t>
      </w:r>
      <w:r>
        <w:t>que disciplinam o federalismo brasileiro</w:t>
      </w:r>
      <w:r w:rsidR="003277E7">
        <w:t>.</w:t>
      </w:r>
      <w:r w:rsidR="00265559">
        <w:t xml:space="preserve"> </w:t>
      </w:r>
    </w:p>
    <w:p w14:paraId="2F9DF549" w14:textId="094A34D4" w:rsidR="003277E7" w:rsidRDefault="00265559" w:rsidP="00AD08F6">
      <w:pPr>
        <w:spacing w:line="240" w:lineRule="auto"/>
        <w:jc w:val="both"/>
      </w:pPr>
      <w:r>
        <w:t xml:space="preserve">Conforme consta da própria justificativa da proposta, </w:t>
      </w:r>
      <w:r w:rsidR="00B06A1A">
        <w:t xml:space="preserve">a PEC, dentre </w:t>
      </w:r>
      <w:r w:rsidR="0093217A">
        <w:t>outros</w:t>
      </w:r>
      <w:r w:rsidR="00B06A1A">
        <w:t xml:space="preserve">, </w:t>
      </w:r>
      <w:r w:rsidR="00FF2F4B">
        <w:t>possui</w:t>
      </w:r>
      <w:r w:rsidR="0093217A">
        <w:t xml:space="preserve"> </w:t>
      </w:r>
      <w:r w:rsidR="00A52F45">
        <w:t xml:space="preserve">os </w:t>
      </w:r>
      <w:r w:rsidR="0093217A">
        <w:t>seguintes objetivos</w:t>
      </w:r>
      <w:r w:rsidR="00FF2F4B">
        <w:t xml:space="preserve"> e instrumentos</w:t>
      </w:r>
      <w:r w:rsidR="0093217A">
        <w:t>: assegurar o fortalecimento fiscal da República, trazendo os incentivos corretos para uma boa gestão pública; conferir maior autonomia a Estados e Municípios, por meio da maior distribuição de recursos e suas alocações</w:t>
      </w:r>
      <w:r w:rsidR="00FF2F4B">
        <w:t xml:space="preserve"> (descentralização de recursos)</w:t>
      </w:r>
      <w:r w:rsidR="00AB5786">
        <w:t>;</w:t>
      </w:r>
      <w:r w:rsidR="0093217A">
        <w:t xml:space="preserve"> </w:t>
      </w:r>
      <w:r w:rsidR="00AB5786">
        <w:t>ampliação</w:t>
      </w:r>
      <w:r w:rsidR="0093217A">
        <w:t xml:space="preserve"> </w:t>
      </w:r>
      <w:r w:rsidR="00AB5786">
        <w:t>d</w:t>
      </w:r>
      <w:r w:rsidR="0093217A">
        <w:t>a responsabilidade dos gestores</w:t>
      </w:r>
      <w:r w:rsidR="00FF2F4B">
        <w:t xml:space="preserve"> (inclusive com a “vedação de socorro” da União aos entes em dificuldade financeira)</w:t>
      </w:r>
      <w:r w:rsidR="0093217A">
        <w:t>; esforço fiscal para diminuição de despesas obrigatórias; gatilhos de emergência fiscal</w:t>
      </w:r>
      <w:r w:rsidR="00FF2F4B">
        <w:t>; possibilidade do TCU editar orientações vinculantes aos demais Tribunais de Contas; diminuição da rigidez orçamentária; mecanismos de contenção de gastos de pessoal; etc.</w:t>
      </w:r>
    </w:p>
    <w:p w14:paraId="03713C13" w14:textId="7328A62B" w:rsidR="002029A9" w:rsidRDefault="002029A9" w:rsidP="00DB403E">
      <w:pPr>
        <w:spacing w:line="240" w:lineRule="auto"/>
        <w:jc w:val="both"/>
      </w:pPr>
      <w:r>
        <w:t>Visando</w:t>
      </w:r>
      <w:r w:rsidR="00FF2F4B">
        <w:t xml:space="preserve"> especificamente</w:t>
      </w:r>
      <w:r>
        <w:t xml:space="preserve"> enfrentar a questão da sustentabilidade financeira dos Municípios de menor tamanho, considerados inviáveis financeiramente</w:t>
      </w:r>
      <w:r w:rsidR="00265559">
        <w:t>, e até mesmo enfrentar o problema da proliferação excessiva de Municípios ocorrida sobretudo no período entre a vigência da Constituição de 1988 e sua Emenda Constitucional nº 15/1996 (que alterou a redação do §4º do artigo 18 da CF), tal proposta prevê</w:t>
      </w:r>
      <w:r w:rsidR="0093217A">
        <w:t>, em seu artigo 6º,</w:t>
      </w:r>
      <w:r w:rsidR="00265559">
        <w:t xml:space="preserve"> a possibilidade de extinção de</w:t>
      </w:r>
      <w:r w:rsidR="0093217A">
        <w:t xml:space="preserve"> Municípios de</w:t>
      </w:r>
      <w:r w:rsidR="00265559">
        <w:t xml:space="preserve"> até cinco mil habitantes </w:t>
      </w:r>
      <w:r w:rsidR="0093217A">
        <w:t>que não comprovem sua sustentabilidade financeira, pela inserção do artigo 115 no ADCT, conforme abaixo transcrito:</w:t>
      </w:r>
    </w:p>
    <w:p w14:paraId="70DE23CF" w14:textId="04530039" w:rsidR="0093217A" w:rsidRDefault="0093217A" w:rsidP="0093217A">
      <w:pPr>
        <w:spacing w:before="0" w:after="0" w:line="240" w:lineRule="auto"/>
        <w:ind w:left="1134"/>
        <w:jc w:val="both"/>
      </w:pPr>
      <w:r>
        <w:t xml:space="preserve">“Art. 6°. O Ato das Disposições Constitucionais Transitórias passa a vigorar acrescido dos </w:t>
      </w:r>
      <w:proofErr w:type="spellStart"/>
      <w:r>
        <w:t>arts</w:t>
      </w:r>
      <w:proofErr w:type="spellEnd"/>
      <w:r>
        <w:t>. 91-A, 115, 116</w:t>
      </w:r>
      <w:r w:rsidR="00D40427">
        <w:t xml:space="preserve"> </w:t>
      </w:r>
      <w:r>
        <w:t>e 117:</w:t>
      </w:r>
    </w:p>
    <w:p w14:paraId="289B0587" w14:textId="4D061B5E" w:rsidR="0093217A" w:rsidRDefault="0093217A" w:rsidP="0093217A">
      <w:pPr>
        <w:spacing w:before="0" w:after="0" w:line="240" w:lineRule="auto"/>
        <w:ind w:left="1134"/>
        <w:jc w:val="both"/>
      </w:pPr>
      <w:r>
        <w:t>(...)</w:t>
      </w:r>
    </w:p>
    <w:p w14:paraId="69C81625" w14:textId="389D8B5D" w:rsidR="002029A9" w:rsidRDefault="0093217A" w:rsidP="00DA6195">
      <w:pPr>
        <w:spacing w:before="0" w:after="0" w:line="240" w:lineRule="auto"/>
        <w:ind w:left="2268"/>
        <w:jc w:val="both"/>
      </w:pPr>
      <w:r>
        <w:t>“</w:t>
      </w:r>
      <w:r w:rsidR="002029A9">
        <w:t xml:space="preserve">Art. 115. Os Municípios de até cinco mil habitantes deverão comprovar, até o dia 30 de junho de 2023, sua sustentabilidade financeira. </w:t>
      </w:r>
    </w:p>
    <w:p w14:paraId="605A21F1" w14:textId="411196F9" w:rsidR="002029A9" w:rsidRDefault="002029A9" w:rsidP="00DA6195">
      <w:pPr>
        <w:spacing w:before="0" w:after="0" w:line="240" w:lineRule="auto"/>
        <w:ind w:left="2268"/>
        <w:jc w:val="both"/>
      </w:pPr>
      <w:r>
        <w:t xml:space="preserve">§ 1º A sustentabilidade financeira do Município é atestada mediante a comprovação de que o respectivo produto da arrecadação dos impostos a que se refere o art. 156 da Constituição </w:t>
      </w:r>
      <w:bookmarkStart w:id="0" w:name="_GoBack"/>
      <w:bookmarkEnd w:id="0"/>
      <w:r>
        <w:t xml:space="preserve">Federal corresponde a, no mínimo, dez por cento da sua receita. </w:t>
      </w:r>
    </w:p>
    <w:p w14:paraId="7F6064A6" w14:textId="3D37135E" w:rsidR="002029A9" w:rsidRDefault="002029A9" w:rsidP="00DA6195">
      <w:pPr>
        <w:spacing w:before="0" w:after="0" w:line="240" w:lineRule="auto"/>
        <w:ind w:left="2268"/>
        <w:jc w:val="both"/>
      </w:pPr>
      <w:r>
        <w:t>§ 2° O Município que não comprovar sua sustentabilidade financeira deverá ser incorporado a algum dos municípios limítrofes, a partir de 1</w:t>
      </w:r>
      <w:r w:rsidR="00D40427">
        <w:t>º</w:t>
      </w:r>
      <w:r>
        <w:t xml:space="preserve"> de janeiro de 2025. </w:t>
      </w:r>
    </w:p>
    <w:p w14:paraId="5E82DE1C" w14:textId="77777777" w:rsidR="002029A9" w:rsidRDefault="002029A9" w:rsidP="00DA6195">
      <w:pPr>
        <w:spacing w:before="0" w:after="0" w:line="240" w:lineRule="auto"/>
        <w:ind w:left="2268"/>
        <w:jc w:val="both"/>
      </w:pPr>
      <w:r>
        <w:t xml:space="preserve">§ 3° O Município com melhor índice de sustentabilidade financeira será o incorporador. </w:t>
      </w:r>
    </w:p>
    <w:p w14:paraId="6DD50170" w14:textId="77777777" w:rsidR="002029A9" w:rsidRDefault="002029A9" w:rsidP="00DA6195">
      <w:pPr>
        <w:spacing w:before="0" w:after="0" w:line="240" w:lineRule="auto"/>
        <w:ind w:left="2268"/>
        <w:jc w:val="both"/>
      </w:pPr>
      <w:r>
        <w:t xml:space="preserve">§ 4° Poderão ser incorporados até três Munícipios por um único Município incorporador. </w:t>
      </w:r>
    </w:p>
    <w:p w14:paraId="6FCD2CFA" w14:textId="32E8B072" w:rsidR="002029A9" w:rsidRDefault="002029A9" w:rsidP="00DA6195">
      <w:pPr>
        <w:spacing w:before="0" w:after="0" w:line="240" w:lineRule="auto"/>
        <w:ind w:left="2268"/>
        <w:jc w:val="both"/>
      </w:pPr>
      <w:r>
        <w:lastRenderedPageBreak/>
        <w:t>§ 5° Não se aplica à incorporação de que trata este artigo o disposto no § 4° do art. 18 da Constituição Federal.</w:t>
      </w:r>
      <w:r w:rsidR="0093217A">
        <w:t>” (NR)”</w:t>
      </w:r>
    </w:p>
    <w:p w14:paraId="201D62E7" w14:textId="0CDD5EBE" w:rsidR="002029A9" w:rsidRDefault="002029A9" w:rsidP="00DA6195">
      <w:pPr>
        <w:spacing w:before="0" w:after="0" w:line="240" w:lineRule="auto"/>
        <w:ind w:left="2268"/>
        <w:jc w:val="both"/>
      </w:pPr>
      <w:r>
        <w:t xml:space="preserve">§ 6° Para efeito de apuração da quantidade de habitantes de que trata o </w:t>
      </w:r>
      <w:r w:rsidRPr="002029A9">
        <w:rPr>
          <w:i/>
          <w:iCs/>
        </w:rPr>
        <w:t>caput</w:t>
      </w:r>
      <w:r>
        <w:t>, serão considerados exclusivamente os dados do censo populacional do ano de 2020.</w:t>
      </w:r>
    </w:p>
    <w:p w14:paraId="4EE89C7B" w14:textId="10A54792" w:rsidR="002029A9" w:rsidRDefault="00FF2F4B" w:rsidP="00DB403E">
      <w:pPr>
        <w:spacing w:line="240" w:lineRule="auto"/>
        <w:jc w:val="both"/>
      </w:pPr>
      <w:r>
        <w:tab/>
        <w:t>Especificamente em relação a esse ponto da proposta, foi apresentada a seguinte justificativa:</w:t>
      </w:r>
    </w:p>
    <w:p w14:paraId="46443256" w14:textId="77777777" w:rsidR="00FF2F4B" w:rsidRDefault="00FF2F4B" w:rsidP="00FF2F4B">
      <w:pPr>
        <w:spacing w:before="0" w:after="0" w:line="240" w:lineRule="auto"/>
        <w:ind w:left="1134"/>
        <w:jc w:val="both"/>
      </w:pPr>
      <w:r>
        <w:t xml:space="preserve">“Reputo essencial trazer ao debate desta Casa outro tema de relevante importância: a criação de Municípios como um fim em si mesmo. </w:t>
      </w:r>
    </w:p>
    <w:p w14:paraId="1A42C767" w14:textId="77777777" w:rsidR="00FF2F4B" w:rsidRDefault="00FF2F4B" w:rsidP="00FF2F4B">
      <w:pPr>
        <w:spacing w:before="0" w:after="0" w:line="240" w:lineRule="auto"/>
        <w:ind w:left="1134"/>
        <w:jc w:val="both"/>
      </w:pPr>
      <w:r>
        <w:t xml:space="preserve">Temos mais de 5.500 Municípios no Brasil, sendo que, destes, mais de 1.200 possui população inferior a 5.000 habitantes e, em sua maioria, não arrecada receitas próprias suficientes para custear a sua própria estrutura (Prefeitura, Câmara de Vereadores etc.), isto é, custos que não existiriam (ou seriam substancialmente reduzidos) caso o Município fosse incorporado a outro. </w:t>
      </w:r>
    </w:p>
    <w:p w14:paraId="09815130" w14:textId="77777777" w:rsidR="00FF2F4B" w:rsidRDefault="00FF2F4B" w:rsidP="00FF2F4B">
      <w:pPr>
        <w:spacing w:before="0" w:after="0" w:line="240" w:lineRule="auto"/>
        <w:ind w:left="1134"/>
        <w:jc w:val="both"/>
      </w:pPr>
      <w:r>
        <w:t xml:space="preserve">Quanto a esse ponto, estamos propondo duas medidas: </w:t>
      </w:r>
    </w:p>
    <w:p w14:paraId="46B0ABFC" w14:textId="77777777" w:rsidR="00FF2F4B" w:rsidRDefault="00FF2F4B" w:rsidP="00FF2F4B">
      <w:pPr>
        <w:spacing w:before="0" w:after="0" w:line="240" w:lineRule="auto"/>
        <w:ind w:left="1134"/>
        <w:jc w:val="both"/>
      </w:pPr>
      <w:r>
        <w:t xml:space="preserve">1- Lei complementar federal poderá fixar requisitos de viabilidade financeira para a criação e o desmembramento de Municípios; e </w:t>
      </w:r>
    </w:p>
    <w:p w14:paraId="2DA08E7E" w14:textId="32B952BD" w:rsidR="002029A9" w:rsidRDefault="00FF2F4B" w:rsidP="00FF2F4B">
      <w:pPr>
        <w:spacing w:before="0" w:after="0" w:line="240" w:lineRule="auto"/>
        <w:ind w:left="1134"/>
        <w:jc w:val="both"/>
      </w:pPr>
      <w:r>
        <w:t xml:space="preserve">2- Municípios de até 5.000 habitantes deverão, até o dia 30 de junho de 2023, demonstrar que o produto da arrecadação dos impostos municipais corresponde a, no mínimo, dez por cento da sua receita total. Caso essa comprovação não ocorra, o Município será incorporado a partir de </w:t>
      </w:r>
      <w:r w:rsidR="00A52F45">
        <w:t>1º</w:t>
      </w:r>
      <w:r>
        <w:t xml:space="preserve"> de janeiro de 2025, ao município limítrofe com melhor sustentabilidade financeira, observado o limite de até 3 Municípios por um único Município incorporador.</w:t>
      </w:r>
      <w:r w:rsidR="00A52F45">
        <w:t>”</w:t>
      </w:r>
    </w:p>
    <w:p w14:paraId="7210091F" w14:textId="77777777" w:rsidR="00850217" w:rsidRDefault="00850217" w:rsidP="00FF2F4B">
      <w:pPr>
        <w:spacing w:before="0" w:after="0" w:line="240" w:lineRule="auto"/>
        <w:ind w:left="1134"/>
        <w:jc w:val="both"/>
      </w:pPr>
    </w:p>
    <w:p w14:paraId="5CAE1DCC" w14:textId="77777777" w:rsidR="00B927E6" w:rsidRPr="00DA6195" w:rsidRDefault="00B927E6" w:rsidP="00C51F23">
      <w:pPr>
        <w:spacing w:line="240" w:lineRule="auto"/>
        <w:jc w:val="both"/>
        <w:rPr>
          <w:b/>
          <w:bCs/>
          <w:u w:val="single"/>
        </w:rPr>
      </w:pPr>
      <w:r w:rsidRPr="00DA6195">
        <w:rPr>
          <w:b/>
          <w:bCs/>
          <w:u w:val="single"/>
        </w:rPr>
        <w:t>Ficha de reação:</w:t>
      </w:r>
    </w:p>
    <w:p w14:paraId="2ADE97C8" w14:textId="2C1E4C22" w:rsidR="00180A93" w:rsidRDefault="00850217" w:rsidP="00FC518E">
      <w:pPr>
        <w:spacing w:line="240" w:lineRule="auto"/>
        <w:jc w:val="both"/>
      </w:pPr>
      <w:r>
        <w:t>Durante o trâmite legislativo da PEC,</w:t>
      </w:r>
      <w:r w:rsidR="00180A93">
        <w:t xml:space="preserve"> em face de grande repercussão que a proposta de extinção de Municípios teve nos mais de 1.200 Municípios atualmente existentes com até 5 mil habitantes, e considerando que a forma federativa de Estado é cláusula pétrea (artigo 60, §4º, inciso I, da CF), a autonomia dos entes federativos (artigo 18, CF)</w:t>
      </w:r>
      <w:r w:rsidR="006A59C9">
        <w:t>, os impostos municipais</w:t>
      </w:r>
      <w:r w:rsidR="00180A93">
        <w:t xml:space="preserve"> e o sistema de repartição de receitas </w:t>
      </w:r>
      <w:r w:rsidR="006A59C9">
        <w:t>da CF (artigos 156 à 162)</w:t>
      </w:r>
      <w:r w:rsidR="00180A93">
        <w:t xml:space="preserve">; </w:t>
      </w:r>
      <w:r w:rsidR="006A59C9">
        <w:t>a Consultoria Legislativa do Senado Federal foi provocada para opinar sobre a constitucionalidade da proposta de inclusão do artigo 115 no ADCT.</w:t>
      </w:r>
    </w:p>
    <w:p w14:paraId="5EDA213E" w14:textId="6029950C" w:rsidR="00493C5D" w:rsidRDefault="00850217" w:rsidP="00FC518E">
      <w:pPr>
        <w:spacing w:line="240" w:lineRule="auto"/>
        <w:jc w:val="both"/>
      </w:pPr>
      <w:r>
        <w:t>N</w:t>
      </w:r>
      <w:r w:rsidR="00FF2F4B">
        <w:t xml:space="preserve">a condição de </w:t>
      </w:r>
      <w:r>
        <w:t xml:space="preserve">servidor(a) ocupante de cargo de </w:t>
      </w:r>
      <w:r w:rsidR="00FF2F4B">
        <w:t>Consultor Legislativo do Senado Federal</w:t>
      </w:r>
      <w:r>
        <w:t xml:space="preserve"> responsável por responder à consulta formulada, elabore nota técnica (“parecer legislativo”) </w:t>
      </w:r>
      <w:r w:rsidR="006A59C9">
        <w:t>defendendo</w:t>
      </w:r>
      <w:r>
        <w:t xml:space="preserve"> a constitucionalidade ou inconstitucio</w:t>
      </w:r>
      <w:r w:rsidR="00180A93">
        <w:t xml:space="preserve">nalidade da proposta de inclusão </w:t>
      </w:r>
      <w:r w:rsidR="006A59C9">
        <w:t>do aludido artigo 115 (podendo, facultativamente, sugerir aprimoramento da redação de um ou alguns de seus dispositivos)</w:t>
      </w:r>
      <w:r w:rsidR="00180A93">
        <w:t>.</w:t>
      </w:r>
    </w:p>
    <w:p w14:paraId="3647D716" w14:textId="26C6107D" w:rsidR="00E67F74" w:rsidRPr="0017012C" w:rsidRDefault="00E67F74" w:rsidP="00FC518E">
      <w:pPr>
        <w:spacing w:line="240" w:lineRule="auto"/>
        <w:jc w:val="both"/>
      </w:pPr>
      <w:r>
        <w:t>PS: Ao formular a ficha de reação, não há necessidade de se preocupar com aspectos de estruturação formal da nota técnica/parecer legislativo.</w:t>
      </w:r>
    </w:p>
    <w:sectPr w:rsidR="00E67F74" w:rsidRPr="0017012C" w:rsidSect="0017012C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0272" w14:textId="77777777" w:rsidR="00B872DD" w:rsidRDefault="00B872DD" w:rsidP="0017012C">
      <w:pPr>
        <w:spacing w:before="0" w:after="0" w:line="240" w:lineRule="auto"/>
      </w:pPr>
      <w:r>
        <w:separator/>
      </w:r>
    </w:p>
  </w:endnote>
  <w:endnote w:type="continuationSeparator" w:id="0">
    <w:p w14:paraId="1A39C5AD" w14:textId="77777777" w:rsidR="00B872DD" w:rsidRDefault="00B872DD" w:rsidP="001701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A3ED" w14:textId="77777777" w:rsidR="00B872DD" w:rsidRDefault="00B872DD" w:rsidP="0017012C">
      <w:pPr>
        <w:spacing w:before="0" w:after="0" w:line="240" w:lineRule="auto"/>
      </w:pPr>
      <w:r>
        <w:separator/>
      </w:r>
    </w:p>
  </w:footnote>
  <w:footnote w:type="continuationSeparator" w:id="0">
    <w:p w14:paraId="708850D9" w14:textId="77777777" w:rsidR="00B872DD" w:rsidRDefault="00B872DD" w:rsidP="001701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372"/>
    </w:tblGrid>
    <w:tr w:rsidR="0017012C" w14:paraId="58DEFFBE" w14:textId="77777777" w:rsidTr="0017012C">
      <w:tc>
        <w:tcPr>
          <w:tcW w:w="2122" w:type="dxa"/>
        </w:tcPr>
        <w:p w14:paraId="7E048A48" w14:textId="77777777" w:rsidR="0017012C" w:rsidRDefault="0017012C" w:rsidP="0017012C">
          <w:pPr>
            <w:pStyle w:val="Cabealho"/>
            <w:jc w:val="center"/>
          </w:pPr>
          <w:r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0" wp14:anchorId="5840AE7A" wp14:editId="44725C21">
                <wp:simplePos x="0" y="0"/>
                <wp:positionH relativeFrom="column">
                  <wp:posOffset>-6350</wp:posOffset>
                </wp:positionH>
                <wp:positionV relativeFrom="paragraph">
                  <wp:posOffset>599</wp:posOffset>
                </wp:positionV>
                <wp:extent cx="1005840" cy="1016635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2" w:type="dxa"/>
        </w:tcPr>
        <w:p w14:paraId="0F39D762" w14:textId="77777777" w:rsidR="0017012C" w:rsidRDefault="0017012C" w:rsidP="0017012C">
          <w:pPr>
            <w:pStyle w:val="Cabealho"/>
            <w:jc w:val="center"/>
          </w:pPr>
        </w:p>
        <w:p w14:paraId="39087B61" w14:textId="77777777" w:rsidR="0017012C" w:rsidRDefault="0017012C" w:rsidP="0017012C">
          <w:pPr>
            <w:pStyle w:val="Cabealho"/>
            <w:jc w:val="center"/>
          </w:pPr>
          <w:r>
            <w:t>Faculdade de Direito da USP</w:t>
          </w:r>
        </w:p>
        <w:p w14:paraId="15721B99" w14:textId="77777777" w:rsidR="0017012C" w:rsidRDefault="0017012C" w:rsidP="0017012C">
          <w:pPr>
            <w:pStyle w:val="Cabealho"/>
            <w:jc w:val="center"/>
          </w:pPr>
          <w:r>
            <w:t>Departamento de Direito do Estado</w:t>
          </w:r>
        </w:p>
        <w:p w14:paraId="55996A83" w14:textId="77777777" w:rsidR="0017012C" w:rsidRDefault="0017012C" w:rsidP="0017012C">
          <w:pPr>
            <w:pStyle w:val="Cabealho"/>
            <w:jc w:val="center"/>
          </w:pPr>
          <w:r>
            <w:t>Direito Administrativo Interdisciplinar I</w:t>
          </w:r>
        </w:p>
        <w:p w14:paraId="79980AB0" w14:textId="77777777" w:rsidR="0017012C" w:rsidRDefault="0017012C" w:rsidP="0017012C">
          <w:pPr>
            <w:pStyle w:val="Cabealho"/>
            <w:jc w:val="center"/>
          </w:pPr>
          <w:r>
            <w:t>Prof. Fernando Dias Menezes de Almeida</w:t>
          </w:r>
        </w:p>
      </w:tc>
    </w:tr>
  </w:tbl>
  <w:p w14:paraId="7E05F4F6" w14:textId="77777777" w:rsidR="0017012C" w:rsidRDefault="0017012C" w:rsidP="0017012C">
    <w:pPr>
      <w:pStyle w:val="Cabealho"/>
      <w:pBdr>
        <w:bottom w:val="single" w:sz="12" w:space="1" w:color="auto"/>
      </w:pBdr>
      <w:jc w:val="center"/>
    </w:pPr>
  </w:p>
  <w:p w14:paraId="45937282" w14:textId="77777777" w:rsidR="0017012C" w:rsidRDefault="001701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DA0"/>
    <w:multiLevelType w:val="hybridMultilevel"/>
    <w:tmpl w:val="68FAAEE6"/>
    <w:lvl w:ilvl="0" w:tplc="8DACA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303"/>
    <w:multiLevelType w:val="hybridMultilevel"/>
    <w:tmpl w:val="4E7AF698"/>
    <w:lvl w:ilvl="0" w:tplc="4A60CA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E64"/>
    <w:multiLevelType w:val="hybridMultilevel"/>
    <w:tmpl w:val="C6204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2C"/>
    <w:rsid w:val="00030EE9"/>
    <w:rsid w:val="000A380B"/>
    <w:rsid w:val="000E3B05"/>
    <w:rsid w:val="0017012C"/>
    <w:rsid w:val="00180A93"/>
    <w:rsid w:val="001A107C"/>
    <w:rsid w:val="001B5F7E"/>
    <w:rsid w:val="001E7877"/>
    <w:rsid w:val="001F6303"/>
    <w:rsid w:val="002029A9"/>
    <w:rsid w:val="002434C5"/>
    <w:rsid w:val="002434D1"/>
    <w:rsid w:val="0026223B"/>
    <w:rsid w:val="00265559"/>
    <w:rsid w:val="002B0672"/>
    <w:rsid w:val="002C2EDC"/>
    <w:rsid w:val="002E7B88"/>
    <w:rsid w:val="0031039F"/>
    <w:rsid w:val="0032547C"/>
    <w:rsid w:val="003277E7"/>
    <w:rsid w:val="003476B8"/>
    <w:rsid w:val="00467B30"/>
    <w:rsid w:val="004810A1"/>
    <w:rsid w:val="00493C5D"/>
    <w:rsid w:val="004C094A"/>
    <w:rsid w:val="004D484E"/>
    <w:rsid w:val="0058616E"/>
    <w:rsid w:val="005A537A"/>
    <w:rsid w:val="00603CF2"/>
    <w:rsid w:val="006A59C9"/>
    <w:rsid w:val="00715307"/>
    <w:rsid w:val="00745E2A"/>
    <w:rsid w:val="0076404C"/>
    <w:rsid w:val="007752F0"/>
    <w:rsid w:val="0078304A"/>
    <w:rsid w:val="007A0ADA"/>
    <w:rsid w:val="007E2E8B"/>
    <w:rsid w:val="0081001F"/>
    <w:rsid w:val="00850217"/>
    <w:rsid w:val="00852D9F"/>
    <w:rsid w:val="00876BB3"/>
    <w:rsid w:val="00881E77"/>
    <w:rsid w:val="00887B5E"/>
    <w:rsid w:val="008A31ED"/>
    <w:rsid w:val="008D1A7D"/>
    <w:rsid w:val="008F3A5E"/>
    <w:rsid w:val="008F46C4"/>
    <w:rsid w:val="00911CAB"/>
    <w:rsid w:val="0093217A"/>
    <w:rsid w:val="00935C49"/>
    <w:rsid w:val="00941EC0"/>
    <w:rsid w:val="009468BA"/>
    <w:rsid w:val="00997D14"/>
    <w:rsid w:val="00A02603"/>
    <w:rsid w:val="00A52F45"/>
    <w:rsid w:val="00A724DD"/>
    <w:rsid w:val="00A81D5B"/>
    <w:rsid w:val="00A82D72"/>
    <w:rsid w:val="00AA0CBB"/>
    <w:rsid w:val="00AA531E"/>
    <w:rsid w:val="00AB31D0"/>
    <w:rsid w:val="00AB5786"/>
    <w:rsid w:val="00AD08F6"/>
    <w:rsid w:val="00AD20F0"/>
    <w:rsid w:val="00B06A1A"/>
    <w:rsid w:val="00B375EE"/>
    <w:rsid w:val="00B6497B"/>
    <w:rsid w:val="00B66021"/>
    <w:rsid w:val="00B872DD"/>
    <w:rsid w:val="00B927E6"/>
    <w:rsid w:val="00B92DB5"/>
    <w:rsid w:val="00BB04B0"/>
    <w:rsid w:val="00BC3D3A"/>
    <w:rsid w:val="00BF15FB"/>
    <w:rsid w:val="00C243B6"/>
    <w:rsid w:val="00C51F23"/>
    <w:rsid w:val="00CA45B9"/>
    <w:rsid w:val="00CB5DD5"/>
    <w:rsid w:val="00D330B9"/>
    <w:rsid w:val="00D40427"/>
    <w:rsid w:val="00D55F2A"/>
    <w:rsid w:val="00D6248F"/>
    <w:rsid w:val="00DA6195"/>
    <w:rsid w:val="00DB403E"/>
    <w:rsid w:val="00DE398D"/>
    <w:rsid w:val="00E3166F"/>
    <w:rsid w:val="00E67F74"/>
    <w:rsid w:val="00E933E2"/>
    <w:rsid w:val="00ED38F1"/>
    <w:rsid w:val="00F37568"/>
    <w:rsid w:val="00F74249"/>
    <w:rsid w:val="00F779D0"/>
    <w:rsid w:val="00FC518E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F645"/>
  <w15:chartTrackingRefBased/>
  <w15:docId w15:val="{8BE3B2F1-4505-4A2E-8F38-C6006B0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7A0ADA"/>
    <w:pPr>
      <w:spacing w:before="0" w:after="240" w:line="240" w:lineRule="auto"/>
      <w:ind w:left="2835"/>
      <w:jc w:val="both"/>
    </w:pPr>
    <w:rPr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7A0ADA"/>
    <w:rPr>
      <w:iCs/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17012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12C"/>
  </w:style>
  <w:style w:type="paragraph" w:styleId="Rodap">
    <w:name w:val="footer"/>
    <w:basedOn w:val="Normal"/>
    <w:link w:val="RodapChar"/>
    <w:uiPriority w:val="99"/>
    <w:unhideWhenUsed/>
    <w:rsid w:val="0017012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12C"/>
  </w:style>
  <w:style w:type="table" w:styleId="Tabelacomgrade">
    <w:name w:val="Table Grid"/>
    <w:basedOn w:val="Tabelanormal"/>
    <w:uiPriority w:val="39"/>
    <w:rsid w:val="001701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012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37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5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5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5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5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Romano Soares</dc:creator>
  <cp:keywords/>
  <dc:description/>
  <cp:lastModifiedBy>Paulo Henrique Macera</cp:lastModifiedBy>
  <cp:revision>3</cp:revision>
  <cp:lastPrinted>2020-02-10T23:22:00Z</cp:lastPrinted>
  <dcterms:created xsi:type="dcterms:W3CDTF">2020-02-11T16:21:00Z</dcterms:created>
  <dcterms:modified xsi:type="dcterms:W3CDTF">2020-02-11T19:42:00Z</dcterms:modified>
</cp:coreProperties>
</file>