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Faculdade de Medicina de Ribeirão Preto</w:t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Universidade de São Paulo</w:t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/>
      </w:pPr>
      <w:r w:rsidDel="00000000" w:rsidR="00000000" w:rsidRPr="00000000">
        <w:rPr>
          <w:rtl w:val="0"/>
        </w:rPr>
        <w:t xml:space="preserve">Curso de Medicina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Disciplina</w:t>
      </w:r>
    </w:p>
    <w:p w:rsidR="00000000" w:rsidDel="00000000" w:rsidP="00000000" w:rsidRDefault="00000000" w:rsidRPr="00000000" w14:paraId="00000006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RCG0285-Biologia do </w:t>
      </w:r>
      <w:r w:rsidDel="00000000" w:rsidR="00000000" w:rsidRPr="00000000">
        <w:rPr>
          <w:b w:val="1"/>
          <w:rtl w:val="0"/>
        </w:rPr>
        <w:t xml:space="preserve">Câncer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Estudo Dirigido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IDENTIFICAÇÃO DE BIOMARCADORES DE PROGNÓSTICO E ALVOS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TERAPÊUTICOS SELETIVOS VISANDO MEDICINA DE PRECISÃO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Esta atividade visa dois objetivos principais:</w:t>
      </w:r>
    </w:p>
    <w:p w:rsidR="00000000" w:rsidDel="00000000" w:rsidP="00000000" w:rsidRDefault="00000000" w:rsidRPr="00000000" w14:paraId="0000000E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1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Treinar o raciocínio lógico para definição de vias/genes que </w:t>
      </w:r>
      <w:r w:rsidDel="00000000" w:rsidR="00000000" w:rsidRPr="00000000">
        <w:rPr>
          <w:rtl w:val="0"/>
        </w:rPr>
        <w:t xml:space="preserve">possam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ser mais relevantes para um dado tumor, no sentido de permitir a caracterização de pacientes em subgrupos com prognósticos diferentes;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1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Esse tipo de abordagem pode indicar possíveis marcadores genéticos para o diagnóstico de estadiamento mais preciso e que possam futuramente ser utilizados na triagem dos pacientes para definição de tratamentos personalizados. Ou seja, orienta como pode ser feita a seleção potenciais alvos terapêuticos para o desenvolvimento de novas drogas para tumores e subtipos tumorais.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b w:val="1"/>
          <w:rtl w:val="0"/>
        </w:rPr>
        <w:t xml:space="preserve">Nota importante</w:t>
      </w:r>
      <w:r w:rsidDel="00000000" w:rsidR="00000000" w:rsidRPr="00000000">
        <w:rPr>
          <w:rtl w:val="0"/>
        </w:rPr>
        <w:t xml:space="preserve">: para orientá-los durante a escolha dos alvos terapêuticos, consulte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no </w:t>
      </w:r>
      <w:hyperlink r:id="rId6">
        <w:r w:rsidDel="00000000" w:rsidR="00000000" w:rsidRPr="00000000">
          <w:rPr>
            <w:rFonts w:ascii="Cambria" w:cs="Cambria" w:eastAsia="Cambria" w:hAnsi="Cambria"/>
            <w:color w:val="0000ff"/>
            <w:u w:val="single"/>
            <w:rtl w:val="0"/>
          </w:rPr>
          <w:t xml:space="preserve">PubMed</w:t>
        </w:r>
      </w:hyperlink>
      <w:r w:rsidDel="00000000" w:rsidR="00000000" w:rsidRPr="00000000">
        <w:rPr>
          <w:rFonts w:ascii="Cambria" w:cs="Cambria" w:eastAsia="Cambria" w:hAnsi="Cambria"/>
          <w:rtl w:val="0"/>
        </w:rPr>
        <w:t xml:space="preserve"> informações sobre os genes alvos de escolha e possíveis associações com câncer, especialmente para os tipos de tumores que o grupo escolheu para as análises. Verificar se existem drogas disponíveis, ou em teste, direcionadas aos alvos selecionados.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Os resultados obtidos deverão ser apresentados na próxima aula, onde cada grupo irá mostrar os resultados mais relevantes justificando suas escolhas com os dados obtidos das análises nas plataformas GSEA e GEPIA. 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Primeira Etapa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Analisar a lista de 964 genes na plataforma GSEA (Gene Set Enrichment Analysis) (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http://software.broadinstitute.org/gsea/index.jsp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), clicando na opção “Investigate Gene Sets” no menu lateral esquerdo da página;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Copie e cole a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lista de genes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(arquivo localizado na página da disciplina no moodle) no quadro “Gene Identifiers”. Em seguida, na opção “Compute Overlaps”, selecione os itens H, C2, e C6, e selecione para mostrar os “top 100 genes”. Inicie a análise clicando em “compute overlaps”;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Quando aparecer o resultado, faça a análise dos genes de interesse na plataforma “GEPIA” (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http://gepia.cancer-pku.cn/index.html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), como descrito na etapa seguinte.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Segunda Etapa</w:t>
      </w:r>
    </w:p>
    <w:p w:rsidR="00000000" w:rsidDel="00000000" w:rsidP="00000000" w:rsidRDefault="00000000" w:rsidRPr="00000000" w14:paraId="0000001E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Insira o símbolo do gene de interesse, “gene symbol”, no campo “Enter gene name:” e clique em GoPIA para informação geral do padrão de expressão nos diferentes tecidos normais e tumorais para cada gene de interesse. Avalie em quais tumores o gene está mais diferencialmente expresso, para usá-lo na análise seguinte. Faça uma descrição sucinta dos resultados;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 seguida, explorar as ferramentas de expressão diferencial na opção “Expression DIY” (menu superior); selecione a opção “BoxPlot” e o(s) tumor(es) de interesse para gerar o gráfico com a expressão diferencial do(s) gene(s). Faça uma descrição sucinta do resultado;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Em seguida, para cada tumor escolhido, faça a análise de estadiamento selecionando a opção “Stage plot”. Descreva sucintamente os resultados, indicando os genes de interesse para a análise seguinte</w:t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último, faça a análise de correlação de sobrevida “Survival Plot” na opção “Survival” situada no menu superior. Descreva sucintamente o resultado para cada gene analisado;</w:t>
      </w:r>
    </w:p>
    <w:p w:rsidR="00000000" w:rsidDel="00000000" w:rsidP="00000000" w:rsidRDefault="00000000" w:rsidRPr="00000000" w14:paraId="00000026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6840" w:w="11900"/>
      <w:pgMar w:bottom="1440" w:top="882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420" w:hanging="360"/>
      </w:pPr>
      <w:rPr/>
    </w:lvl>
    <w:lvl w:ilvl="1">
      <w:start w:val="1"/>
      <w:numFmt w:val="lowerLetter"/>
      <w:lvlText w:val="%2."/>
      <w:lvlJc w:val="left"/>
      <w:pPr>
        <w:ind w:left="1140" w:hanging="360"/>
      </w:pPr>
      <w:rPr/>
    </w:lvl>
    <w:lvl w:ilvl="2">
      <w:start w:val="1"/>
      <w:numFmt w:val="lowerRoman"/>
      <w:lvlText w:val="%3."/>
      <w:lvlJc w:val="right"/>
      <w:pPr>
        <w:ind w:left="1860" w:hanging="180"/>
      </w:pPr>
      <w:rPr/>
    </w:lvl>
    <w:lvl w:ilvl="3">
      <w:start w:val="1"/>
      <w:numFmt w:val="decimal"/>
      <w:lvlText w:val="%4."/>
      <w:lvlJc w:val="left"/>
      <w:pPr>
        <w:ind w:left="2580" w:hanging="360"/>
      </w:pPr>
      <w:rPr/>
    </w:lvl>
    <w:lvl w:ilvl="4">
      <w:start w:val="1"/>
      <w:numFmt w:val="lowerLetter"/>
      <w:lvlText w:val="%5."/>
      <w:lvlJc w:val="left"/>
      <w:pPr>
        <w:ind w:left="3300" w:hanging="360"/>
      </w:pPr>
      <w:rPr/>
    </w:lvl>
    <w:lvl w:ilvl="5">
      <w:start w:val="1"/>
      <w:numFmt w:val="lowerRoman"/>
      <w:lvlText w:val="%6."/>
      <w:lvlJc w:val="right"/>
      <w:pPr>
        <w:ind w:left="4020" w:hanging="180"/>
      </w:pPr>
      <w:rPr/>
    </w:lvl>
    <w:lvl w:ilvl="6">
      <w:start w:val="1"/>
      <w:numFmt w:val="decimal"/>
      <w:lvlText w:val="%7."/>
      <w:lvlJc w:val="left"/>
      <w:pPr>
        <w:ind w:left="4740" w:hanging="360"/>
      </w:pPr>
      <w:rPr/>
    </w:lvl>
    <w:lvl w:ilvl="7">
      <w:start w:val="1"/>
      <w:numFmt w:val="lowerLetter"/>
      <w:lvlText w:val="%8."/>
      <w:lvlJc w:val="left"/>
      <w:pPr>
        <w:ind w:left="5460" w:hanging="360"/>
      </w:pPr>
      <w:rPr/>
    </w:lvl>
    <w:lvl w:ilvl="8">
      <w:start w:val="1"/>
      <w:numFmt w:val="lowerRoman"/>
      <w:lvlText w:val="%9."/>
      <w:lvlJc w:val="right"/>
      <w:pPr>
        <w:ind w:left="61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gepia.cancer-pku.cn/index.html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ncbi.nlm.nih.gov/pubmed/" TargetMode="External"/><Relationship Id="rId7" Type="http://schemas.openxmlformats.org/officeDocument/2006/relationships/hyperlink" Target="http://software.broadinstitute.org/gsea/index.jsp" TargetMode="External"/><Relationship Id="rId8" Type="http://schemas.openxmlformats.org/officeDocument/2006/relationships/hyperlink" Target="https://edisciplinas.usp.br/mod/resource/view.php?id=27277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