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0EA9" w:rsidRDefault="008250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Excelentíssimo Senhor Doutor Juiz de Direito da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Xª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Vara Federal da 1 Subseção do Estado de São Paulo</w:t>
      </w:r>
    </w:p>
    <w:p w14:paraId="00000002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03" w14:textId="77777777" w:rsidR="005C0EA9" w:rsidRDefault="0082509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Processo n. XXXXXX-</w:t>
      </w:r>
      <w:proofErr w:type="gramStart"/>
      <w:r>
        <w:rPr>
          <w:rFonts w:ascii="Times New Roman" w:eastAsia="Times New Roman" w:hAnsi="Times New Roman" w:cs="Times New Roman"/>
        </w:rPr>
        <w:t>XX.2019.X</w:t>
      </w:r>
      <w:proofErr w:type="gramEnd"/>
      <w:r>
        <w:rPr>
          <w:rFonts w:ascii="Times New Roman" w:eastAsia="Times New Roman" w:hAnsi="Times New Roman" w:cs="Times New Roman"/>
        </w:rPr>
        <w:t>.X.XXXX.</w:t>
      </w:r>
    </w:p>
    <w:p w14:paraId="00000004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C0EA9" w:rsidRDefault="008250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UNIÃO</w:t>
      </w:r>
      <w:r>
        <w:rPr>
          <w:rFonts w:ascii="Times New Roman" w:eastAsia="Times New Roman" w:hAnsi="Times New Roman" w:cs="Times New Roman"/>
          <w:sz w:val="24"/>
          <w:szCs w:val="24"/>
        </w:rPr>
        <w:t>, pessoa jurídica de direito público, representada pela Advocacia-Geral da União, com escritório Avenida Paulista, n. 1.374 - 7º andar - Bela Vista - São Paulo - SP – CEP: 01310-937, por seus procuradores infra-assinados, vem, com o devido acatamento, em p</w:t>
      </w:r>
      <w:r>
        <w:rPr>
          <w:rFonts w:ascii="Times New Roman" w:eastAsia="Times New Roman" w:hAnsi="Times New Roman" w:cs="Times New Roman"/>
          <w:sz w:val="24"/>
          <w:szCs w:val="24"/>
        </w:rPr>
        <w:t>razo hábil, à presença de Vossa Excelência, a fim de oferecer</w:t>
      </w:r>
    </w:p>
    <w:p w14:paraId="0000000C" w14:textId="77777777" w:rsidR="005C0EA9" w:rsidRDefault="005C0E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5C0EA9" w:rsidRDefault="0082509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 O N T E S T A Ç Ã O</w:t>
      </w:r>
    </w:p>
    <w:p w14:paraId="0000000E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C0EA9" w:rsidRDefault="008250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pedido formulado por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ASSOCIAÇÃO CIVIL MUNDO VERDE</w:t>
      </w:r>
      <w:r>
        <w:rPr>
          <w:rFonts w:ascii="Times New Roman" w:eastAsia="Times New Roman" w:hAnsi="Times New Roman" w:cs="Times New Roman"/>
          <w:sz w:val="24"/>
          <w:szCs w:val="24"/>
        </w:rPr>
        <w:t>, nos autos da ação civil pública que se processa perante esse Egrégio Juízo e respectivo Cartório.</w:t>
      </w:r>
    </w:p>
    <w:p w14:paraId="00000010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4770F95B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AF2F2" w14:textId="77777777" w:rsidR="005153AC" w:rsidRDefault="005153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C0EA9" w:rsidRDefault="0082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Síntese do form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ulado pela Autora</w:t>
      </w:r>
    </w:p>
    <w:p w14:paraId="00000014" w14:textId="77777777" w:rsidR="005C0EA9" w:rsidRDefault="00825098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Autora ajuíza a ação para suposta defesa de interesses transindividuais na proteção do meio ambiente, para que a União seja condenada à adotar medidas para redução de gases de efeito estufa em 37% das emissões base de 2005, consoante acordo firmado na 21</w:t>
      </w:r>
      <w:r>
        <w:rPr>
          <w:rFonts w:ascii="Times New Roman" w:eastAsia="Times New Roman" w:hAnsi="Times New Roman" w:cs="Times New Roman"/>
          <w:sz w:val="24"/>
          <w:szCs w:val="24"/>
        </w:rPr>
        <w:t>ª Conferência das Partes no âmbito da UNFCCC, que ficou conhecido como Acordo de Paris (2015), no qual os países se comprometeram a limitar o avanço do efeito estufa, com o Brasil estipulando o referido dado como meta para 2025. Ademais, a Autora ainda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mula seus pedidos com base na Política Nacional Sobre Mudança do Clima (PNMC) da Lei n. 12.187/2009, estabelecendo metas para 2020. No intuito de limitar o aquecimento global, os países apresentaram metas que pretendiam atingir em âmbito interno. </w:t>
      </w:r>
    </w:p>
    <w:p w14:paraId="00000015" w14:textId="77777777" w:rsidR="005C0EA9" w:rsidRDefault="00825098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tanto, alega que há responsabilidade do Estado com as questões referentes ao clima e que pode haver determinação de executoriedade para que a União seja coagida a promover políticas públicas que visem este fim. Neste sentido trouxe jurisprudências int</w:t>
      </w:r>
      <w:r>
        <w:rPr>
          <w:rFonts w:ascii="Times New Roman" w:eastAsia="Times New Roman" w:hAnsi="Times New Roman" w:cs="Times New Roman"/>
          <w:sz w:val="24"/>
          <w:szCs w:val="24"/>
        </w:rPr>
        <w:t>ernacionais que versam sobre o assunto e no qual houve uma efetiva condenação do Estado holandês a implementar melhorias no setor ambiental.</w:t>
      </w:r>
    </w:p>
    <w:p w14:paraId="00000016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C0EA9" w:rsidRDefault="0082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Preliminar</w:t>
      </w:r>
    </w:p>
    <w:p w14:paraId="00000018" w14:textId="77777777" w:rsidR="005C0EA9" w:rsidRDefault="008250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zf9rby3hlo0z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Da falta de interesse de agir</w:t>
      </w:r>
    </w:p>
    <w:p w14:paraId="00000019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ypd2otouno3h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Ora, é primordial esclarecer que o ano corrente é 2019 e a ação tem como </w:t>
      </w:r>
      <w:r>
        <w:rPr>
          <w:rFonts w:ascii="Times New Roman" w:eastAsia="Times New Roman" w:hAnsi="Times New Roman" w:cs="Times New Roman"/>
          <w:sz w:val="24"/>
          <w:szCs w:val="24"/>
        </w:rPr>
        <w:t>fundamento compromissos que o país firmou com metas estabelecidas em 2020 e 2025. Ademais, a base de dados utilizada para formular o desrespeito à projeção se trata de um dado de 2015.</w:t>
      </w:r>
    </w:p>
    <w:p w14:paraId="0000001A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inpqqz4ecp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Desta forma, não há como se alegar lesão ao direito material e aos acor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firmados pelo Estado Brasileiro em âmbito internacional uma vez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datas estabelecidas sequer foram alcançadas</w:t>
      </w:r>
      <w:r>
        <w:rPr>
          <w:rFonts w:ascii="Times New Roman" w:eastAsia="Times New Roman" w:hAnsi="Times New Roman" w:cs="Times New Roman"/>
          <w:sz w:val="24"/>
          <w:szCs w:val="24"/>
        </w:rPr>
        <w:t>, de forma que o não se pode responsabilizar a União por algo que ainda não ocorreu e que não se está na iminência de se concretizar.</w:t>
      </w:r>
    </w:p>
    <w:p w14:paraId="0000001B" w14:textId="77777777" w:rsidR="005C0EA9" w:rsidRDefault="005C0EA9">
      <w:pP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C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ljw5d2g6uulr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Assim é incabível que a ação possa tramitar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clara falta de interesse processual, vez que não é possível verificar a omissão da União no tocante à preservação ambiental ante a ausência de desrespeito às imposições prescritas nos acordos, impondo-s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como medida fundamental a extinção do processo de interesse de agir, nos termos do artigo 485, inciso VI do Código de Processo Civil. </w:t>
      </w:r>
    </w:p>
    <w:p w14:paraId="0000001D" w14:textId="77777777" w:rsidR="005C0EA9" w:rsidRDefault="005C0E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C0EA9" w:rsidRDefault="0082509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Mérito</w:t>
      </w:r>
    </w:p>
    <w:p w14:paraId="0000001F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bcw9k5pkkjhf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Caso V. Ex. entenda que a preliminar não é aplicável ao caso, ainda assim a pretensão da Autora não merece pros</w:t>
      </w:r>
      <w:r>
        <w:rPr>
          <w:rFonts w:ascii="Times New Roman" w:eastAsia="Times New Roman" w:hAnsi="Times New Roman" w:cs="Times New Roman"/>
          <w:sz w:val="24"/>
          <w:szCs w:val="24"/>
        </w:rPr>
        <w:t>perar.</w:t>
      </w:r>
    </w:p>
    <w:p w14:paraId="00000020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zm8e6f83mto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É claro o dever do Estado Brasileiro com a preservação do meio ambiente e que o Poder Público tem o dever de prover esta garantia às futuras gerações, nos termos do artigo 225 da Constituição Federal.</w:t>
      </w:r>
    </w:p>
    <w:p w14:paraId="00000021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qd6e9ggef0ou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Tampouco se nega o impacto ambiental que a emiss</w:t>
      </w:r>
      <w:r>
        <w:rPr>
          <w:rFonts w:ascii="Times New Roman" w:eastAsia="Times New Roman" w:hAnsi="Times New Roman" w:cs="Times New Roman"/>
          <w:sz w:val="24"/>
          <w:szCs w:val="24"/>
        </w:rPr>
        <w:t>ão de gases de efeito estufa possui, contribuindo o aquecimento global, ainda que a correlação não seja unânime no meio científico, sobretudo respeito de quanto a ação humana é efetivamente responsável por este aquecimento e o impacto do gás carbônico, vis</w:t>
      </w:r>
      <w:r>
        <w:rPr>
          <w:rFonts w:ascii="Times New Roman" w:eastAsia="Times New Roman" w:hAnsi="Times New Roman" w:cs="Times New Roman"/>
          <w:sz w:val="24"/>
          <w:szCs w:val="24"/>
        </w:rPr>
        <w:t>to que o aquecimento pode chegar a 2ºC desde o advento da indústria.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0000022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nb38ypjrq6gj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Não logrou a Autora comprovar o desrespeito efetivo do país em relação aos impactos ambientais, uma vez que o único dado é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Observa-se que não houve efetivo esforço na mudança da matriz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energética, de modo que a queima de combustíveis aumentou 43% entre 2005 e 2015 de acordo com a Estimativas Anuais do Ministério da Ciência, Tecnologia e Inovação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00000023" w14:textId="77777777" w:rsidR="005C0EA9" w:rsidRDefault="005C0E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ibhiu751t2g" w:colFirst="0" w:colLast="0"/>
      <w:bookmarkEnd w:id="8"/>
    </w:p>
    <w:p w14:paraId="00000024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npbvqnm8pg02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É possível levantar o debate acerca da dificuldade (senão impossibilidade) de comprovação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nexo causal quando se trata de um impacto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ambiental em que diversos países estão envolvidos como é o caso do efeito estufa, sendo controverso qualquer cálculo estipulado que impute determinado aumento à ação ou omissão de determinada nação.</w:t>
      </w:r>
    </w:p>
    <w:p w14:paraId="00000025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2nzults3umbv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Portanto, d</w:t>
      </w:r>
      <w:r>
        <w:rPr>
          <w:rFonts w:ascii="Times New Roman" w:eastAsia="Times New Roman" w:hAnsi="Times New Roman" w:cs="Times New Roman"/>
          <w:sz w:val="24"/>
          <w:szCs w:val="24"/>
        </w:rPr>
        <w:t>eve-se ater a discussão nos autos àquilo que o Brasil se comprometeu em cumprir no supramencionado acordo e dispositivo legal. Segundo a Autora: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Brasil estipulou a redução das emissões de gases de efeito estufa em 37% até 2025, fixando 2005 como ano bas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 Se comprometeu também a aumentar a participação de bioenergia sustentável em sua matriz energética, reflorestar 12 milhões de hectares e alcançar uma participação estimada de 45% de energias renováveis na composição da matriz energética até 2030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00000026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yvjgq62b7hdz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A afi</w:t>
      </w:r>
      <w:r>
        <w:rPr>
          <w:rFonts w:ascii="Times New Roman" w:eastAsia="Times New Roman" w:hAnsi="Times New Roman" w:cs="Times New Roman"/>
          <w:sz w:val="24"/>
          <w:szCs w:val="24"/>
        </w:rPr>
        <w:t>rmação de que a queima de combustíveis aumentou 43% de 2005 a 2015 é uma meia verdade, com o intuito de ludibriar V. Ex. a entender que a emissão de gases de efeito estufa aumentaram de forma geral neste período. Na realidade, o Governo Federal implementou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diversas políticas públicas visando o aumento de eficiência no setor de energias, com ampla transparência de dados. Outro dado fundamental para compreensão destes dados é que o país viveu grave crise hídrica na maior metrópole do país e na sua região mais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populosa, o que causou um pico no consumo de usinas térmicas neste período.</w:t>
      </w:r>
    </w:p>
    <w:p w14:paraId="00000027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gwcpn8g8higu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Não obstante, em termos de emissões brutas de gases de efeito estufa, o país reduziu aproximadamente metade da emissão total de 2005, ou seja, de 3000 milhões de tonelada para 150</w:t>
      </w:r>
      <w:r>
        <w:rPr>
          <w:rFonts w:ascii="Times New Roman" w:eastAsia="Times New Roman" w:hAnsi="Times New Roman" w:cs="Times New Roman"/>
          <w:sz w:val="24"/>
          <w:szCs w:val="24"/>
        </w:rPr>
        <w:t>0 milhões de toneladas, em valores que permaneceram constantes neste patamar desde 2009, ou seja, em percentual há uma redução de praticamente 50% (cinquenta por cento).</w:t>
      </w:r>
    </w:p>
    <w:p w14:paraId="00000028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err5129j2z5w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Desta forma, recortar somente o setor de energia elétrica e desconsiderar todo o avanç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conquistado pelo país na redução da emissão de gases de efeito estufa é o que se pretende com o pedido formulado pela Autora. </w:t>
      </w:r>
    </w:p>
    <w:p w14:paraId="00000029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4p3ye63hhb7j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Ora, o Estado Brasileiro é referência internacional na questão de energias renováveis, sendo que as energias renováveis corresp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ondem a mais de 75% (setenta e cinco por cento) da potência total instalada de sua matriz energética, sobretudo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energia hidrelétrica.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Ainda, na prática se verifica que na matriz elétrica há 40% (quarenta por cento) de energias renováveis, conforme dados fornecidos em 2018 pelo Governo Federal. </w:t>
      </w:r>
    </w:p>
    <w:p w14:paraId="0000002A" w14:textId="28E7146B" w:rsidR="005C0EA9" w:rsidRDefault="00825098">
      <w:pP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9mvghauziusk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Além disso, com o intuito de demonstrar a atuação da União, ora ré da presente ação, no âmbit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do seu papel de estímulo ao desenvolvimento da matriz energética renovável no Brasil, existem diversas Resoluções da Agência Nacional de Energia Elétrica (instituída pela Lei 9.427/2016) fomentando a produção de energia elétrica renovável. A título </w:t>
      </w:r>
      <w:r>
        <w:rPr>
          <w:rFonts w:ascii="Times New Roman" w:eastAsia="Times New Roman" w:hAnsi="Times New Roman" w:cs="Times New Roman"/>
          <w:sz w:val="24"/>
          <w:szCs w:val="24"/>
        </w:rPr>
        <w:t>exem</w:t>
      </w:r>
      <w:r>
        <w:rPr>
          <w:rFonts w:ascii="Times New Roman" w:eastAsia="Times New Roman" w:hAnsi="Times New Roman" w:cs="Times New Roman"/>
          <w:sz w:val="24"/>
          <w:szCs w:val="24"/>
        </w:rPr>
        <w:t>plificativo, o caso dos descontos auferidos na “geração distribuída de energia”, regulamentado pela Resolução 482. Isto é, não há que se prosperar a pretensão da autora, uma vez que a União não tem medido esforços jurídicos normativos para prover o estímul</w:t>
      </w:r>
      <w:r>
        <w:rPr>
          <w:rFonts w:ascii="Times New Roman" w:eastAsia="Times New Roman" w:hAnsi="Times New Roman" w:cs="Times New Roman"/>
          <w:sz w:val="24"/>
          <w:szCs w:val="24"/>
        </w:rPr>
        <w:t>o necessário ao desenvolvimento da matriz energética renovável.</w:t>
      </w:r>
    </w:p>
    <w:p w14:paraId="0000002B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q5lttg90epfx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Ademais, veja-se a questão do desmatamento, na qual há a expressiva redução do desmatamento na Amazônia brasileira de 82% (oitenta e dois por cento) entre 2004 e 2014.</w:t>
      </w:r>
    </w:p>
    <w:p w14:paraId="0000002C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04ll1a4bg7n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Assim, além de o país já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 considerado um Estado referência na questão, emite carbono a níveis inferiores àqueles em que as nações em desenvolvimento almejam emitir em suas metas. </w:t>
      </w:r>
    </w:p>
    <w:p w14:paraId="0000002D" w14:textId="77777777" w:rsidR="005C0EA9" w:rsidRDefault="005C0E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tq8njua922br" w:colFirst="0" w:colLast="0"/>
      <w:bookmarkEnd w:id="18"/>
    </w:p>
    <w:p w14:paraId="0000002E" w14:textId="77777777" w:rsidR="005C0EA9" w:rsidRDefault="005C0E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s0aq7bs080pr" w:colFirst="0" w:colLast="0"/>
      <w:bookmarkEnd w:id="19"/>
    </w:p>
    <w:p w14:paraId="0000002F" w14:textId="77777777" w:rsidR="005C0EA9" w:rsidRDefault="0082509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gjdgxs" w:colFirst="0" w:colLast="0"/>
      <w:bookmarkEnd w:id="20"/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00000030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lau30f263dy" w:colFirst="0" w:colLast="0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 xml:space="preserve">Não é concebível a condenação da União Federal, uma vez que a proteção do meio ambiente, sobretudo em termos de emissão de gases de efeito estufa, tem sido uma das prioridades dos últimos governos, com diversos dados que comprovam o papel de vanguarda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país possui no uso de sua capacidade natural para aproveitamento de energia e conservação do meio ambiente. </w:t>
      </w:r>
    </w:p>
    <w:p w14:paraId="00000031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a099ewrbeyfv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Destarte, devem ser julgados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totalmente improcedentes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pedidos para obrigar a União a adotar medidas efetivas para redução na emissão de gases </w:t>
      </w:r>
      <w:r>
        <w:rPr>
          <w:rFonts w:ascii="Times New Roman" w:eastAsia="Times New Roman" w:hAnsi="Times New Roman" w:cs="Times New Roman"/>
          <w:sz w:val="24"/>
          <w:szCs w:val="24"/>
        </w:rPr>
        <w:t>de efeito estufa, bem como de qualquer indenização de alguém que se entenda lesado.</w:t>
      </w:r>
    </w:p>
    <w:p w14:paraId="00000032" w14:textId="77777777" w:rsidR="005C0EA9" w:rsidRDefault="005C0E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ok3gzqu6xvdq" w:colFirst="0" w:colLast="0"/>
      <w:bookmarkEnd w:id="23"/>
    </w:p>
    <w:p w14:paraId="00000033" w14:textId="77777777" w:rsidR="005C0EA9" w:rsidRDefault="0082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lu4szd3bbepn" w:colFirst="0" w:colLast="0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 xml:space="preserve">São Paulo, 29 de outubro de 2019 </w:t>
      </w:r>
    </w:p>
    <w:p w14:paraId="0E236529" w14:textId="77777777" w:rsidR="005153AC" w:rsidRDefault="005153AC" w:rsidP="005153AC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aq3rjsejr622" w:colFirst="0" w:colLast="0"/>
      <w:bookmarkEnd w:id="25"/>
    </w:p>
    <w:p w14:paraId="7EEC8E9D" w14:textId="77777777" w:rsidR="005153AC" w:rsidRDefault="005153AC" w:rsidP="005153AC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Larissa Cunha Macedo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Lucas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Marcon</w:t>
      </w:r>
      <w:bookmarkStart w:id="26" w:name="_78o5eaqh2vtm"/>
      <w:bookmarkEnd w:id="26"/>
    </w:p>
    <w:p w14:paraId="54280A21" w14:textId="77777777" w:rsidR="005153AC" w:rsidRDefault="005153AC" w:rsidP="005153AC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vptdt614xs0l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 xml:space="preserve">   Nº USP 9353960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Nº USP 9353484</w:t>
      </w:r>
      <w:bookmarkStart w:id="28" w:name="_tmzzuz7kbb7i"/>
      <w:bookmarkEnd w:id="28"/>
    </w:p>
    <w:p w14:paraId="1F197FD0" w14:textId="77777777" w:rsidR="005153AC" w:rsidRDefault="005153AC" w:rsidP="005153A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4910A7" w14:textId="77777777" w:rsidR="005153AC" w:rsidRDefault="005153AC" w:rsidP="005153A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iheltuvfozf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>Luiz Felipe de Holanda Maciel</w:t>
      </w:r>
    </w:p>
    <w:p w14:paraId="7E109215" w14:textId="77777777" w:rsidR="005153AC" w:rsidRDefault="005153AC" w:rsidP="005153A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s5tjzjfpmusf"/>
      <w:bookmarkEnd w:id="30"/>
      <w:r>
        <w:rPr>
          <w:rFonts w:ascii="Times New Roman" w:eastAsia="Times New Roman" w:hAnsi="Times New Roman" w:cs="Times New Roman"/>
          <w:sz w:val="24"/>
          <w:szCs w:val="24"/>
        </w:rPr>
        <w:t>Nº USP 8046764</w:t>
      </w:r>
      <w:bookmarkStart w:id="31" w:name="_GoBack"/>
      <w:bookmarkEnd w:id="31"/>
    </w:p>
    <w:p w14:paraId="0000003B" w14:textId="665CB89E" w:rsidR="005C0EA9" w:rsidRDefault="005C0EA9" w:rsidP="005153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0EA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FCBD" w14:textId="77777777" w:rsidR="00825098" w:rsidRDefault="00825098">
      <w:pPr>
        <w:spacing w:after="0" w:line="240" w:lineRule="auto"/>
      </w:pPr>
      <w:r>
        <w:separator/>
      </w:r>
    </w:p>
  </w:endnote>
  <w:endnote w:type="continuationSeparator" w:id="0">
    <w:p w14:paraId="5A36E08F" w14:textId="77777777" w:rsidR="00825098" w:rsidRDefault="008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687A" w14:textId="77777777" w:rsidR="00825098" w:rsidRDefault="00825098">
      <w:pPr>
        <w:spacing w:after="0" w:line="240" w:lineRule="auto"/>
      </w:pPr>
      <w:r>
        <w:separator/>
      </w:r>
    </w:p>
  </w:footnote>
  <w:footnote w:type="continuationSeparator" w:id="0">
    <w:p w14:paraId="2BC4DEA5" w14:textId="77777777" w:rsidR="00825098" w:rsidRDefault="00825098">
      <w:pPr>
        <w:spacing w:after="0" w:line="240" w:lineRule="auto"/>
      </w:pPr>
      <w:r>
        <w:continuationSeparator/>
      </w:r>
    </w:p>
  </w:footnote>
  <w:footnote w:id="1">
    <w:p w14:paraId="0000003C" w14:textId="77777777" w:rsidR="005C0EA9" w:rsidRDefault="0082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Neste sentido, há autores como Fred Singer e Dennis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Avery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defendem que o aquecimento global é um produto natural dos ciclos de mudanças climáticas que o planeta vive. Ainda, defendem veementemente que as campanhas ambientais são tomadas por um ímpet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de apavorar todos aqueles que 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vêem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distorcem o conteúdo das informações. Outros autores, como Bjorn Lomborg traçam seu ceticismo com o ambientalismo tradicional questionando se a emissão de CO²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é  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verdadeira vi a ser combatida, uma vez que é algo </w:t>
      </w:r>
      <w:r>
        <w:rPr>
          <w:rFonts w:ascii="Times New Roman" w:eastAsia="Times New Roman" w:hAnsi="Times New Roman" w:cs="Times New Roman"/>
          <w:sz w:val="20"/>
          <w:szCs w:val="20"/>
        </w:rPr>
        <w:t>caro e que pode ser menos eficiente que outras formas de combater o aquecimento global.</w:t>
      </w:r>
    </w:p>
  </w:footnote>
  <w:footnote w:id="2">
    <w:p w14:paraId="0000003D" w14:textId="77777777" w:rsidR="005C0EA9" w:rsidRDefault="00825098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https://www.nexojornal.com.br/grafico/2016/06/08/Onde-%C3%A9-gerada-a-energia-el%C3%A9trica-no-Brasil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44814"/>
    <w:multiLevelType w:val="multilevel"/>
    <w:tmpl w:val="CF7452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A9"/>
    <w:rsid w:val="005153AC"/>
    <w:rsid w:val="005C0EA9"/>
    <w:rsid w:val="008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AA31"/>
  <w15:docId w15:val="{455A0BD6-F252-4940-BE3D-8E4EC1B1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xojornal.com.br/grafico/2016/06/08/Onde-%C3%A9-gerada-a-energia-el%C3%A9trica-no-Bras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Marcon</cp:lastModifiedBy>
  <cp:revision>2</cp:revision>
  <dcterms:created xsi:type="dcterms:W3CDTF">2019-10-30T01:21:00Z</dcterms:created>
  <dcterms:modified xsi:type="dcterms:W3CDTF">2019-10-30T01:23:00Z</dcterms:modified>
</cp:coreProperties>
</file>