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7B682" w14:textId="065B0365" w:rsidR="00A00B8C" w:rsidRPr="006D2A42" w:rsidRDefault="007D16EA" w:rsidP="006D2A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2A42">
        <w:rPr>
          <w:rFonts w:ascii="Times New Roman" w:hAnsi="Times New Roman" w:cs="Times New Roman"/>
          <w:b/>
          <w:bCs/>
          <w:sz w:val="24"/>
          <w:szCs w:val="24"/>
        </w:rPr>
        <w:t>Resumo – Matriz de Avaliação do Potencial Turístico de Localidades Receptoras</w:t>
      </w:r>
    </w:p>
    <w:p w14:paraId="6C9DEF30" w14:textId="01EDF8CE" w:rsidR="007D16EA" w:rsidRPr="006D2A42" w:rsidRDefault="007D16EA" w:rsidP="006D2A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6EADC3" w14:textId="42CDDB4B" w:rsidR="007D16EA" w:rsidRPr="006D2A42" w:rsidRDefault="006D2A42" w:rsidP="006D2A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D16EA" w:rsidRPr="006D2A42">
        <w:rPr>
          <w:rFonts w:ascii="Times New Roman" w:hAnsi="Times New Roman" w:cs="Times New Roman"/>
          <w:sz w:val="24"/>
          <w:szCs w:val="24"/>
        </w:rPr>
        <w:t>erá que é possível avaliar o potencial para o desenvolvimento do turismo de lazer de um determinado destino para fins de seu planejamento turístico?</w:t>
      </w:r>
      <w:r>
        <w:rPr>
          <w:rFonts w:ascii="Times New Roman" w:hAnsi="Times New Roman" w:cs="Times New Roman"/>
          <w:sz w:val="24"/>
          <w:szCs w:val="24"/>
        </w:rPr>
        <w:t xml:space="preserve"> Este é o principal questionamento do estudo.</w:t>
      </w:r>
    </w:p>
    <w:p w14:paraId="10502A46" w14:textId="316176C1" w:rsidR="007D16EA" w:rsidRPr="006D2A42" w:rsidRDefault="006D2A42" w:rsidP="006D2A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artigo é feita a p</w:t>
      </w:r>
      <w:r w:rsidR="007D16EA" w:rsidRPr="006D2A42">
        <w:rPr>
          <w:rFonts w:ascii="Times New Roman" w:hAnsi="Times New Roman" w:cs="Times New Roman"/>
          <w:sz w:val="24"/>
          <w:szCs w:val="24"/>
        </w:rPr>
        <w:t xml:space="preserve">roposta de </w:t>
      </w:r>
      <w:r w:rsidR="007D16EA" w:rsidRPr="006D2A42">
        <w:rPr>
          <w:rFonts w:ascii="Times New Roman" w:hAnsi="Times New Roman" w:cs="Times New Roman"/>
          <w:sz w:val="24"/>
          <w:szCs w:val="24"/>
        </w:rPr>
        <w:t xml:space="preserve">agrupamento </w:t>
      </w:r>
      <w:r w:rsidR="007D16EA" w:rsidRPr="006D2A42">
        <w:rPr>
          <w:rFonts w:ascii="Times New Roman" w:hAnsi="Times New Roman" w:cs="Times New Roman"/>
          <w:sz w:val="24"/>
          <w:szCs w:val="24"/>
        </w:rPr>
        <w:t>dos diversos</w:t>
      </w:r>
      <w:r w:rsidR="007D16EA" w:rsidRPr="006D2A42">
        <w:rPr>
          <w:rFonts w:ascii="Times New Roman" w:hAnsi="Times New Roman" w:cs="Times New Roman"/>
          <w:sz w:val="24"/>
          <w:szCs w:val="24"/>
        </w:rPr>
        <w:t xml:space="preserve"> métodos</w:t>
      </w:r>
      <w:r>
        <w:rPr>
          <w:rFonts w:ascii="Times New Roman" w:hAnsi="Times New Roman" w:cs="Times New Roman"/>
          <w:sz w:val="24"/>
          <w:szCs w:val="24"/>
        </w:rPr>
        <w:t xml:space="preserve"> de avaliação criados ao longo da história</w:t>
      </w:r>
      <w:r w:rsidR="007D16EA" w:rsidRPr="006D2A42">
        <w:rPr>
          <w:rFonts w:ascii="Times New Roman" w:hAnsi="Times New Roman" w:cs="Times New Roman"/>
          <w:sz w:val="24"/>
          <w:szCs w:val="24"/>
        </w:rPr>
        <w:t xml:space="preserve"> em três categorias principais: descrição da localização de instalações e atividades, inventário dos recursos e descrição das imagens das regiões e seus recursos.</w:t>
      </w:r>
      <w:r w:rsidR="00600756">
        <w:rPr>
          <w:rFonts w:ascii="Times New Roman" w:hAnsi="Times New Roman" w:cs="Times New Roman"/>
          <w:sz w:val="24"/>
          <w:szCs w:val="24"/>
        </w:rPr>
        <w:t xml:space="preserve"> </w:t>
      </w:r>
      <w:r w:rsidR="007D16EA" w:rsidRPr="006D2A42">
        <w:rPr>
          <w:rFonts w:ascii="Times New Roman" w:hAnsi="Times New Roman" w:cs="Times New Roman"/>
          <w:sz w:val="24"/>
          <w:szCs w:val="24"/>
        </w:rPr>
        <w:t xml:space="preserve">Dá-se grande destaque a avaliação analítica do potencial turístico; avaliação econômica dos recursos; preferências dos usuários como medida de avaliação turística. </w:t>
      </w:r>
    </w:p>
    <w:p w14:paraId="5856CD81" w14:textId="6AC01472" w:rsidR="007D16EA" w:rsidRPr="006D2A42" w:rsidRDefault="00600756" w:rsidP="006D2A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D16EA" w:rsidRPr="006D2A42">
        <w:rPr>
          <w:rFonts w:ascii="Times New Roman" w:hAnsi="Times New Roman" w:cs="Times New Roman"/>
          <w:sz w:val="24"/>
          <w:szCs w:val="24"/>
        </w:rPr>
        <w:t xml:space="preserve"> maior parte dos métodos mencionados</w:t>
      </w:r>
      <w:r>
        <w:rPr>
          <w:rFonts w:ascii="Times New Roman" w:hAnsi="Times New Roman" w:cs="Times New Roman"/>
          <w:sz w:val="24"/>
          <w:szCs w:val="24"/>
        </w:rPr>
        <w:t xml:space="preserve"> no estudo</w:t>
      </w:r>
      <w:r w:rsidR="007D16EA" w:rsidRPr="006D2A42">
        <w:rPr>
          <w:rFonts w:ascii="Times New Roman" w:hAnsi="Times New Roman" w:cs="Times New Roman"/>
          <w:sz w:val="24"/>
          <w:szCs w:val="24"/>
        </w:rPr>
        <w:t xml:space="preserve"> enfoca a análise de atrativos (ou recursos) turísticos como a base do processo de avaliação dos destinos – quando não, como a única avaliação a ser feita que, por vezes, incorpora a avaliação daqueles equipamentos e serviços unicamente vinculados a tais atrativos e recursos.</w:t>
      </w:r>
    </w:p>
    <w:p w14:paraId="421D97D3" w14:textId="502B1797" w:rsidR="007D16EA" w:rsidRPr="006D2A42" w:rsidRDefault="007D16EA" w:rsidP="006D2A42">
      <w:pPr>
        <w:jc w:val="both"/>
        <w:rPr>
          <w:rFonts w:ascii="Times New Roman" w:hAnsi="Times New Roman" w:cs="Times New Roman"/>
          <w:sz w:val="24"/>
          <w:szCs w:val="24"/>
        </w:rPr>
      </w:pPr>
      <w:r w:rsidRPr="006D2A42">
        <w:rPr>
          <w:rFonts w:ascii="Times New Roman" w:hAnsi="Times New Roman" w:cs="Times New Roman"/>
          <w:sz w:val="24"/>
          <w:szCs w:val="24"/>
        </w:rPr>
        <w:t xml:space="preserve">A matriz criada </w:t>
      </w:r>
      <w:r w:rsidR="00600756">
        <w:rPr>
          <w:rFonts w:ascii="Times New Roman" w:hAnsi="Times New Roman" w:cs="Times New Roman"/>
          <w:sz w:val="24"/>
          <w:szCs w:val="24"/>
        </w:rPr>
        <w:t xml:space="preserve">pelo autor </w:t>
      </w:r>
      <w:r w:rsidRPr="006D2A42">
        <w:rPr>
          <w:rFonts w:ascii="Times New Roman" w:hAnsi="Times New Roman" w:cs="Times New Roman"/>
          <w:sz w:val="24"/>
          <w:szCs w:val="24"/>
        </w:rPr>
        <w:t xml:space="preserve">é composta por quatro níveis hierárquicos interrelacionados, correspondentes aos seguintes aspectos: </w:t>
      </w:r>
    </w:p>
    <w:p w14:paraId="05F2B3E2" w14:textId="702CBEC7" w:rsidR="007D16EA" w:rsidRPr="006D2A42" w:rsidRDefault="006D2A42" w:rsidP="006D2A42">
      <w:pPr>
        <w:jc w:val="both"/>
        <w:rPr>
          <w:rFonts w:ascii="Times New Roman" w:hAnsi="Times New Roman" w:cs="Times New Roman"/>
          <w:sz w:val="24"/>
          <w:szCs w:val="24"/>
        </w:rPr>
      </w:pPr>
      <w:r w:rsidRPr="006D2A42">
        <w:rPr>
          <w:rFonts w:ascii="Times New Roman" w:hAnsi="Times New Roman" w:cs="Times New Roman"/>
          <w:sz w:val="24"/>
          <w:szCs w:val="24"/>
        </w:rPr>
        <w:t xml:space="preserve">• </w:t>
      </w:r>
      <w:r w:rsidR="007D16EA" w:rsidRPr="006D2A42">
        <w:rPr>
          <w:rFonts w:ascii="Times New Roman" w:hAnsi="Times New Roman" w:cs="Times New Roman"/>
          <w:sz w:val="24"/>
          <w:szCs w:val="24"/>
        </w:rPr>
        <w:t xml:space="preserve">dimensão: diz respeito aos grandes temas sob os quais estão agrupados os aspectos que devem ser observados nas localidades turísticas, compreendendo; </w:t>
      </w:r>
    </w:p>
    <w:p w14:paraId="4D939D0E" w14:textId="2034CC41" w:rsidR="007D16EA" w:rsidRPr="006D2A42" w:rsidRDefault="007D16EA" w:rsidP="006D2A42">
      <w:pPr>
        <w:jc w:val="both"/>
        <w:rPr>
          <w:rFonts w:ascii="Times New Roman" w:hAnsi="Times New Roman" w:cs="Times New Roman"/>
          <w:sz w:val="24"/>
          <w:szCs w:val="24"/>
        </w:rPr>
      </w:pPr>
      <w:r w:rsidRPr="006D2A42">
        <w:rPr>
          <w:rFonts w:ascii="Times New Roman" w:hAnsi="Times New Roman" w:cs="Times New Roman"/>
          <w:sz w:val="24"/>
          <w:szCs w:val="24"/>
        </w:rPr>
        <w:t xml:space="preserve">• atrativos turísticos: "[...] todo o lugar, objeto ou acontecimento de interesse turístico que motiva o deslocamento de grupos humanos para conhecê-los" </w:t>
      </w:r>
    </w:p>
    <w:p w14:paraId="2EC6BFDB" w14:textId="248CAFA2" w:rsidR="007D16EA" w:rsidRPr="006D2A42" w:rsidRDefault="007D16EA" w:rsidP="006D2A42">
      <w:pPr>
        <w:jc w:val="both"/>
        <w:rPr>
          <w:rFonts w:ascii="Times New Roman" w:hAnsi="Times New Roman" w:cs="Times New Roman"/>
          <w:sz w:val="24"/>
          <w:szCs w:val="24"/>
        </w:rPr>
      </w:pPr>
      <w:r w:rsidRPr="006D2A42">
        <w:rPr>
          <w:rFonts w:ascii="Times New Roman" w:hAnsi="Times New Roman" w:cs="Times New Roman"/>
          <w:sz w:val="24"/>
          <w:szCs w:val="24"/>
        </w:rPr>
        <w:t xml:space="preserve">• equipamentos e serviços turísticos: "[...] conjunto de edificações, de instalações e serviços indispensáveis ao desenvolvimento da atividade turística. Compreendem os meios de hospedagem, serviços de alimentação, de entretenimento, de agenciamento, de informação e outros serviços" </w:t>
      </w:r>
    </w:p>
    <w:p w14:paraId="379A36EF" w14:textId="443AA168" w:rsidR="007D16EA" w:rsidRPr="006D2A42" w:rsidRDefault="007D16EA" w:rsidP="006D2A42">
      <w:pPr>
        <w:jc w:val="both"/>
        <w:rPr>
          <w:rFonts w:ascii="Times New Roman" w:hAnsi="Times New Roman" w:cs="Times New Roman"/>
          <w:sz w:val="24"/>
          <w:szCs w:val="24"/>
        </w:rPr>
      </w:pPr>
      <w:r w:rsidRPr="006D2A42">
        <w:rPr>
          <w:rFonts w:ascii="Times New Roman" w:hAnsi="Times New Roman" w:cs="Times New Roman"/>
          <w:sz w:val="24"/>
          <w:szCs w:val="24"/>
        </w:rPr>
        <w:t xml:space="preserve"> • infraestrutura de apoio turístico: "[...] conjunto de obras e instalações de estrutura física de base, que criam condições para o desenvolvimento de uma unidade turística, tais como: sistema de transportes, de comunicações, serviços urbanos (água, luz, esgoto, limpeza pública) etc." </w:t>
      </w:r>
    </w:p>
    <w:p w14:paraId="74A456D5" w14:textId="30D16270" w:rsidR="007D16EA" w:rsidRPr="006D2A42" w:rsidRDefault="007D16EA" w:rsidP="006D2A42">
      <w:pPr>
        <w:jc w:val="both"/>
        <w:rPr>
          <w:rFonts w:ascii="Times New Roman" w:hAnsi="Times New Roman" w:cs="Times New Roman"/>
          <w:sz w:val="24"/>
          <w:szCs w:val="24"/>
        </w:rPr>
      </w:pPr>
      <w:r w:rsidRPr="006D2A42">
        <w:rPr>
          <w:rFonts w:ascii="Times New Roman" w:hAnsi="Times New Roman" w:cs="Times New Roman"/>
          <w:sz w:val="24"/>
          <w:szCs w:val="24"/>
        </w:rPr>
        <w:t>• normativo-institucional: conjunto de estruturas e organizações oficiais e não governamentais responsáveis pelo planejamento e pela gestão pública e compartilhada do turismo na localidade e dos instrumentos facilitadores destes processos, incluindo a gestão mercadológica da localidade como produto turístico;</w:t>
      </w:r>
    </w:p>
    <w:p w14:paraId="6A15E454" w14:textId="77777777" w:rsidR="006D2A42" w:rsidRPr="006D2A42" w:rsidRDefault="006D2A42" w:rsidP="006D2A42">
      <w:pPr>
        <w:jc w:val="both"/>
        <w:rPr>
          <w:rFonts w:ascii="Times New Roman" w:hAnsi="Times New Roman" w:cs="Times New Roman"/>
          <w:sz w:val="24"/>
          <w:szCs w:val="24"/>
        </w:rPr>
      </w:pPr>
      <w:r w:rsidRPr="006D2A42">
        <w:rPr>
          <w:rFonts w:ascii="Times New Roman" w:hAnsi="Times New Roman" w:cs="Times New Roman"/>
          <w:sz w:val="24"/>
          <w:szCs w:val="24"/>
        </w:rPr>
        <w:t xml:space="preserve">• planejamento turístico participativo: corresponde à análise dos níveis de envolvimento e aceitação da comunidade local nos processos de planejamento e/ou desenvolvimento turístico da localidade; </w:t>
      </w:r>
    </w:p>
    <w:p w14:paraId="4ECBF712" w14:textId="77777777" w:rsidR="006D2A42" w:rsidRPr="006D2A42" w:rsidRDefault="006D2A42" w:rsidP="006D2A42">
      <w:pPr>
        <w:jc w:val="both"/>
        <w:rPr>
          <w:rFonts w:ascii="Times New Roman" w:hAnsi="Times New Roman" w:cs="Times New Roman"/>
          <w:sz w:val="24"/>
          <w:szCs w:val="24"/>
        </w:rPr>
      </w:pPr>
      <w:r w:rsidRPr="006D2A42">
        <w:rPr>
          <w:rFonts w:ascii="Times New Roman" w:hAnsi="Times New Roman" w:cs="Times New Roman"/>
          <w:sz w:val="24"/>
          <w:szCs w:val="24"/>
        </w:rPr>
        <w:t>• outros fatores pertinentes aos processos de planejamento e/ou desenvolvimento turístico da localidade, como a proximidade dos núcleos emissores de demanda, a disponibilidade de áreas para possível expansão futura dos atrativos e/ou equipamentos turísticos e a disponibilidade de mão-de-obra para atendimento ao turista;</w:t>
      </w:r>
    </w:p>
    <w:p w14:paraId="7987F73D" w14:textId="77777777" w:rsidR="006D2A42" w:rsidRPr="006D2A42" w:rsidRDefault="006D2A42" w:rsidP="006D2A42">
      <w:pPr>
        <w:jc w:val="both"/>
        <w:rPr>
          <w:rFonts w:ascii="Times New Roman" w:hAnsi="Times New Roman" w:cs="Times New Roman"/>
          <w:sz w:val="24"/>
          <w:szCs w:val="24"/>
        </w:rPr>
      </w:pPr>
      <w:r w:rsidRPr="006D2A42">
        <w:rPr>
          <w:rFonts w:ascii="Times New Roman" w:hAnsi="Times New Roman" w:cs="Times New Roman"/>
          <w:sz w:val="24"/>
          <w:szCs w:val="24"/>
        </w:rPr>
        <w:lastRenderedPageBreak/>
        <w:t xml:space="preserve"> • categorias de análise: detalhamento dos aspectos que devem ser observados, organizados, cada um, também em níveis, de acordo com as características mais pertinentes ao processo;</w:t>
      </w:r>
    </w:p>
    <w:p w14:paraId="4E0D8454" w14:textId="779A58D0" w:rsidR="006D2A42" w:rsidRPr="006D2A42" w:rsidRDefault="006D2A42" w:rsidP="006D2A42">
      <w:pPr>
        <w:jc w:val="both"/>
        <w:rPr>
          <w:rFonts w:ascii="Times New Roman" w:hAnsi="Times New Roman" w:cs="Times New Roman"/>
          <w:sz w:val="24"/>
          <w:szCs w:val="24"/>
        </w:rPr>
      </w:pPr>
      <w:r w:rsidRPr="006D2A42">
        <w:rPr>
          <w:rFonts w:ascii="Times New Roman" w:hAnsi="Times New Roman" w:cs="Times New Roman"/>
          <w:sz w:val="24"/>
          <w:szCs w:val="24"/>
        </w:rPr>
        <w:t xml:space="preserve">• indicadores: são os desdobramentos das categorias de análise; </w:t>
      </w:r>
    </w:p>
    <w:p w14:paraId="6BBA3987" w14:textId="774E1CA5" w:rsidR="006D2A42" w:rsidRPr="006D2A42" w:rsidRDefault="006D2A42" w:rsidP="006D2A42">
      <w:pPr>
        <w:jc w:val="both"/>
        <w:rPr>
          <w:rFonts w:ascii="Times New Roman" w:hAnsi="Times New Roman" w:cs="Times New Roman"/>
          <w:sz w:val="24"/>
          <w:szCs w:val="24"/>
        </w:rPr>
      </w:pPr>
      <w:r w:rsidRPr="006D2A42">
        <w:rPr>
          <w:rFonts w:ascii="Times New Roman" w:hAnsi="Times New Roman" w:cs="Times New Roman"/>
          <w:sz w:val="24"/>
          <w:szCs w:val="24"/>
        </w:rPr>
        <w:t>• critérios de análise: são os parâmetros para avaliação, que possibilitam a respectiva atribuição de pontos.</w:t>
      </w:r>
    </w:p>
    <w:p w14:paraId="4DE77A68" w14:textId="61801694" w:rsidR="006D2A42" w:rsidRPr="006D2A42" w:rsidRDefault="006D2A42" w:rsidP="006D2A42">
      <w:pPr>
        <w:jc w:val="both"/>
        <w:rPr>
          <w:rFonts w:ascii="Times New Roman" w:hAnsi="Times New Roman" w:cs="Times New Roman"/>
          <w:sz w:val="24"/>
          <w:szCs w:val="24"/>
        </w:rPr>
      </w:pPr>
      <w:r w:rsidRPr="006D2A42">
        <w:rPr>
          <w:rFonts w:ascii="Times New Roman" w:hAnsi="Times New Roman" w:cs="Times New Roman"/>
          <w:sz w:val="24"/>
          <w:szCs w:val="24"/>
        </w:rPr>
        <w:t xml:space="preserve">Em função dos critérios estabelecidos, </w:t>
      </w:r>
      <w:r w:rsidR="00600756">
        <w:rPr>
          <w:rFonts w:ascii="Times New Roman" w:hAnsi="Times New Roman" w:cs="Times New Roman"/>
          <w:sz w:val="24"/>
          <w:szCs w:val="24"/>
        </w:rPr>
        <w:t xml:space="preserve">devem ser </w:t>
      </w:r>
      <w:r w:rsidRPr="006D2A42">
        <w:rPr>
          <w:rFonts w:ascii="Times New Roman" w:hAnsi="Times New Roman" w:cs="Times New Roman"/>
          <w:sz w:val="24"/>
          <w:szCs w:val="24"/>
        </w:rPr>
        <w:t>atribuídos pontos aos elementos avaliados em cada município em uma escala decrescente de 5 a 1, com exceção do indicador "existência e gestão do fundo municipal de turismo" (inserido na categoria de análise estrutura) e de todos os indicadores da categoria de análise "instrumentos de planejamento e gestão pública e compartilhada do turismo" (ambos da dimensão "normativo-institucional"), que receberam uma pontuação diferenciada, aceitando-se apenas duas possibilidades de avaliação: atribui</w:t>
      </w:r>
      <w:r w:rsidRPr="006D2A42">
        <w:rPr>
          <w:rFonts w:ascii="Times New Roman" w:hAnsi="Times New Roman" w:cs="Times New Roman"/>
          <w:sz w:val="24"/>
          <w:szCs w:val="24"/>
        </w:rPr>
        <w:t>-</w:t>
      </w:r>
      <w:r w:rsidRPr="006D2A42">
        <w:rPr>
          <w:rFonts w:ascii="Times New Roman" w:hAnsi="Times New Roman" w:cs="Times New Roman"/>
          <w:sz w:val="24"/>
          <w:szCs w:val="24"/>
        </w:rPr>
        <w:t xml:space="preserve">se 5 à plena satisfação do critério em questão e 3 à satisfação parcial9 . </w:t>
      </w:r>
    </w:p>
    <w:p w14:paraId="0AADD42A" w14:textId="2DEF26C2" w:rsidR="006D2A42" w:rsidRDefault="006D2A42" w:rsidP="006D2A42">
      <w:pPr>
        <w:jc w:val="both"/>
      </w:pPr>
      <w:r w:rsidRPr="006D2A42">
        <w:rPr>
          <w:rFonts w:ascii="Times New Roman" w:hAnsi="Times New Roman" w:cs="Times New Roman"/>
          <w:sz w:val="24"/>
          <w:szCs w:val="24"/>
        </w:rPr>
        <w:t xml:space="preserve">Para a definição das dimensões atrativos turísticos, equipamentos e serviços turísticos e infraestrutura de apoio turístico, e suas respectivas categorias de análise, utilizou-se como base, com as devidas adaptações, a metodologia de inventário da oferta turística da então </w:t>
      </w:r>
      <w:r w:rsidRPr="00600756">
        <w:rPr>
          <w:rFonts w:ascii="Times New Roman" w:hAnsi="Times New Roman" w:cs="Times New Roman"/>
          <w:sz w:val="24"/>
          <w:szCs w:val="24"/>
        </w:rPr>
        <w:t>Empresa Brasileira de Turismo (1984), por tratar-se de instrumento oficial, desenvolvido a</w:t>
      </w:r>
      <w:r w:rsidRPr="00600756">
        <w:rPr>
          <w:rFonts w:ascii="Times New Roman" w:hAnsi="Times New Roman" w:cs="Times New Roman"/>
          <w:sz w:val="24"/>
          <w:szCs w:val="24"/>
        </w:rPr>
        <w:t xml:space="preserve"> </w:t>
      </w:r>
      <w:r w:rsidRPr="00600756">
        <w:rPr>
          <w:rFonts w:ascii="Times New Roman" w:hAnsi="Times New Roman" w:cs="Times New Roman"/>
          <w:sz w:val="24"/>
          <w:szCs w:val="24"/>
        </w:rPr>
        <w:t>partir dos trabalhos do CICATUR/OEA. As demais dimensões foram incorporadas pelo autor.</w:t>
      </w:r>
    </w:p>
    <w:p w14:paraId="38F91134" w14:textId="2499BCB1" w:rsidR="006D2A42" w:rsidRPr="00600756" w:rsidRDefault="00600756" w:rsidP="006D2A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D2A42" w:rsidRPr="00600756">
        <w:rPr>
          <w:rFonts w:ascii="Times New Roman" w:hAnsi="Times New Roman" w:cs="Times New Roman"/>
          <w:sz w:val="24"/>
          <w:szCs w:val="24"/>
        </w:rPr>
        <w:t xml:space="preserve">ais critérios seguiram a proposta de Leno Cerro (1993, p.48), que acrescenta um nível à hierarquização estabelecida pelo CICATUR/OEA; todavia, não foram feitos os cálculos que conduzem a tal resultado – </w:t>
      </w:r>
      <w:r>
        <w:rPr>
          <w:rFonts w:ascii="Times New Roman" w:hAnsi="Times New Roman" w:cs="Times New Roman"/>
          <w:sz w:val="24"/>
          <w:szCs w:val="24"/>
        </w:rPr>
        <w:t>aceitou-se</w:t>
      </w:r>
      <w:r w:rsidR="006D2A42" w:rsidRPr="00600756">
        <w:rPr>
          <w:rFonts w:ascii="Times New Roman" w:hAnsi="Times New Roman" w:cs="Times New Roman"/>
          <w:sz w:val="24"/>
          <w:szCs w:val="24"/>
        </w:rPr>
        <w:t xml:space="preserve"> que a experiência prática do autor seja suficiente, aqui, para atribuir tais pontuações para efeito de teste do instrumento como um todo (do qual a hierarquização dos atrativos é apenas uma parte, tendo, pois, sua importância relativizada).</w:t>
      </w:r>
    </w:p>
    <w:p w14:paraId="190B2855" w14:textId="3F44D9CD" w:rsidR="006D2A42" w:rsidRPr="00600756" w:rsidRDefault="00600756" w:rsidP="006D2A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D2A42" w:rsidRPr="00600756">
        <w:rPr>
          <w:rFonts w:ascii="Times New Roman" w:hAnsi="Times New Roman" w:cs="Times New Roman"/>
          <w:sz w:val="24"/>
          <w:szCs w:val="24"/>
        </w:rPr>
        <w:t>om base nos resultados obtidos através de análise dos vários aspectos listados, foram efetuadas as somatórias dos resultados por indicadores, categorias e dimensões, que possibilita</w:t>
      </w:r>
      <w:r>
        <w:rPr>
          <w:rFonts w:ascii="Times New Roman" w:hAnsi="Times New Roman" w:cs="Times New Roman"/>
          <w:sz w:val="24"/>
          <w:szCs w:val="24"/>
        </w:rPr>
        <w:t>m</w:t>
      </w:r>
      <w:r w:rsidR="006D2A42" w:rsidRPr="00600756">
        <w:rPr>
          <w:rFonts w:ascii="Times New Roman" w:hAnsi="Times New Roman" w:cs="Times New Roman"/>
          <w:sz w:val="24"/>
          <w:szCs w:val="24"/>
        </w:rPr>
        <w:t xml:space="preserve"> a discussão dos resultados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F619A3" w14:textId="22ECACAC" w:rsidR="006D2A42" w:rsidRPr="00600756" w:rsidRDefault="006D2A42" w:rsidP="006D2A42">
      <w:pPr>
        <w:jc w:val="both"/>
        <w:rPr>
          <w:rFonts w:ascii="Times New Roman" w:hAnsi="Times New Roman" w:cs="Times New Roman"/>
          <w:sz w:val="24"/>
          <w:szCs w:val="24"/>
        </w:rPr>
      </w:pPr>
      <w:r w:rsidRPr="00600756">
        <w:rPr>
          <w:rFonts w:ascii="Times New Roman" w:hAnsi="Times New Roman" w:cs="Times New Roman"/>
          <w:sz w:val="24"/>
          <w:szCs w:val="24"/>
        </w:rPr>
        <w:t>Obteve-se, em seguida, por meio da somatória dos resultados por indicadores, categorias de análises e dimensões, o total de pontos alcançado por cada município. A partir destes totais foram extraídas as médias aritméticas simples de cada indicador, categoria de análise e dimensão, dividindo-se os resultados obtidos das somatórias pelo número de aspectos analisados – exemplificando: Guaratinguetá teve nove atrativos naturais analisados, aos quais foram atribuídas as respectivas pontuações (de 5 a 1) em função de seus níveis de atratividade (decorrentes da hierarquização); tal pontuação foi somada (resultando em 16, como se pode ver no quadro a seguir) e dividida pelo número de elementos avaliados (neste caso, nove, correspondente ao número de atrativos naturais); o resultado (1,78) foi arredondado para 2, pois, para facilitar os cálculos foi adotado o mesmo critério de arredondamento estabelecido</w:t>
      </w:r>
      <w:r w:rsidRPr="00600756">
        <w:rPr>
          <w:rFonts w:ascii="Times New Roman" w:hAnsi="Times New Roman" w:cs="Times New Roman"/>
          <w:sz w:val="24"/>
          <w:szCs w:val="24"/>
        </w:rPr>
        <w:t xml:space="preserve"> </w:t>
      </w:r>
      <w:r w:rsidRPr="00600756">
        <w:rPr>
          <w:rFonts w:ascii="Times New Roman" w:hAnsi="Times New Roman" w:cs="Times New Roman"/>
          <w:sz w:val="24"/>
          <w:szCs w:val="24"/>
        </w:rPr>
        <w:t>pela metodologia de inventário da oferta turística da EMBRATUR (Empresa Brasileira de Turismo, 1984, p.113).</w:t>
      </w:r>
    </w:p>
    <w:p w14:paraId="6CA9143B" w14:textId="2D79FBCB" w:rsidR="006D2A42" w:rsidRPr="00600756" w:rsidRDefault="006D2A42" w:rsidP="006D2A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BD6500" w14:textId="4B46E78E" w:rsidR="006D2A42" w:rsidRPr="00600756" w:rsidRDefault="006D2A42" w:rsidP="006D2A42">
      <w:pPr>
        <w:jc w:val="both"/>
        <w:rPr>
          <w:rFonts w:ascii="Times New Roman" w:hAnsi="Times New Roman" w:cs="Times New Roman"/>
          <w:sz w:val="24"/>
          <w:szCs w:val="24"/>
        </w:rPr>
      </w:pPr>
      <w:r w:rsidRPr="00600756">
        <w:rPr>
          <w:rFonts w:ascii="Times New Roman" w:hAnsi="Times New Roman" w:cs="Times New Roman"/>
          <w:sz w:val="24"/>
          <w:szCs w:val="24"/>
        </w:rPr>
        <w:lastRenderedPageBreak/>
        <w:t>Quando os mesmos elementos da oferta foram analisados duas vezes (sob diferentes indicadores), adotou-se o procedimento de repetir a extração das médias, considerando-se o segundo indicador e, posteriormente, extraiu-se uma média da categoria como um todo – exemplificando: os quatro meios de hospedagem – estabelecimentos hoteleiros de Guaratinguetá foram avaliados segundo suas estruturas (totalizando 20 pontos, resultando na média 5) e segundo a qualidade dos equipamentos e serviços (totalizando 14 pontos, resultando na média 3); somando-se o total de pontos obtidos pelos estabelecimentos nas duas categorias (34) e dividindo-se este total pelo dobro do número de equipamentos (já que foram analisados duas vezes), obteve-se a média da categoria meios de hospedagem – estabelecimentos hoteleiros.</w:t>
      </w:r>
    </w:p>
    <w:p w14:paraId="6D5BCB63" w14:textId="166439BB" w:rsidR="006D2A42" w:rsidRPr="00600756" w:rsidRDefault="00600756" w:rsidP="006D2A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conclusão, o p</w:t>
      </w:r>
      <w:r w:rsidR="006D2A42" w:rsidRPr="00600756">
        <w:rPr>
          <w:rFonts w:ascii="Times New Roman" w:hAnsi="Times New Roman" w:cs="Times New Roman"/>
          <w:sz w:val="24"/>
          <w:szCs w:val="24"/>
        </w:rPr>
        <w:t>otencial turístico p</w:t>
      </w:r>
      <w:r>
        <w:rPr>
          <w:rFonts w:ascii="Times New Roman" w:hAnsi="Times New Roman" w:cs="Times New Roman"/>
          <w:sz w:val="24"/>
          <w:szCs w:val="24"/>
        </w:rPr>
        <w:t>ô</w:t>
      </w:r>
      <w:r w:rsidR="006D2A42" w:rsidRPr="00600756">
        <w:rPr>
          <w:rFonts w:ascii="Times New Roman" w:hAnsi="Times New Roman" w:cs="Times New Roman"/>
          <w:sz w:val="24"/>
          <w:szCs w:val="24"/>
        </w:rPr>
        <w:t>de ser entendido como a existência de condições objetivas favoráveis da oferta turística, dos aspectos normativo-institucionais e de outros fatores complementares capazes de viabilizar, por meio do adequado planejamento, uma exploração turística sustentável destinada a satisfazer uma demanda atual ou latente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EB204A" w14:textId="77777777" w:rsidR="00600756" w:rsidRDefault="006D2A42" w:rsidP="006D2A42">
      <w:pPr>
        <w:jc w:val="both"/>
        <w:rPr>
          <w:rFonts w:ascii="Times New Roman" w:hAnsi="Times New Roman" w:cs="Times New Roman"/>
          <w:sz w:val="24"/>
          <w:szCs w:val="24"/>
        </w:rPr>
      </w:pPr>
      <w:r w:rsidRPr="00600756">
        <w:rPr>
          <w:rFonts w:ascii="Times New Roman" w:hAnsi="Times New Roman" w:cs="Times New Roman"/>
          <w:sz w:val="24"/>
          <w:szCs w:val="24"/>
        </w:rPr>
        <w:t>Seja como for, a proposta mencionada não pretendeu esgotar a possibilidade de elementos que poderiam vir a compor uma matriz desta natureza</w:t>
      </w:r>
      <w:r w:rsidR="00600756">
        <w:rPr>
          <w:rFonts w:ascii="Times New Roman" w:hAnsi="Times New Roman" w:cs="Times New Roman"/>
          <w:sz w:val="24"/>
          <w:szCs w:val="24"/>
        </w:rPr>
        <w:t>,</w:t>
      </w:r>
      <w:r w:rsidRPr="00600756">
        <w:rPr>
          <w:rFonts w:ascii="Times New Roman" w:hAnsi="Times New Roman" w:cs="Times New Roman"/>
          <w:sz w:val="24"/>
          <w:szCs w:val="24"/>
        </w:rPr>
        <w:t xml:space="preserve"> assim, outros aspectos podem ainda ser considerados em uma avaliação qualitativa mais global, como, por exemplo:</w:t>
      </w:r>
    </w:p>
    <w:p w14:paraId="5B0BF525" w14:textId="77777777" w:rsidR="00600756" w:rsidRDefault="006D2A42" w:rsidP="006D2A42">
      <w:pPr>
        <w:jc w:val="both"/>
        <w:rPr>
          <w:rFonts w:ascii="Times New Roman" w:hAnsi="Times New Roman" w:cs="Times New Roman"/>
          <w:sz w:val="24"/>
          <w:szCs w:val="24"/>
        </w:rPr>
      </w:pPr>
      <w:r w:rsidRPr="00600756">
        <w:rPr>
          <w:rFonts w:ascii="Times New Roman" w:hAnsi="Times New Roman" w:cs="Times New Roman"/>
          <w:sz w:val="24"/>
          <w:szCs w:val="24"/>
        </w:rPr>
        <w:t xml:space="preserve">• a compatibilidade com atividades não turísticas que, segundo Pearce (1991, p.113) também é uma consideração importante; </w:t>
      </w:r>
    </w:p>
    <w:p w14:paraId="49644EAB" w14:textId="77777777" w:rsidR="00600756" w:rsidRDefault="006D2A42" w:rsidP="006D2A42">
      <w:pPr>
        <w:jc w:val="both"/>
        <w:rPr>
          <w:rFonts w:ascii="Times New Roman" w:hAnsi="Times New Roman" w:cs="Times New Roman"/>
          <w:sz w:val="24"/>
          <w:szCs w:val="24"/>
        </w:rPr>
      </w:pPr>
      <w:r w:rsidRPr="00600756">
        <w:rPr>
          <w:rFonts w:ascii="Times New Roman" w:hAnsi="Times New Roman" w:cs="Times New Roman"/>
          <w:sz w:val="24"/>
          <w:szCs w:val="24"/>
        </w:rPr>
        <w:t xml:space="preserve">• a segregação do espaço turístico (Silva, 2004, p.38); </w:t>
      </w:r>
    </w:p>
    <w:p w14:paraId="1C4E001F" w14:textId="74C87603" w:rsidR="006D2A42" w:rsidRPr="00600756" w:rsidRDefault="006D2A42" w:rsidP="006D2A4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00756">
        <w:rPr>
          <w:rFonts w:ascii="Times New Roman" w:hAnsi="Times New Roman" w:cs="Times New Roman"/>
          <w:sz w:val="24"/>
          <w:szCs w:val="24"/>
        </w:rPr>
        <w:t>• outros impactos do turismo.</w:t>
      </w:r>
    </w:p>
    <w:sectPr w:rsidR="006D2A42" w:rsidRPr="006007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4F2B30"/>
    <w:multiLevelType w:val="hybridMultilevel"/>
    <w:tmpl w:val="11B0F1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B8C"/>
    <w:rsid w:val="00600756"/>
    <w:rsid w:val="006D2A42"/>
    <w:rsid w:val="007D16EA"/>
    <w:rsid w:val="00A0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8B62B"/>
  <w15:chartTrackingRefBased/>
  <w15:docId w15:val="{5404B13D-96C1-407E-84AC-0D8AF431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D2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1188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solha</dc:creator>
  <cp:keywords/>
  <dc:description/>
  <cp:lastModifiedBy>karina solha</cp:lastModifiedBy>
  <cp:revision>2</cp:revision>
  <dcterms:created xsi:type="dcterms:W3CDTF">2019-10-14T21:48:00Z</dcterms:created>
  <dcterms:modified xsi:type="dcterms:W3CDTF">2019-10-14T22:13:00Z</dcterms:modified>
</cp:coreProperties>
</file>