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E1DD" w14:textId="77777777" w:rsidR="001E49B1" w:rsidRDefault="002E32FD">
      <w:pPr>
        <w:pStyle w:val="normal0"/>
        <w:widowControl w:val="0"/>
        <w:spacing w:after="0" w:line="360" w:lineRule="auto"/>
        <w:jc w:val="center"/>
        <w:rPr>
          <w:rFonts w:ascii="Arial" w:eastAsia="Arial" w:hAnsi="Arial" w:cs="Arial"/>
          <w:sz w:val="20"/>
          <w:szCs w:val="20"/>
        </w:rPr>
      </w:pPr>
      <w:r>
        <w:rPr>
          <w:rFonts w:ascii="Arial" w:eastAsia="Arial" w:hAnsi="Arial" w:cs="Arial"/>
          <w:b/>
          <w:sz w:val="20"/>
          <w:szCs w:val="20"/>
        </w:rPr>
        <w:t>NUTRIÇÃO CLÍNICA II</w:t>
      </w:r>
    </w:p>
    <w:p w14:paraId="358AD75E" w14:textId="77777777" w:rsidR="001E49B1" w:rsidRDefault="002E32FD">
      <w:pPr>
        <w:pStyle w:val="normal0"/>
        <w:widowControl w:val="0"/>
        <w:spacing w:after="0" w:line="360" w:lineRule="auto"/>
        <w:jc w:val="center"/>
        <w:rPr>
          <w:rFonts w:ascii="Arial" w:eastAsia="Arial" w:hAnsi="Arial" w:cs="Arial"/>
          <w:sz w:val="20"/>
          <w:szCs w:val="20"/>
        </w:rPr>
      </w:pPr>
      <w:r>
        <w:rPr>
          <w:rFonts w:ascii="Arial" w:eastAsia="Arial" w:hAnsi="Arial" w:cs="Arial"/>
          <w:b/>
          <w:sz w:val="20"/>
          <w:szCs w:val="20"/>
        </w:rPr>
        <w:t>PROVA 1 – INDIVIDUAL – TURMA MANHÃ</w:t>
      </w:r>
    </w:p>
    <w:p w14:paraId="2A750332" w14:textId="77777777" w:rsidR="001E49B1" w:rsidRDefault="002E32FD">
      <w:pPr>
        <w:pStyle w:val="normal0"/>
        <w:widowControl w:val="0"/>
        <w:spacing w:after="0" w:line="360" w:lineRule="auto"/>
        <w:jc w:val="center"/>
        <w:rPr>
          <w:rFonts w:ascii="Arial" w:eastAsia="Arial" w:hAnsi="Arial" w:cs="Arial"/>
          <w:sz w:val="20"/>
          <w:szCs w:val="20"/>
        </w:rPr>
      </w:pPr>
      <w:r>
        <w:rPr>
          <w:rFonts w:ascii="Arial" w:eastAsia="Arial" w:hAnsi="Arial" w:cs="Arial"/>
          <w:b/>
          <w:sz w:val="20"/>
          <w:szCs w:val="20"/>
        </w:rPr>
        <w:t xml:space="preserve"> </w:t>
      </w:r>
    </w:p>
    <w:p w14:paraId="66086B08" w14:textId="77777777" w:rsidR="001E49B1" w:rsidRDefault="001E49B1">
      <w:pPr>
        <w:pStyle w:val="normal0"/>
        <w:widowControl w:val="0"/>
        <w:spacing w:after="0" w:line="360" w:lineRule="auto"/>
        <w:jc w:val="center"/>
        <w:rPr>
          <w:rFonts w:ascii="Arial" w:eastAsia="Arial" w:hAnsi="Arial" w:cs="Arial"/>
          <w:sz w:val="20"/>
          <w:szCs w:val="20"/>
        </w:rPr>
      </w:pPr>
    </w:p>
    <w:p w14:paraId="6BFEF1E3" w14:textId="77777777" w:rsidR="001E49B1" w:rsidRDefault="002E32FD">
      <w:pPr>
        <w:pStyle w:val="normal0"/>
        <w:widowControl w:val="0"/>
        <w:spacing w:after="0" w:line="360" w:lineRule="auto"/>
        <w:jc w:val="center"/>
        <w:rPr>
          <w:rFonts w:ascii="Arial" w:eastAsia="Arial" w:hAnsi="Arial" w:cs="Arial"/>
          <w:sz w:val="20"/>
          <w:szCs w:val="20"/>
        </w:rPr>
      </w:pPr>
      <w:r>
        <w:rPr>
          <w:rFonts w:ascii="Arial" w:eastAsia="Arial" w:hAnsi="Arial" w:cs="Arial"/>
          <w:b/>
          <w:sz w:val="20"/>
          <w:szCs w:val="20"/>
        </w:rPr>
        <w:t>Aluno: _____________________________________________________Data:________________</w:t>
      </w:r>
    </w:p>
    <w:p w14:paraId="2E928575" w14:textId="77777777" w:rsidR="001E49B1" w:rsidRDefault="001E49B1">
      <w:pPr>
        <w:pStyle w:val="normal0"/>
        <w:spacing w:line="480" w:lineRule="auto"/>
        <w:jc w:val="both"/>
        <w:rPr>
          <w:rFonts w:ascii="Arial" w:eastAsia="Arial" w:hAnsi="Arial" w:cs="Arial"/>
          <w:color w:val="222222"/>
          <w:sz w:val="20"/>
          <w:szCs w:val="20"/>
          <w:highlight w:val="white"/>
        </w:rPr>
      </w:pPr>
    </w:p>
    <w:p w14:paraId="461693DF" w14:textId="77777777" w:rsidR="001E49B1" w:rsidRPr="002E32FD" w:rsidRDefault="002E32FD">
      <w:pPr>
        <w:pStyle w:val="normal0"/>
        <w:numPr>
          <w:ilvl w:val="0"/>
          <w:numId w:val="1"/>
        </w:numPr>
        <w:pBdr>
          <w:top w:val="nil"/>
          <w:left w:val="nil"/>
          <w:bottom w:val="nil"/>
          <w:right w:val="nil"/>
          <w:between w:val="nil"/>
        </w:pBdr>
        <w:spacing w:after="16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Paciente masculino, 55 anos, negro, hipertenso de longa data, descobriu ser portador de “doença renal crônica” quando residia no interior do Bahia. Não fez nada além de manter seus medicamentos para pressão arterial. Hoje, mudou-se para São Paulo e deseja </w:t>
      </w:r>
      <w:r w:rsidRPr="002E32FD">
        <w:rPr>
          <w:rFonts w:asciiTheme="minorHAnsi" w:eastAsia="Arial" w:hAnsiTheme="minorHAnsi" w:cs="Arial"/>
          <w:color w:val="000000"/>
          <w:sz w:val="18"/>
          <w:szCs w:val="18"/>
        </w:rPr>
        <w:t>fazer acompanhamento da sua saúde, pois se sente fraco e inapetente.</w:t>
      </w:r>
    </w:p>
    <w:p w14:paraId="6B33BEF5" w14:textId="77777777" w:rsidR="001E49B1" w:rsidRPr="002E32FD" w:rsidRDefault="002E32FD">
      <w:pPr>
        <w:pStyle w:val="normal0"/>
        <w:numPr>
          <w:ilvl w:val="0"/>
          <w:numId w:val="2"/>
        </w:numPr>
        <w:pBdr>
          <w:top w:val="nil"/>
          <w:left w:val="nil"/>
          <w:bottom w:val="nil"/>
          <w:right w:val="nil"/>
          <w:between w:val="nil"/>
        </w:pBdr>
        <w:spacing w:before="120" w:after="0" w:line="240" w:lineRule="auto"/>
        <w:jc w:val="both"/>
        <w:rPr>
          <w:rFonts w:asciiTheme="minorHAnsi" w:hAnsiTheme="minorHAnsi"/>
          <w:color w:val="000000"/>
          <w:sz w:val="18"/>
          <w:szCs w:val="18"/>
        </w:rPr>
      </w:pPr>
      <w:r w:rsidRPr="002E32FD">
        <w:rPr>
          <w:rFonts w:asciiTheme="minorHAnsi" w:eastAsia="Arial" w:hAnsiTheme="minorHAnsi" w:cs="Arial"/>
          <w:color w:val="000000"/>
          <w:sz w:val="18"/>
          <w:szCs w:val="18"/>
        </w:rPr>
        <w:t>Cite 3 funções renais que podem estar alteradas neste paciente (</w:t>
      </w:r>
      <w:r w:rsidRPr="002E32FD">
        <w:rPr>
          <w:rFonts w:asciiTheme="minorHAnsi" w:eastAsia="Arial" w:hAnsiTheme="minorHAnsi" w:cs="Arial"/>
          <w:b/>
          <w:color w:val="000000"/>
          <w:sz w:val="18"/>
          <w:szCs w:val="18"/>
        </w:rPr>
        <w:t>0,5 PONTO</w:t>
      </w:r>
      <w:r w:rsidRPr="002E32FD">
        <w:rPr>
          <w:rFonts w:asciiTheme="minorHAnsi" w:eastAsia="Arial" w:hAnsiTheme="minorHAnsi" w:cs="Arial"/>
          <w:color w:val="000000"/>
          <w:sz w:val="18"/>
          <w:szCs w:val="18"/>
        </w:rPr>
        <w:t>).</w:t>
      </w:r>
    </w:p>
    <w:p w14:paraId="3B319AE4" w14:textId="77777777" w:rsidR="001E49B1" w:rsidRPr="002E32FD" w:rsidRDefault="002E32FD">
      <w:pPr>
        <w:pStyle w:val="normal0"/>
        <w:numPr>
          <w:ilvl w:val="0"/>
          <w:numId w:val="2"/>
        </w:numPr>
        <w:pBdr>
          <w:top w:val="nil"/>
          <w:left w:val="nil"/>
          <w:bottom w:val="nil"/>
          <w:right w:val="nil"/>
          <w:between w:val="nil"/>
        </w:pBdr>
        <w:spacing w:after="0" w:line="240" w:lineRule="auto"/>
        <w:jc w:val="both"/>
        <w:rPr>
          <w:rFonts w:asciiTheme="minorHAnsi" w:hAnsiTheme="minorHAnsi"/>
          <w:color w:val="000000"/>
          <w:sz w:val="18"/>
          <w:szCs w:val="18"/>
        </w:rPr>
      </w:pPr>
      <w:r w:rsidRPr="002E32FD">
        <w:rPr>
          <w:rFonts w:asciiTheme="minorHAnsi" w:eastAsia="Arial" w:hAnsiTheme="minorHAnsi" w:cs="Arial"/>
          <w:color w:val="000000"/>
          <w:sz w:val="18"/>
          <w:szCs w:val="18"/>
        </w:rPr>
        <w:t>Como o nutricionista pode atuar para melhorar tais funções alteradas? (</w:t>
      </w:r>
      <w:r w:rsidRPr="002E32FD">
        <w:rPr>
          <w:rFonts w:asciiTheme="minorHAnsi" w:eastAsia="Arial" w:hAnsiTheme="minorHAnsi" w:cs="Arial"/>
          <w:b/>
          <w:color w:val="000000"/>
          <w:sz w:val="18"/>
          <w:szCs w:val="18"/>
        </w:rPr>
        <w:t>0,5 PONTO</w:t>
      </w:r>
      <w:r w:rsidRPr="002E32FD">
        <w:rPr>
          <w:rFonts w:asciiTheme="minorHAnsi" w:eastAsia="Arial" w:hAnsiTheme="minorHAnsi" w:cs="Arial"/>
          <w:color w:val="000000"/>
          <w:sz w:val="18"/>
          <w:szCs w:val="18"/>
        </w:rPr>
        <w:t xml:space="preserve">) </w:t>
      </w:r>
    </w:p>
    <w:p w14:paraId="790FE73B" w14:textId="77777777" w:rsidR="00CC0DF2" w:rsidRPr="002E32FD" w:rsidRDefault="00CC0DF2" w:rsidP="00CC0DF2">
      <w:pPr>
        <w:pStyle w:val="ListParagraph"/>
        <w:autoSpaceDE w:val="0"/>
        <w:autoSpaceDN w:val="0"/>
        <w:adjustRightInd w:val="0"/>
        <w:spacing w:before="120" w:after="0" w:line="240" w:lineRule="auto"/>
        <w:jc w:val="both"/>
        <w:outlineLvl w:val="0"/>
        <w:rPr>
          <w:rFonts w:asciiTheme="minorHAnsi" w:hAnsiTheme="minorHAnsi" w:cstheme="minorHAnsi"/>
          <w:b/>
          <w:color w:val="FF0000"/>
          <w:sz w:val="18"/>
          <w:szCs w:val="18"/>
          <w:lang w:val="pt-BR"/>
        </w:rPr>
      </w:pPr>
      <w:proofErr w:type="spellStart"/>
      <w:r w:rsidRPr="002E32FD">
        <w:rPr>
          <w:rFonts w:asciiTheme="minorHAnsi" w:hAnsiTheme="minorHAnsi" w:cstheme="minorHAnsi"/>
          <w:b/>
          <w:color w:val="FF0000"/>
          <w:sz w:val="18"/>
          <w:szCs w:val="18"/>
        </w:rPr>
        <w:t>Funções</w:t>
      </w:r>
      <w:proofErr w:type="spellEnd"/>
      <w:r w:rsidRPr="002E32FD">
        <w:rPr>
          <w:rFonts w:asciiTheme="minorHAnsi" w:hAnsiTheme="minorHAnsi" w:cstheme="minorHAnsi"/>
          <w:b/>
          <w:color w:val="FF0000"/>
          <w:sz w:val="18"/>
          <w:szCs w:val="18"/>
        </w:rPr>
        <w:t xml:space="preserve"> </w:t>
      </w:r>
      <w:proofErr w:type="spellStart"/>
      <w:r w:rsidRPr="002E32FD">
        <w:rPr>
          <w:rFonts w:asciiTheme="minorHAnsi" w:hAnsiTheme="minorHAnsi" w:cstheme="minorHAnsi"/>
          <w:b/>
          <w:color w:val="FF0000"/>
          <w:sz w:val="18"/>
          <w:szCs w:val="18"/>
        </w:rPr>
        <w:t>renais</w:t>
      </w:r>
      <w:proofErr w:type="spellEnd"/>
      <w:r w:rsidRPr="002E32FD">
        <w:rPr>
          <w:rFonts w:asciiTheme="minorHAnsi" w:hAnsiTheme="minorHAnsi" w:cstheme="minorHAnsi"/>
          <w:b/>
          <w:color w:val="FF0000"/>
          <w:sz w:val="18"/>
          <w:szCs w:val="18"/>
        </w:rPr>
        <w:t xml:space="preserve"> </w:t>
      </w:r>
      <w:proofErr w:type="spellStart"/>
      <w:r w:rsidRPr="002E32FD">
        <w:rPr>
          <w:rFonts w:asciiTheme="minorHAnsi" w:hAnsiTheme="minorHAnsi" w:cstheme="minorHAnsi"/>
          <w:b/>
          <w:color w:val="FF0000"/>
          <w:sz w:val="18"/>
          <w:szCs w:val="18"/>
        </w:rPr>
        <w:t>alteradas</w:t>
      </w:r>
      <w:proofErr w:type="spellEnd"/>
      <w:r w:rsidRPr="002E32FD">
        <w:rPr>
          <w:rFonts w:asciiTheme="minorHAnsi" w:hAnsiTheme="minorHAnsi" w:cstheme="minorHAnsi"/>
          <w:b/>
          <w:color w:val="FF0000"/>
          <w:sz w:val="18"/>
          <w:szCs w:val="18"/>
        </w:rPr>
        <w:t>:</w:t>
      </w:r>
    </w:p>
    <w:p w14:paraId="7226AA6E" w14:textId="77777777" w:rsidR="00CC0DF2" w:rsidRPr="002E32FD" w:rsidRDefault="00CC0DF2" w:rsidP="00CC0DF2">
      <w:pPr>
        <w:pStyle w:val="ListParagraph"/>
        <w:autoSpaceDE w:val="0"/>
        <w:autoSpaceDN w:val="0"/>
        <w:adjustRightInd w:val="0"/>
        <w:spacing w:before="120" w:after="0" w:line="240" w:lineRule="auto"/>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xml:space="preserve">- Filtração de produtos do metabolismo endógeno (nitrogenados como a ureia e a creatinina) e exógenos </w:t>
      </w:r>
    </w:p>
    <w:p w14:paraId="506542A9" w14:textId="77777777" w:rsidR="00CC0DF2" w:rsidRPr="002E32FD" w:rsidRDefault="00CC0DF2" w:rsidP="00CC0DF2">
      <w:pPr>
        <w:pStyle w:val="ListParagraph"/>
        <w:autoSpaceDE w:val="0"/>
        <w:autoSpaceDN w:val="0"/>
        <w:adjustRightInd w:val="0"/>
        <w:spacing w:before="120" w:after="0" w:line="240" w:lineRule="auto"/>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xml:space="preserve">- Equilíbrio hidroeletrolítico e </w:t>
      </w:r>
      <w:proofErr w:type="spellStart"/>
      <w:r w:rsidRPr="002E32FD">
        <w:rPr>
          <w:rFonts w:asciiTheme="minorHAnsi" w:hAnsiTheme="minorHAnsi" w:cstheme="minorHAnsi"/>
          <w:b/>
          <w:color w:val="FF0000"/>
          <w:sz w:val="18"/>
          <w:szCs w:val="18"/>
          <w:lang w:val="pt-BR"/>
        </w:rPr>
        <w:t>osmolaridade</w:t>
      </w:r>
      <w:proofErr w:type="spellEnd"/>
      <w:r w:rsidRPr="002E32FD">
        <w:rPr>
          <w:rFonts w:asciiTheme="minorHAnsi" w:hAnsiTheme="minorHAnsi" w:cstheme="minorHAnsi"/>
          <w:b/>
          <w:color w:val="FF0000"/>
          <w:sz w:val="18"/>
          <w:szCs w:val="18"/>
          <w:lang w:val="pt-BR"/>
        </w:rPr>
        <w:t xml:space="preserve"> sanguínea</w:t>
      </w:r>
    </w:p>
    <w:p w14:paraId="57BB1B3E" w14:textId="77777777" w:rsidR="00CC0DF2" w:rsidRPr="002E32FD" w:rsidRDefault="00CC0DF2" w:rsidP="00CC0DF2">
      <w:pPr>
        <w:pStyle w:val="ListParagraph"/>
        <w:autoSpaceDE w:val="0"/>
        <w:autoSpaceDN w:val="0"/>
        <w:adjustRightInd w:val="0"/>
        <w:spacing w:before="120" w:after="0" w:line="240" w:lineRule="auto"/>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xml:space="preserve">- Equilíbrio </w:t>
      </w:r>
      <w:proofErr w:type="spellStart"/>
      <w:r w:rsidRPr="002E32FD">
        <w:rPr>
          <w:rFonts w:asciiTheme="minorHAnsi" w:hAnsiTheme="minorHAnsi" w:cstheme="minorHAnsi"/>
          <w:b/>
          <w:color w:val="FF0000"/>
          <w:sz w:val="18"/>
          <w:szCs w:val="18"/>
          <w:lang w:val="pt-BR"/>
        </w:rPr>
        <w:t>ácido-básico</w:t>
      </w:r>
      <w:proofErr w:type="spellEnd"/>
      <w:r w:rsidRPr="002E32FD">
        <w:rPr>
          <w:rFonts w:asciiTheme="minorHAnsi" w:hAnsiTheme="minorHAnsi" w:cstheme="minorHAnsi"/>
          <w:b/>
          <w:color w:val="FF0000"/>
          <w:sz w:val="18"/>
          <w:szCs w:val="18"/>
          <w:lang w:val="pt-BR"/>
        </w:rPr>
        <w:t xml:space="preserve"> </w:t>
      </w:r>
    </w:p>
    <w:p w14:paraId="40110F29" w14:textId="77777777" w:rsidR="00CC0DF2" w:rsidRPr="002E32FD" w:rsidRDefault="00CC0DF2" w:rsidP="00CC0DF2">
      <w:pPr>
        <w:pStyle w:val="ListParagraph"/>
        <w:autoSpaceDE w:val="0"/>
        <w:autoSpaceDN w:val="0"/>
        <w:adjustRightInd w:val="0"/>
        <w:spacing w:before="120" w:after="0" w:line="240" w:lineRule="auto"/>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Produção e ativação de hormônios reduzidas:</w:t>
      </w:r>
    </w:p>
    <w:p w14:paraId="697F787A" w14:textId="77777777" w:rsidR="00CC0DF2" w:rsidRPr="002E32FD" w:rsidRDefault="00CC0DF2" w:rsidP="00CC0DF2">
      <w:pPr>
        <w:pStyle w:val="ListParagraph"/>
        <w:autoSpaceDE w:val="0"/>
        <w:autoSpaceDN w:val="0"/>
        <w:adjustRightInd w:val="0"/>
        <w:spacing w:before="120" w:after="0" w:line="240" w:lineRule="auto"/>
        <w:ind w:left="1418" w:hanging="2"/>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Produção de renina com alteração do sistema renina-angiotensina-</w:t>
      </w:r>
      <w:proofErr w:type="spellStart"/>
      <w:r w:rsidRPr="002E32FD">
        <w:rPr>
          <w:rFonts w:asciiTheme="minorHAnsi" w:hAnsiTheme="minorHAnsi" w:cstheme="minorHAnsi"/>
          <w:b/>
          <w:color w:val="FF0000"/>
          <w:sz w:val="18"/>
          <w:szCs w:val="18"/>
          <w:lang w:val="pt-BR"/>
        </w:rPr>
        <w:t>aldosterona</w:t>
      </w:r>
      <w:proofErr w:type="spellEnd"/>
      <w:r w:rsidRPr="002E32FD">
        <w:rPr>
          <w:rFonts w:asciiTheme="minorHAnsi" w:hAnsiTheme="minorHAnsi" w:cstheme="minorHAnsi"/>
          <w:b/>
          <w:color w:val="FF0000"/>
          <w:sz w:val="18"/>
          <w:szCs w:val="18"/>
          <w:lang w:val="pt-BR"/>
        </w:rPr>
        <w:t xml:space="preserve"> que controla a pressão arterial</w:t>
      </w:r>
    </w:p>
    <w:p w14:paraId="5A3DBF54" w14:textId="77777777" w:rsidR="00CC0DF2" w:rsidRPr="002E32FD" w:rsidRDefault="00CC0DF2" w:rsidP="00CC0DF2">
      <w:pPr>
        <w:pStyle w:val="ListParagraph"/>
        <w:autoSpaceDE w:val="0"/>
        <w:autoSpaceDN w:val="0"/>
        <w:adjustRightInd w:val="0"/>
        <w:spacing w:before="120" w:after="0" w:line="240" w:lineRule="auto"/>
        <w:ind w:firstLine="696"/>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Ativação da vitamina D com alteração do metabolismo cálcio-fósforo</w:t>
      </w:r>
    </w:p>
    <w:p w14:paraId="0DE1DFA5" w14:textId="77777777" w:rsidR="00CC0DF2" w:rsidRPr="002E32FD" w:rsidRDefault="00CC0DF2" w:rsidP="00CC0DF2">
      <w:pPr>
        <w:pStyle w:val="ListParagraph"/>
        <w:autoSpaceDE w:val="0"/>
        <w:autoSpaceDN w:val="0"/>
        <w:adjustRightInd w:val="0"/>
        <w:spacing w:before="120" w:after="0" w:line="240" w:lineRule="auto"/>
        <w:ind w:firstLine="696"/>
        <w:jc w:val="both"/>
        <w:outlineLvl w:val="0"/>
        <w:rPr>
          <w:rFonts w:asciiTheme="minorHAnsi" w:hAnsiTheme="minorHAnsi" w:cstheme="minorHAnsi"/>
          <w:b/>
          <w:color w:val="FF0000"/>
          <w:sz w:val="18"/>
          <w:szCs w:val="18"/>
          <w:lang w:val="pt-BR"/>
        </w:rPr>
      </w:pPr>
      <w:r w:rsidRPr="002E32FD">
        <w:rPr>
          <w:rFonts w:asciiTheme="minorHAnsi" w:hAnsiTheme="minorHAnsi" w:cstheme="minorHAnsi"/>
          <w:b/>
          <w:color w:val="FF0000"/>
          <w:sz w:val="18"/>
          <w:szCs w:val="18"/>
          <w:lang w:val="pt-BR"/>
        </w:rPr>
        <w:t xml:space="preserve">- Produção de eritropoietina com redução da </w:t>
      </w:r>
      <w:proofErr w:type="spellStart"/>
      <w:r w:rsidRPr="002E32FD">
        <w:rPr>
          <w:rFonts w:asciiTheme="minorHAnsi" w:hAnsiTheme="minorHAnsi" w:cstheme="minorHAnsi"/>
          <w:b/>
          <w:color w:val="FF0000"/>
          <w:sz w:val="18"/>
          <w:szCs w:val="18"/>
          <w:lang w:val="pt-BR"/>
        </w:rPr>
        <w:t>eritropoiese</w:t>
      </w:r>
      <w:proofErr w:type="spellEnd"/>
      <w:r w:rsidRPr="002E32FD">
        <w:rPr>
          <w:rFonts w:asciiTheme="minorHAnsi" w:hAnsiTheme="minorHAnsi" w:cstheme="minorHAnsi"/>
          <w:b/>
          <w:color w:val="FF0000"/>
          <w:sz w:val="18"/>
          <w:szCs w:val="18"/>
          <w:lang w:val="pt-BR"/>
        </w:rPr>
        <w:t xml:space="preserve"> (anemia)</w:t>
      </w:r>
    </w:p>
    <w:p w14:paraId="2D4D8686" w14:textId="77777777" w:rsidR="00CC0DF2" w:rsidRPr="002E32FD" w:rsidRDefault="00CC0DF2" w:rsidP="00CC0DF2">
      <w:pPr>
        <w:pStyle w:val="normal0"/>
        <w:pBdr>
          <w:top w:val="nil"/>
          <w:left w:val="nil"/>
          <w:bottom w:val="nil"/>
          <w:right w:val="nil"/>
          <w:between w:val="nil"/>
        </w:pBdr>
        <w:spacing w:after="0" w:line="240" w:lineRule="auto"/>
        <w:ind w:left="720"/>
        <w:jc w:val="both"/>
        <w:rPr>
          <w:rFonts w:asciiTheme="minorHAnsi" w:hAnsiTheme="minorHAnsi"/>
          <w:color w:val="000000"/>
          <w:sz w:val="18"/>
          <w:szCs w:val="18"/>
        </w:rPr>
      </w:pPr>
    </w:p>
    <w:p w14:paraId="122E8465" w14:textId="77777777" w:rsidR="001E49B1" w:rsidRPr="002E32FD" w:rsidRDefault="001E49B1">
      <w:pPr>
        <w:pStyle w:val="normal0"/>
        <w:pBdr>
          <w:top w:val="nil"/>
          <w:left w:val="nil"/>
          <w:bottom w:val="nil"/>
          <w:right w:val="nil"/>
          <w:between w:val="nil"/>
        </w:pBdr>
        <w:spacing w:after="0" w:line="259" w:lineRule="auto"/>
        <w:ind w:left="720" w:hanging="720"/>
        <w:jc w:val="both"/>
        <w:rPr>
          <w:rFonts w:asciiTheme="minorHAnsi" w:eastAsia="Arial" w:hAnsiTheme="minorHAnsi" w:cs="Arial"/>
          <w:color w:val="000000"/>
          <w:sz w:val="18"/>
          <w:szCs w:val="18"/>
        </w:rPr>
      </w:pPr>
    </w:p>
    <w:p w14:paraId="1D99D5A2" w14:textId="77777777" w:rsidR="001E49B1" w:rsidRPr="002E32FD" w:rsidRDefault="002E32FD">
      <w:pPr>
        <w:pStyle w:val="normal0"/>
        <w:numPr>
          <w:ilvl w:val="0"/>
          <w:numId w:val="1"/>
        </w:numPr>
        <w:pBdr>
          <w:top w:val="nil"/>
          <w:left w:val="nil"/>
          <w:bottom w:val="nil"/>
          <w:right w:val="nil"/>
          <w:between w:val="nil"/>
        </w:pBdr>
        <w:spacing w:after="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Cite os potenciais mecanismos (&gt; 3) associados à terapia baseada na Dieta </w:t>
      </w:r>
      <w:proofErr w:type="spellStart"/>
      <w:r w:rsidRPr="002E32FD">
        <w:rPr>
          <w:rFonts w:asciiTheme="minorHAnsi" w:eastAsia="Arial" w:hAnsiTheme="minorHAnsi" w:cs="Arial"/>
          <w:color w:val="000000"/>
          <w:sz w:val="18"/>
          <w:szCs w:val="18"/>
        </w:rPr>
        <w:t>Cetogênica</w:t>
      </w:r>
      <w:proofErr w:type="spellEnd"/>
      <w:r w:rsidRPr="002E32FD">
        <w:rPr>
          <w:rFonts w:asciiTheme="minorHAnsi" w:eastAsia="Arial" w:hAnsiTheme="minorHAnsi" w:cs="Arial"/>
          <w:color w:val="000000"/>
          <w:sz w:val="18"/>
          <w:szCs w:val="18"/>
        </w:rPr>
        <w:t xml:space="preserve"> que levariam ao controle das crises convulsivas e como você administraria os efeitos colaterais causados por essa dieta? </w:t>
      </w:r>
      <w:r w:rsidRPr="002E32FD">
        <w:rPr>
          <w:rFonts w:asciiTheme="minorHAnsi" w:eastAsia="Arial" w:hAnsiTheme="minorHAnsi" w:cs="Arial"/>
          <w:b/>
          <w:color w:val="000000"/>
          <w:sz w:val="18"/>
          <w:szCs w:val="18"/>
        </w:rPr>
        <w:t>(1,0 PONTO)</w:t>
      </w:r>
    </w:p>
    <w:p w14:paraId="31A57182" w14:textId="77777777" w:rsidR="001E49B1" w:rsidRPr="002E32FD" w:rsidRDefault="002E32FD">
      <w:pPr>
        <w:pStyle w:val="normal0"/>
        <w:spacing w:after="0" w:line="259" w:lineRule="auto"/>
        <w:ind w:left="720"/>
        <w:jc w:val="both"/>
        <w:rPr>
          <w:rFonts w:asciiTheme="minorHAnsi" w:eastAsia="Arial" w:hAnsiTheme="minorHAnsi" w:cs="Arial"/>
          <w:b/>
          <w:sz w:val="18"/>
          <w:szCs w:val="18"/>
        </w:rPr>
      </w:pPr>
      <w:r w:rsidRPr="002E32FD">
        <w:rPr>
          <w:rFonts w:asciiTheme="minorHAnsi" w:eastAsia="Arial" w:hAnsiTheme="minorHAnsi" w:cs="Arial"/>
          <w:b/>
          <w:color w:val="FF0000"/>
          <w:sz w:val="18"/>
          <w:szCs w:val="18"/>
        </w:rPr>
        <w:t xml:space="preserve">O controle das crises convulsivas se dá pela geração de corpos </w:t>
      </w:r>
      <w:proofErr w:type="spellStart"/>
      <w:r w:rsidRPr="002E32FD">
        <w:rPr>
          <w:rFonts w:asciiTheme="minorHAnsi" w:eastAsia="Arial" w:hAnsiTheme="minorHAnsi" w:cs="Arial"/>
          <w:b/>
          <w:color w:val="FF0000"/>
          <w:sz w:val="18"/>
          <w:szCs w:val="18"/>
        </w:rPr>
        <w:t>cetônicos</w:t>
      </w:r>
      <w:proofErr w:type="spellEnd"/>
      <w:r w:rsidRPr="002E32FD">
        <w:rPr>
          <w:rFonts w:asciiTheme="minorHAnsi" w:eastAsia="Arial" w:hAnsiTheme="minorHAnsi" w:cs="Arial"/>
          <w:b/>
          <w:color w:val="FF0000"/>
          <w:sz w:val="18"/>
          <w:szCs w:val="18"/>
        </w:rPr>
        <w:t>. Esses favorecem a síntese e expressão de neurotransmissores inibitórios (GABA), otimização do funcionamentos dos canais de cálcio, inibição da disfunção mitocondrial devido a menor i</w:t>
      </w:r>
      <w:r w:rsidRPr="002E32FD">
        <w:rPr>
          <w:rFonts w:asciiTheme="minorHAnsi" w:eastAsia="Arial" w:hAnsiTheme="minorHAnsi" w:cs="Arial"/>
          <w:b/>
          <w:color w:val="FF0000"/>
          <w:sz w:val="18"/>
          <w:szCs w:val="18"/>
        </w:rPr>
        <w:t xml:space="preserve">nflamação, estímulo para a atividade antioxidante por meio da ativação do Nrf2. Considerando os efeitos adversos, a dislipidemia poderia ser minimizada pelo uso de gorduras menos aterogênicas como os ácidos graxos monoinsaturados e </w:t>
      </w:r>
      <w:proofErr w:type="spellStart"/>
      <w:r w:rsidRPr="002E32FD">
        <w:rPr>
          <w:rFonts w:asciiTheme="minorHAnsi" w:eastAsia="Arial" w:hAnsiTheme="minorHAnsi" w:cs="Arial"/>
          <w:b/>
          <w:color w:val="FF0000"/>
          <w:sz w:val="18"/>
          <w:szCs w:val="18"/>
        </w:rPr>
        <w:t>poliinsaturados</w:t>
      </w:r>
      <w:proofErr w:type="spellEnd"/>
      <w:r w:rsidRPr="002E32FD">
        <w:rPr>
          <w:rFonts w:asciiTheme="minorHAnsi" w:eastAsia="Arial" w:hAnsiTheme="minorHAnsi" w:cs="Arial"/>
          <w:b/>
          <w:color w:val="FF0000"/>
          <w:sz w:val="18"/>
          <w:szCs w:val="18"/>
        </w:rPr>
        <w:t>, a forma</w:t>
      </w:r>
      <w:r w:rsidRPr="002E32FD">
        <w:rPr>
          <w:rFonts w:asciiTheme="minorHAnsi" w:eastAsia="Arial" w:hAnsiTheme="minorHAnsi" w:cs="Arial"/>
          <w:b/>
          <w:color w:val="FF0000"/>
          <w:sz w:val="18"/>
          <w:szCs w:val="18"/>
        </w:rPr>
        <w:t>ção de cálculos renais poderia ser minimizada pelo uso de bicarbonato de sódio, melhor hidratação e uso de alimentos com menor carga ácida. A desnutrição que pode acompanhar esses pacientes pode ser prevenida pelo acompanhamento rotineiro e constante avali</w:t>
      </w:r>
      <w:r w:rsidRPr="002E32FD">
        <w:rPr>
          <w:rFonts w:asciiTheme="minorHAnsi" w:eastAsia="Arial" w:hAnsiTheme="minorHAnsi" w:cs="Arial"/>
          <w:b/>
          <w:color w:val="FF0000"/>
          <w:sz w:val="18"/>
          <w:szCs w:val="18"/>
        </w:rPr>
        <w:t xml:space="preserve">ação do consumo e adequação calórica e proteica precisa, visto que o público é pediátrico e está em fase de crescimento e desenvolvimento intensos.  </w:t>
      </w:r>
      <w:r w:rsidRPr="002E32FD">
        <w:rPr>
          <w:rFonts w:asciiTheme="minorHAnsi" w:eastAsia="Arial" w:hAnsiTheme="minorHAnsi" w:cs="Arial"/>
          <w:b/>
          <w:sz w:val="18"/>
          <w:szCs w:val="18"/>
        </w:rPr>
        <w:t xml:space="preserve"> </w:t>
      </w:r>
    </w:p>
    <w:p w14:paraId="330050E8" w14:textId="77777777" w:rsidR="001E49B1" w:rsidRPr="002E32FD" w:rsidRDefault="001E49B1">
      <w:pPr>
        <w:pStyle w:val="normal0"/>
        <w:pBdr>
          <w:top w:val="nil"/>
          <w:left w:val="nil"/>
          <w:bottom w:val="nil"/>
          <w:right w:val="nil"/>
          <w:between w:val="nil"/>
        </w:pBdr>
        <w:spacing w:after="160" w:line="259" w:lineRule="auto"/>
        <w:ind w:left="720" w:hanging="720"/>
        <w:jc w:val="both"/>
        <w:rPr>
          <w:rFonts w:asciiTheme="minorHAnsi" w:eastAsia="Arial" w:hAnsiTheme="minorHAnsi" w:cs="Arial"/>
          <w:sz w:val="18"/>
          <w:szCs w:val="18"/>
        </w:rPr>
      </w:pPr>
    </w:p>
    <w:p w14:paraId="2E2CB577" w14:textId="77777777" w:rsidR="001E49B1" w:rsidRPr="002E32FD" w:rsidRDefault="002E32FD">
      <w:pPr>
        <w:pStyle w:val="normal0"/>
        <w:numPr>
          <w:ilvl w:val="0"/>
          <w:numId w:val="1"/>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Em relação às afirmativas </w:t>
      </w:r>
      <w:r w:rsidRPr="002E32FD">
        <w:rPr>
          <w:rFonts w:asciiTheme="minorHAnsi" w:eastAsia="Arial" w:hAnsiTheme="minorHAnsi" w:cs="Arial"/>
          <w:b/>
          <w:color w:val="000000"/>
          <w:sz w:val="18"/>
          <w:szCs w:val="18"/>
        </w:rPr>
        <w:t>(1,0 PONTO)</w:t>
      </w:r>
    </w:p>
    <w:p w14:paraId="043A6043" w14:textId="77777777" w:rsidR="001E49B1" w:rsidRPr="002E32FD" w:rsidRDefault="002E32FD">
      <w:pPr>
        <w:pStyle w:val="normal0"/>
        <w:numPr>
          <w:ilvl w:val="0"/>
          <w:numId w:val="3"/>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A </w:t>
      </w:r>
      <w:proofErr w:type="spellStart"/>
      <w:r w:rsidRPr="002E32FD">
        <w:rPr>
          <w:rFonts w:asciiTheme="minorHAnsi" w:eastAsia="Arial" w:hAnsiTheme="minorHAnsi" w:cs="Arial"/>
          <w:color w:val="000000"/>
          <w:sz w:val="18"/>
          <w:szCs w:val="18"/>
        </w:rPr>
        <w:t>nutrigenômica</w:t>
      </w:r>
      <w:proofErr w:type="spellEnd"/>
      <w:r w:rsidRPr="002E32FD">
        <w:rPr>
          <w:rFonts w:asciiTheme="minorHAnsi" w:eastAsia="Arial" w:hAnsiTheme="minorHAnsi" w:cs="Arial"/>
          <w:color w:val="000000"/>
          <w:sz w:val="18"/>
          <w:szCs w:val="18"/>
        </w:rPr>
        <w:t xml:space="preserve"> objetiva elucidar como os componentes da alimentação (nutrientes e compostos </w:t>
      </w:r>
      <w:proofErr w:type="spellStart"/>
      <w:r w:rsidRPr="002E32FD">
        <w:rPr>
          <w:rFonts w:asciiTheme="minorHAnsi" w:eastAsia="Arial" w:hAnsiTheme="minorHAnsi" w:cs="Arial"/>
          <w:color w:val="000000"/>
          <w:sz w:val="18"/>
          <w:szCs w:val="18"/>
        </w:rPr>
        <w:t>bioativos</w:t>
      </w:r>
      <w:proofErr w:type="spellEnd"/>
      <w:r w:rsidRPr="002E32FD">
        <w:rPr>
          <w:rFonts w:asciiTheme="minorHAnsi" w:eastAsia="Arial" w:hAnsiTheme="minorHAnsi" w:cs="Arial"/>
          <w:color w:val="000000"/>
          <w:sz w:val="18"/>
          <w:szCs w:val="18"/>
        </w:rPr>
        <w:t xml:space="preserve"> dos alimentos) podem influenciar a expressão gênica e, consequentemente, a síntese de proteínas (</w:t>
      </w:r>
      <w:proofErr w:type="spellStart"/>
      <w:r w:rsidRPr="002E32FD">
        <w:rPr>
          <w:rFonts w:asciiTheme="minorHAnsi" w:eastAsia="Arial" w:hAnsiTheme="minorHAnsi" w:cs="Arial"/>
          <w:color w:val="000000"/>
          <w:sz w:val="18"/>
          <w:szCs w:val="18"/>
        </w:rPr>
        <w:t>proteoma</w:t>
      </w:r>
      <w:proofErr w:type="spellEnd"/>
      <w:r w:rsidRPr="002E32FD">
        <w:rPr>
          <w:rFonts w:asciiTheme="minorHAnsi" w:eastAsia="Arial" w:hAnsiTheme="minorHAnsi" w:cs="Arial"/>
          <w:color w:val="000000"/>
          <w:sz w:val="18"/>
          <w:szCs w:val="18"/>
        </w:rPr>
        <w:t>) e metabólitos (</w:t>
      </w:r>
      <w:proofErr w:type="spellStart"/>
      <w:r w:rsidRPr="002E32FD">
        <w:rPr>
          <w:rFonts w:asciiTheme="minorHAnsi" w:eastAsia="Arial" w:hAnsiTheme="minorHAnsi" w:cs="Arial"/>
          <w:color w:val="000000"/>
          <w:sz w:val="18"/>
          <w:szCs w:val="18"/>
        </w:rPr>
        <w:t>metaboloma</w:t>
      </w:r>
      <w:proofErr w:type="spellEnd"/>
      <w:r w:rsidRPr="002E32FD">
        <w:rPr>
          <w:rFonts w:asciiTheme="minorHAnsi" w:eastAsia="Arial" w:hAnsiTheme="minorHAnsi" w:cs="Arial"/>
          <w:color w:val="000000"/>
          <w:sz w:val="18"/>
          <w:szCs w:val="18"/>
        </w:rPr>
        <w:t>). Diferentes compone</w:t>
      </w:r>
      <w:r w:rsidRPr="002E32FD">
        <w:rPr>
          <w:rFonts w:asciiTheme="minorHAnsi" w:eastAsia="Arial" w:hAnsiTheme="minorHAnsi" w:cs="Arial"/>
          <w:color w:val="000000"/>
          <w:sz w:val="18"/>
          <w:szCs w:val="18"/>
        </w:rPr>
        <w:t xml:space="preserve">ntes dos alimentos apresentam a capacidade de aumentar ou reduzir a expressão gênica e, desse modo, influenciar tanto a promoção de saúde quanto o risco de doenças crônicas não transmissíveis. </w:t>
      </w:r>
    </w:p>
    <w:p w14:paraId="4E8BAF80" w14:textId="77777777" w:rsidR="001E49B1" w:rsidRPr="002E32FD" w:rsidRDefault="002E32FD">
      <w:pPr>
        <w:pStyle w:val="normal0"/>
        <w:numPr>
          <w:ilvl w:val="0"/>
          <w:numId w:val="3"/>
        </w:numPr>
        <w:pBdr>
          <w:top w:val="nil"/>
          <w:left w:val="nil"/>
          <w:bottom w:val="nil"/>
          <w:right w:val="nil"/>
          <w:between w:val="nil"/>
        </w:pBdr>
        <w:spacing w:after="0" w:line="259" w:lineRule="auto"/>
        <w:rPr>
          <w:rFonts w:asciiTheme="minorHAnsi" w:eastAsia="Arial" w:hAnsiTheme="minorHAnsi" w:cs="Arial"/>
          <w:color w:val="000000"/>
          <w:sz w:val="18"/>
          <w:szCs w:val="18"/>
        </w:rPr>
      </w:pPr>
      <w:bookmarkStart w:id="0" w:name="_gjdgxs" w:colFirst="0" w:colLast="0"/>
      <w:bookmarkEnd w:id="0"/>
      <w:r w:rsidRPr="002E32FD">
        <w:rPr>
          <w:rFonts w:asciiTheme="minorHAnsi" w:eastAsia="Arial" w:hAnsiTheme="minorHAnsi" w:cs="Arial"/>
          <w:color w:val="000000"/>
          <w:sz w:val="18"/>
          <w:szCs w:val="18"/>
        </w:rPr>
        <w:t xml:space="preserve">A </w:t>
      </w:r>
      <w:proofErr w:type="spellStart"/>
      <w:r w:rsidRPr="002E32FD">
        <w:rPr>
          <w:rFonts w:asciiTheme="minorHAnsi" w:eastAsia="Arial" w:hAnsiTheme="minorHAnsi" w:cs="Arial"/>
          <w:color w:val="000000"/>
          <w:sz w:val="18"/>
          <w:szCs w:val="18"/>
        </w:rPr>
        <w:t>nutrigenética</w:t>
      </w:r>
      <w:proofErr w:type="spellEnd"/>
      <w:r w:rsidRPr="002E32FD">
        <w:rPr>
          <w:rFonts w:asciiTheme="minorHAnsi" w:eastAsia="Arial" w:hAnsiTheme="minorHAnsi" w:cs="Arial"/>
          <w:color w:val="000000"/>
          <w:sz w:val="18"/>
          <w:szCs w:val="18"/>
        </w:rPr>
        <w:t xml:space="preserve"> estuda como as variações do DNA exercem influê</w:t>
      </w:r>
      <w:r w:rsidRPr="002E32FD">
        <w:rPr>
          <w:rFonts w:asciiTheme="minorHAnsi" w:eastAsia="Arial" w:hAnsiTheme="minorHAnsi" w:cs="Arial"/>
          <w:color w:val="000000"/>
          <w:sz w:val="18"/>
          <w:szCs w:val="18"/>
        </w:rPr>
        <w:t>ncia sobre as necessidades nutricionais e as respostas individuais a componentes da alimentação, e de que maneira essa interação afeta o estado de saúde e o risco de desenvolvimento de doenças. Tais variações genéticas se referem, principalmente, a polimor</w:t>
      </w:r>
      <w:r w:rsidRPr="002E32FD">
        <w:rPr>
          <w:rFonts w:asciiTheme="minorHAnsi" w:eastAsia="Arial" w:hAnsiTheme="minorHAnsi" w:cs="Arial"/>
          <w:color w:val="000000"/>
          <w:sz w:val="18"/>
          <w:szCs w:val="18"/>
        </w:rPr>
        <w:t xml:space="preserve">fismos de </w:t>
      </w:r>
      <w:proofErr w:type="spellStart"/>
      <w:r w:rsidRPr="002E32FD">
        <w:rPr>
          <w:rFonts w:asciiTheme="minorHAnsi" w:eastAsia="Arial" w:hAnsiTheme="minorHAnsi" w:cs="Arial"/>
          <w:color w:val="000000"/>
          <w:sz w:val="18"/>
          <w:szCs w:val="18"/>
        </w:rPr>
        <w:t>nucleotídio</w:t>
      </w:r>
      <w:proofErr w:type="spellEnd"/>
      <w:r w:rsidRPr="002E32FD">
        <w:rPr>
          <w:rFonts w:asciiTheme="minorHAnsi" w:eastAsia="Arial" w:hAnsiTheme="minorHAnsi" w:cs="Arial"/>
          <w:color w:val="000000"/>
          <w:sz w:val="18"/>
          <w:szCs w:val="18"/>
        </w:rPr>
        <w:t xml:space="preserve"> único.</w:t>
      </w:r>
    </w:p>
    <w:p w14:paraId="5FD88E13" w14:textId="77777777" w:rsidR="001E49B1" w:rsidRPr="002E32FD" w:rsidRDefault="002E32FD">
      <w:pPr>
        <w:pStyle w:val="normal0"/>
        <w:numPr>
          <w:ilvl w:val="0"/>
          <w:numId w:val="3"/>
        </w:numPr>
        <w:pBdr>
          <w:top w:val="nil"/>
          <w:left w:val="nil"/>
          <w:bottom w:val="nil"/>
          <w:right w:val="nil"/>
          <w:between w:val="nil"/>
        </w:pBdr>
        <w:spacing w:after="16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Um polimorfismo pode ocorrer na região promotora ou regulatória dos genes, cujo fato pode influenciar a regulação da expressão gênica de modo positivo (hiper-regulação) ou negativo (</w:t>
      </w:r>
      <w:proofErr w:type="spellStart"/>
      <w:r w:rsidRPr="002E32FD">
        <w:rPr>
          <w:rFonts w:asciiTheme="minorHAnsi" w:eastAsia="Arial" w:hAnsiTheme="minorHAnsi" w:cs="Arial"/>
          <w:color w:val="000000"/>
          <w:sz w:val="18"/>
          <w:szCs w:val="18"/>
        </w:rPr>
        <w:t>hiporregulação</w:t>
      </w:r>
      <w:proofErr w:type="spellEnd"/>
      <w:r w:rsidRPr="002E32FD">
        <w:rPr>
          <w:rFonts w:asciiTheme="minorHAnsi" w:eastAsia="Arial" w:hAnsiTheme="minorHAnsi" w:cs="Arial"/>
          <w:color w:val="000000"/>
          <w:sz w:val="18"/>
          <w:szCs w:val="18"/>
        </w:rPr>
        <w:t xml:space="preserve">). </w:t>
      </w:r>
    </w:p>
    <w:p w14:paraId="11CF612C" w14:textId="77777777" w:rsidR="001E49B1" w:rsidRPr="002E32FD" w:rsidRDefault="002E32FD">
      <w:pPr>
        <w:pStyle w:val="normal0"/>
        <w:rPr>
          <w:rFonts w:asciiTheme="minorHAnsi" w:eastAsia="Arial" w:hAnsiTheme="minorHAnsi" w:cs="Arial"/>
          <w:sz w:val="18"/>
          <w:szCs w:val="18"/>
        </w:rPr>
      </w:pPr>
      <w:r w:rsidRPr="002E32FD">
        <w:rPr>
          <w:rFonts w:asciiTheme="minorHAnsi" w:eastAsia="Arial" w:hAnsiTheme="minorHAnsi" w:cs="Arial"/>
          <w:sz w:val="18"/>
          <w:szCs w:val="18"/>
        </w:rPr>
        <w:t>Verifica-se que:</w:t>
      </w:r>
    </w:p>
    <w:p w14:paraId="5BCF8889" w14:textId="77777777" w:rsidR="001E49B1" w:rsidRPr="002E32FD" w:rsidRDefault="002E32FD">
      <w:pPr>
        <w:pStyle w:val="normal0"/>
        <w:numPr>
          <w:ilvl w:val="0"/>
          <w:numId w:val="4"/>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lastRenderedPageBreak/>
        <w:t xml:space="preserve">Apenas a afirmativa I está correta. </w:t>
      </w:r>
    </w:p>
    <w:p w14:paraId="43B5C869" w14:textId="77777777" w:rsidR="001E49B1" w:rsidRPr="002E32FD" w:rsidRDefault="002E32FD">
      <w:pPr>
        <w:pStyle w:val="normal0"/>
        <w:numPr>
          <w:ilvl w:val="0"/>
          <w:numId w:val="4"/>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Apenas a afirmativa II está correta. </w:t>
      </w:r>
    </w:p>
    <w:p w14:paraId="2FD6396A" w14:textId="77777777" w:rsidR="001E49B1" w:rsidRPr="002E32FD" w:rsidRDefault="002E32FD">
      <w:pPr>
        <w:pStyle w:val="normal0"/>
        <w:numPr>
          <w:ilvl w:val="0"/>
          <w:numId w:val="4"/>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Apenas a afirmativa III está correta. </w:t>
      </w:r>
    </w:p>
    <w:p w14:paraId="4865661B" w14:textId="77777777" w:rsidR="001E49B1" w:rsidRPr="002E32FD" w:rsidRDefault="002E32FD">
      <w:pPr>
        <w:pStyle w:val="normal0"/>
        <w:numPr>
          <w:ilvl w:val="0"/>
          <w:numId w:val="4"/>
        </w:numPr>
        <w:pBdr>
          <w:top w:val="nil"/>
          <w:left w:val="nil"/>
          <w:bottom w:val="nil"/>
          <w:right w:val="nil"/>
          <w:between w:val="nil"/>
        </w:pBdr>
        <w:spacing w:after="0" w:line="259" w:lineRule="auto"/>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Apenas as afirmativas I e III estão corretas. </w:t>
      </w:r>
    </w:p>
    <w:p w14:paraId="750B0866" w14:textId="77777777" w:rsidR="001E49B1" w:rsidRPr="002E32FD" w:rsidRDefault="002E32FD">
      <w:pPr>
        <w:pStyle w:val="normal0"/>
        <w:numPr>
          <w:ilvl w:val="0"/>
          <w:numId w:val="4"/>
        </w:numPr>
        <w:pBdr>
          <w:top w:val="nil"/>
          <w:left w:val="nil"/>
          <w:bottom w:val="nil"/>
          <w:right w:val="nil"/>
          <w:between w:val="nil"/>
        </w:pBdr>
        <w:spacing w:after="160" w:line="259" w:lineRule="auto"/>
        <w:rPr>
          <w:rFonts w:asciiTheme="minorHAnsi" w:eastAsia="Arial" w:hAnsiTheme="minorHAnsi" w:cs="Arial"/>
          <w:color w:val="000000"/>
          <w:sz w:val="18"/>
          <w:szCs w:val="18"/>
        </w:rPr>
      </w:pPr>
      <w:r w:rsidRPr="002E32FD">
        <w:rPr>
          <w:rFonts w:asciiTheme="minorHAnsi" w:eastAsia="Arial" w:hAnsiTheme="minorHAnsi" w:cs="Arial"/>
          <w:b/>
          <w:color w:val="FF0000"/>
          <w:sz w:val="18"/>
          <w:szCs w:val="18"/>
        </w:rPr>
        <w:t>Todas as afirmativas estão corretas.</w:t>
      </w:r>
      <w:r w:rsidRPr="002E32FD">
        <w:rPr>
          <w:rFonts w:asciiTheme="minorHAnsi" w:eastAsia="Arial" w:hAnsiTheme="minorHAnsi" w:cs="Arial"/>
          <w:color w:val="000000"/>
          <w:sz w:val="18"/>
          <w:szCs w:val="18"/>
        </w:rPr>
        <w:t xml:space="preserve"> </w:t>
      </w:r>
    </w:p>
    <w:p w14:paraId="434E3527" w14:textId="77777777" w:rsidR="001E49B1" w:rsidRPr="002E32FD" w:rsidRDefault="001E49B1">
      <w:pPr>
        <w:pStyle w:val="normal0"/>
        <w:pBdr>
          <w:top w:val="nil"/>
          <w:left w:val="nil"/>
          <w:bottom w:val="nil"/>
          <w:right w:val="nil"/>
          <w:between w:val="nil"/>
        </w:pBdr>
        <w:spacing w:after="0" w:line="259" w:lineRule="auto"/>
        <w:ind w:left="720" w:hanging="720"/>
        <w:jc w:val="both"/>
        <w:rPr>
          <w:rFonts w:asciiTheme="minorHAnsi" w:eastAsia="Arial" w:hAnsiTheme="minorHAnsi" w:cs="Arial"/>
          <w:color w:val="000000"/>
          <w:sz w:val="18"/>
          <w:szCs w:val="18"/>
        </w:rPr>
      </w:pPr>
    </w:p>
    <w:p w14:paraId="2A59FC00" w14:textId="77777777" w:rsidR="001E49B1" w:rsidRPr="002E32FD" w:rsidRDefault="002E32FD">
      <w:pPr>
        <w:pStyle w:val="normal0"/>
        <w:numPr>
          <w:ilvl w:val="0"/>
          <w:numId w:val="1"/>
        </w:numPr>
        <w:pBdr>
          <w:top w:val="nil"/>
          <w:left w:val="nil"/>
          <w:bottom w:val="nil"/>
          <w:right w:val="nil"/>
          <w:between w:val="nil"/>
        </w:pBdr>
        <w:spacing w:after="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Comente como a integridade da barreira intestinal pode ser um importante aliado à prevenção e manejo das alergias alimentares (</w:t>
      </w:r>
      <w:r w:rsidRPr="002E32FD">
        <w:rPr>
          <w:rFonts w:asciiTheme="minorHAnsi" w:eastAsia="Arial" w:hAnsiTheme="minorHAnsi" w:cs="Arial"/>
          <w:b/>
          <w:color w:val="000000"/>
          <w:sz w:val="18"/>
          <w:szCs w:val="18"/>
        </w:rPr>
        <w:t>1,0 PONTO</w:t>
      </w:r>
      <w:r w:rsidRPr="002E32FD">
        <w:rPr>
          <w:rFonts w:asciiTheme="minorHAnsi" w:eastAsia="Arial" w:hAnsiTheme="minorHAnsi" w:cs="Arial"/>
          <w:color w:val="000000"/>
          <w:sz w:val="18"/>
          <w:szCs w:val="18"/>
        </w:rPr>
        <w:t>).</w:t>
      </w:r>
    </w:p>
    <w:p w14:paraId="592555E1" w14:textId="77777777" w:rsidR="001E49B1" w:rsidRPr="002E32FD" w:rsidRDefault="002E32FD">
      <w:pPr>
        <w:pStyle w:val="normal0"/>
        <w:pBdr>
          <w:top w:val="nil"/>
          <w:left w:val="nil"/>
          <w:bottom w:val="nil"/>
          <w:right w:val="nil"/>
          <w:between w:val="nil"/>
        </w:pBdr>
        <w:spacing w:after="0" w:line="259" w:lineRule="auto"/>
        <w:ind w:left="72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A presença de muco, enzimas digestivas, pH, o peristaltismo, a produção de </w:t>
      </w:r>
      <w:proofErr w:type="spellStart"/>
      <w:r w:rsidRPr="002E32FD">
        <w:rPr>
          <w:rFonts w:asciiTheme="minorHAnsi" w:eastAsia="Arial" w:hAnsiTheme="minorHAnsi" w:cs="Arial"/>
          <w:b/>
          <w:color w:val="FF0000"/>
          <w:sz w:val="18"/>
          <w:szCs w:val="18"/>
        </w:rPr>
        <w:t>IgA</w:t>
      </w:r>
      <w:proofErr w:type="spellEnd"/>
      <w:r w:rsidRPr="002E32FD">
        <w:rPr>
          <w:rFonts w:asciiTheme="minorHAnsi" w:eastAsia="Arial" w:hAnsiTheme="minorHAnsi" w:cs="Arial"/>
          <w:b/>
          <w:color w:val="FF0000"/>
          <w:sz w:val="18"/>
          <w:szCs w:val="18"/>
        </w:rPr>
        <w:t xml:space="preserve"> e outros elementos imunológicos. A pre</w:t>
      </w:r>
      <w:r w:rsidRPr="002E32FD">
        <w:rPr>
          <w:rFonts w:asciiTheme="minorHAnsi" w:eastAsia="Arial" w:hAnsiTheme="minorHAnsi" w:cs="Arial"/>
          <w:b/>
          <w:color w:val="FF0000"/>
          <w:sz w:val="18"/>
          <w:szCs w:val="18"/>
        </w:rPr>
        <w:t xml:space="preserve">sença desse fatores favorece a modificação da matriz alimentar, reduzindo o tamanho de proteínas potencialmente alergênicas, cujos fragmentos poderão ser absorvidos sem serem capazes de ativar a resposta imune local e sistêmica.   </w:t>
      </w:r>
    </w:p>
    <w:p w14:paraId="085C7654" w14:textId="77777777" w:rsidR="001E49B1" w:rsidRPr="002E32FD" w:rsidRDefault="001E49B1">
      <w:pPr>
        <w:pStyle w:val="normal0"/>
        <w:pBdr>
          <w:top w:val="nil"/>
          <w:left w:val="nil"/>
          <w:bottom w:val="nil"/>
          <w:right w:val="nil"/>
          <w:between w:val="nil"/>
        </w:pBdr>
        <w:spacing w:after="0" w:line="259" w:lineRule="auto"/>
        <w:ind w:left="720" w:hanging="720"/>
        <w:jc w:val="both"/>
        <w:rPr>
          <w:rFonts w:asciiTheme="minorHAnsi" w:eastAsia="Arial" w:hAnsiTheme="minorHAnsi" w:cs="Arial"/>
          <w:color w:val="000000"/>
          <w:sz w:val="18"/>
          <w:szCs w:val="18"/>
        </w:rPr>
      </w:pPr>
    </w:p>
    <w:p w14:paraId="5E3422F8" w14:textId="77777777" w:rsidR="001E49B1" w:rsidRPr="002E32FD" w:rsidRDefault="002E32FD">
      <w:pPr>
        <w:pStyle w:val="normal0"/>
        <w:numPr>
          <w:ilvl w:val="0"/>
          <w:numId w:val="1"/>
        </w:numPr>
        <w:pBdr>
          <w:top w:val="nil"/>
          <w:left w:val="nil"/>
          <w:bottom w:val="nil"/>
          <w:right w:val="nil"/>
          <w:between w:val="nil"/>
        </w:pBdr>
        <w:spacing w:after="0" w:line="259" w:lineRule="auto"/>
        <w:jc w:val="right"/>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  Comente sobre os processos fisiopatológicos associação à obesidade que podem favorecer o desenvolvimento da </w:t>
      </w:r>
      <w:proofErr w:type="spellStart"/>
      <w:r w:rsidRPr="002E32FD">
        <w:rPr>
          <w:rFonts w:asciiTheme="minorHAnsi" w:eastAsia="Arial" w:hAnsiTheme="minorHAnsi" w:cs="Arial"/>
          <w:color w:val="000000"/>
          <w:sz w:val="18"/>
          <w:szCs w:val="18"/>
        </w:rPr>
        <w:t>esteatose</w:t>
      </w:r>
      <w:proofErr w:type="spellEnd"/>
      <w:r w:rsidRPr="002E32FD">
        <w:rPr>
          <w:rFonts w:asciiTheme="minorHAnsi" w:eastAsia="Arial" w:hAnsiTheme="minorHAnsi" w:cs="Arial"/>
          <w:color w:val="000000"/>
          <w:sz w:val="18"/>
          <w:szCs w:val="18"/>
        </w:rPr>
        <w:t xml:space="preserve"> hepática (</w:t>
      </w:r>
      <w:r w:rsidRPr="002E32FD">
        <w:rPr>
          <w:rFonts w:asciiTheme="minorHAnsi" w:eastAsia="Arial" w:hAnsiTheme="minorHAnsi" w:cs="Arial"/>
          <w:b/>
          <w:color w:val="000000"/>
          <w:sz w:val="18"/>
          <w:szCs w:val="18"/>
        </w:rPr>
        <w:t>1,0 PONTO</w:t>
      </w:r>
      <w:r w:rsidRPr="002E32FD">
        <w:rPr>
          <w:rFonts w:asciiTheme="minorHAnsi" w:eastAsia="Arial" w:hAnsiTheme="minorHAnsi" w:cs="Arial"/>
          <w:color w:val="000000"/>
          <w:sz w:val="18"/>
          <w:szCs w:val="18"/>
        </w:rPr>
        <w:t>).</w:t>
      </w:r>
    </w:p>
    <w:p w14:paraId="112E759D" w14:textId="77777777" w:rsidR="001E49B1" w:rsidRPr="002E32FD" w:rsidRDefault="002E32FD">
      <w:pPr>
        <w:pStyle w:val="normal0"/>
        <w:spacing w:before="240" w:after="240" w:line="259" w:lineRule="auto"/>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Favorecer o desenvolvimento da </w:t>
      </w:r>
      <w:proofErr w:type="spellStart"/>
      <w:r w:rsidRPr="002E32FD">
        <w:rPr>
          <w:rFonts w:asciiTheme="minorHAnsi" w:eastAsia="Arial" w:hAnsiTheme="minorHAnsi" w:cs="Arial"/>
          <w:b/>
          <w:color w:val="FF0000"/>
          <w:sz w:val="18"/>
          <w:szCs w:val="18"/>
        </w:rPr>
        <w:t>esteatose</w:t>
      </w:r>
      <w:proofErr w:type="spellEnd"/>
      <w:r w:rsidRPr="002E32FD">
        <w:rPr>
          <w:rFonts w:asciiTheme="minorHAnsi" w:eastAsia="Arial" w:hAnsiTheme="minorHAnsi" w:cs="Arial"/>
          <w:b/>
          <w:color w:val="FF0000"/>
          <w:sz w:val="18"/>
          <w:szCs w:val="18"/>
        </w:rPr>
        <w:t xml:space="preserve"> hepática. O processo de dislipidemia induzido pelo excesso de energia con</w:t>
      </w:r>
      <w:r w:rsidRPr="002E32FD">
        <w:rPr>
          <w:rFonts w:asciiTheme="minorHAnsi" w:eastAsia="Arial" w:hAnsiTheme="minorHAnsi" w:cs="Arial"/>
          <w:b/>
          <w:color w:val="FF0000"/>
          <w:sz w:val="18"/>
          <w:szCs w:val="18"/>
        </w:rPr>
        <w:t>sumida ativa as seguintes vias:</w:t>
      </w:r>
    </w:p>
    <w:p w14:paraId="3E62C2A1"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aumento de LDL</w:t>
      </w:r>
    </w:p>
    <w:p w14:paraId="6DD175F9"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redução de HDL</w:t>
      </w:r>
    </w:p>
    <w:p w14:paraId="17A7C958"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ativação da CETP</w:t>
      </w:r>
    </w:p>
    <w:p w14:paraId="1AE4006D"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desenvolvimento da resistência à insulina</w:t>
      </w:r>
    </w:p>
    <w:p w14:paraId="37F105B4"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inibição da lipase lipoproteica</w:t>
      </w:r>
    </w:p>
    <w:p w14:paraId="34749565"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ativação da lipase hormônio sensível</w:t>
      </w:r>
    </w:p>
    <w:p w14:paraId="779416B5"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aumento de ácidos graxos livres</w:t>
      </w:r>
    </w:p>
    <w:p w14:paraId="073827DA"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color w:val="FF0000"/>
          <w:sz w:val="18"/>
          <w:szCs w:val="18"/>
        </w:rPr>
        <w:t xml:space="preserve">       </w:t>
      </w:r>
      <w:r w:rsidRPr="002E32FD">
        <w:rPr>
          <w:rFonts w:asciiTheme="minorHAnsi" w:eastAsia="Arial" w:hAnsiTheme="minorHAnsi" w:cs="Arial"/>
          <w:b/>
          <w:color w:val="FF0000"/>
          <w:sz w:val="18"/>
          <w:szCs w:val="18"/>
        </w:rPr>
        <w:t>aumento da síntese hepática de ácidos graxos e colesterol devido ao excesso de carboidratos e ácidos graxos saturados/</w:t>
      </w:r>
      <w:proofErr w:type="spellStart"/>
      <w:r w:rsidRPr="002E32FD">
        <w:rPr>
          <w:rFonts w:asciiTheme="minorHAnsi" w:eastAsia="Arial" w:hAnsiTheme="minorHAnsi" w:cs="Arial"/>
          <w:b/>
          <w:color w:val="FF0000"/>
          <w:sz w:val="18"/>
          <w:szCs w:val="18"/>
        </w:rPr>
        <w:t>trans</w:t>
      </w:r>
      <w:proofErr w:type="spellEnd"/>
      <w:r w:rsidRPr="002E32FD">
        <w:rPr>
          <w:rFonts w:asciiTheme="minorHAnsi" w:eastAsia="Arial" w:hAnsiTheme="minorHAnsi" w:cs="Arial"/>
          <w:b/>
          <w:color w:val="FF0000"/>
          <w:sz w:val="18"/>
          <w:szCs w:val="18"/>
        </w:rPr>
        <w:t>, respectivamente</w:t>
      </w:r>
    </w:p>
    <w:p w14:paraId="105D80AF" w14:textId="77777777" w:rsidR="001E49B1" w:rsidRPr="002E32FD" w:rsidRDefault="002E32FD">
      <w:pPr>
        <w:pStyle w:val="normal0"/>
        <w:pBdr>
          <w:top w:val="nil"/>
          <w:left w:val="nil"/>
          <w:bottom w:val="nil"/>
          <w:right w:val="nil"/>
          <w:between w:val="nil"/>
        </w:pBdr>
        <w:spacing w:after="0" w:line="259" w:lineRule="auto"/>
        <w:ind w:left="72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Em conjunto, esses fatores estimulam a mobilização de triglicerídeos dos ad</w:t>
      </w:r>
      <w:r w:rsidRPr="002E32FD">
        <w:rPr>
          <w:rFonts w:asciiTheme="minorHAnsi" w:eastAsia="Arial" w:hAnsiTheme="minorHAnsi" w:cs="Arial"/>
          <w:b/>
          <w:color w:val="FF0000"/>
          <w:sz w:val="18"/>
          <w:szCs w:val="18"/>
        </w:rPr>
        <w:t xml:space="preserve">ipócitos, liberando ácidos graxos livres que são transportados ao fígado e outros tecidos para serem depositados em células/tecidos </w:t>
      </w:r>
      <w:proofErr w:type="spellStart"/>
      <w:r w:rsidRPr="002E32FD">
        <w:rPr>
          <w:rFonts w:asciiTheme="minorHAnsi" w:eastAsia="Arial" w:hAnsiTheme="minorHAnsi" w:cs="Arial"/>
          <w:b/>
          <w:color w:val="FF0000"/>
          <w:sz w:val="18"/>
          <w:szCs w:val="18"/>
        </w:rPr>
        <w:t>insulino</w:t>
      </w:r>
      <w:proofErr w:type="spellEnd"/>
      <w:r w:rsidRPr="002E32FD">
        <w:rPr>
          <w:rFonts w:asciiTheme="minorHAnsi" w:eastAsia="Arial" w:hAnsiTheme="minorHAnsi" w:cs="Arial"/>
          <w:b/>
          <w:color w:val="FF0000"/>
          <w:sz w:val="18"/>
          <w:szCs w:val="18"/>
        </w:rPr>
        <w:t xml:space="preserve"> independentes. Esse processo, em associação a maior síntese hepática, leva ao acúmulo de gordura no parênquima hepá</w:t>
      </w:r>
      <w:r w:rsidRPr="002E32FD">
        <w:rPr>
          <w:rFonts w:asciiTheme="minorHAnsi" w:eastAsia="Arial" w:hAnsiTheme="minorHAnsi" w:cs="Arial"/>
          <w:b/>
          <w:color w:val="FF0000"/>
          <w:sz w:val="18"/>
          <w:szCs w:val="18"/>
        </w:rPr>
        <w:t xml:space="preserve">tica resultando em </w:t>
      </w:r>
      <w:proofErr w:type="spellStart"/>
      <w:r w:rsidRPr="002E32FD">
        <w:rPr>
          <w:rFonts w:asciiTheme="minorHAnsi" w:eastAsia="Arial" w:hAnsiTheme="minorHAnsi" w:cs="Arial"/>
          <w:b/>
          <w:color w:val="FF0000"/>
          <w:sz w:val="18"/>
          <w:szCs w:val="18"/>
        </w:rPr>
        <w:t>esteatose</w:t>
      </w:r>
      <w:proofErr w:type="spellEnd"/>
      <w:r w:rsidRPr="002E32FD">
        <w:rPr>
          <w:rFonts w:asciiTheme="minorHAnsi" w:eastAsia="Arial" w:hAnsiTheme="minorHAnsi" w:cs="Arial"/>
          <w:b/>
          <w:color w:val="FF0000"/>
          <w:sz w:val="18"/>
          <w:szCs w:val="18"/>
        </w:rPr>
        <w:t xml:space="preserve"> hepática, que pode evoluir, em alguns casos, para </w:t>
      </w:r>
      <w:proofErr w:type="spellStart"/>
      <w:r w:rsidRPr="002E32FD">
        <w:rPr>
          <w:rFonts w:asciiTheme="minorHAnsi" w:eastAsia="Arial" w:hAnsiTheme="minorHAnsi" w:cs="Arial"/>
          <w:b/>
          <w:color w:val="FF0000"/>
          <w:sz w:val="18"/>
          <w:szCs w:val="18"/>
        </w:rPr>
        <w:t>esteatohepatite</w:t>
      </w:r>
      <w:proofErr w:type="spellEnd"/>
      <w:r w:rsidRPr="002E32FD">
        <w:rPr>
          <w:rFonts w:asciiTheme="minorHAnsi" w:eastAsia="Arial" w:hAnsiTheme="minorHAnsi" w:cs="Arial"/>
          <w:b/>
          <w:color w:val="FF0000"/>
          <w:sz w:val="18"/>
          <w:szCs w:val="18"/>
        </w:rPr>
        <w:t xml:space="preserve">, cirrose e </w:t>
      </w:r>
      <w:proofErr w:type="spellStart"/>
      <w:r w:rsidRPr="002E32FD">
        <w:rPr>
          <w:rFonts w:asciiTheme="minorHAnsi" w:eastAsia="Arial" w:hAnsiTheme="minorHAnsi" w:cs="Arial"/>
          <w:b/>
          <w:color w:val="FF0000"/>
          <w:sz w:val="18"/>
          <w:szCs w:val="18"/>
        </w:rPr>
        <w:t>hepatocarcinoma</w:t>
      </w:r>
      <w:proofErr w:type="spellEnd"/>
      <w:r w:rsidRPr="002E32FD">
        <w:rPr>
          <w:rFonts w:asciiTheme="minorHAnsi" w:eastAsia="Arial" w:hAnsiTheme="minorHAnsi" w:cs="Arial"/>
          <w:b/>
          <w:color w:val="FF0000"/>
          <w:sz w:val="18"/>
          <w:szCs w:val="18"/>
        </w:rPr>
        <w:t>.</w:t>
      </w:r>
      <w:r w:rsidRPr="002E32FD">
        <w:rPr>
          <w:rFonts w:asciiTheme="minorHAnsi" w:eastAsia="Arial" w:hAnsiTheme="minorHAnsi" w:cs="Arial"/>
          <w:b/>
          <w:color w:val="FF0000"/>
          <w:sz w:val="18"/>
          <w:szCs w:val="18"/>
        </w:rPr>
        <w:t xml:space="preserve"> </w:t>
      </w:r>
    </w:p>
    <w:p w14:paraId="6E1E6CAC" w14:textId="77777777" w:rsidR="001E49B1" w:rsidRPr="002E32FD" w:rsidRDefault="001E49B1">
      <w:pPr>
        <w:pStyle w:val="normal0"/>
        <w:pBdr>
          <w:top w:val="nil"/>
          <w:left w:val="nil"/>
          <w:bottom w:val="nil"/>
          <w:right w:val="nil"/>
          <w:between w:val="nil"/>
        </w:pBdr>
        <w:ind w:left="720" w:hanging="720"/>
        <w:rPr>
          <w:rFonts w:asciiTheme="minorHAnsi" w:eastAsia="Arial" w:hAnsiTheme="minorHAnsi" w:cs="Arial"/>
          <w:color w:val="000000"/>
          <w:sz w:val="18"/>
          <w:szCs w:val="18"/>
        </w:rPr>
      </w:pPr>
    </w:p>
    <w:p w14:paraId="203BFE0B" w14:textId="77777777" w:rsidR="001E49B1" w:rsidRPr="002E32FD" w:rsidRDefault="002E32FD">
      <w:pPr>
        <w:pStyle w:val="normal0"/>
        <w:numPr>
          <w:ilvl w:val="0"/>
          <w:numId w:val="1"/>
        </w:numPr>
        <w:pBdr>
          <w:top w:val="nil"/>
          <w:left w:val="nil"/>
          <w:bottom w:val="nil"/>
          <w:right w:val="nil"/>
          <w:between w:val="nil"/>
        </w:pBdr>
        <w:spacing w:after="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Paciente A. F. G., 18 meses, é encaminhado ao PS devido edema de glote após consumir mingau preparado com leite de vaca. Após adequado tratamento emergencial para alergia, o paciente é encaminhado ao nutricionista. Com base no breve relato do caso, que ori</w:t>
      </w:r>
      <w:r w:rsidRPr="002E32FD">
        <w:rPr>
          <w:rFonts w:asciiTheme="minorHAnsi" w:eastAsia="Arial" w:hAnsiTheme="minorHAnsi" w:cs="Arial"/>
          <w:color w:val="000000"/>
          <w:sz w:val="18"/>
          <w:szCs w:val="18"/>
        </w:rPr>
        <w:t>entações nutricionais você daria à mãe na 1ª consulta. Justifique cada orientação (&gt; 3 orientações) (</w:t>
      </w:r>
      <w:r w:rsidRPr="002E32FD">
        <w:rPr>
          <w:rFonts w:asciiTheme="minorHAnsi" w:eastAsia="Arial" w:hAnsiTheme="minorHAnsi" w:cs="Arial"/>
          <w:b/>
          <w:color w:val="000000"/>
          <w:sz w:val="18"/>
          <w:szCs w:val="18"/>
        </w:rPr>
        <w:t>1,0 PONTO</w:t>
      </w:r>
      <w:r w:rsidRPr="002E32FD">
        <w:rPr>
          <w:rFonts w:asciiTheme="minorHAnsi" w:eastAsia="Arial" w:hAnsiTheme="minorHAnsi" w:cs="Arial"/>
          <w:color w:val="000000"/>
          <w:sz w:val="18"/>
          <w:szCs w:val="18"/>
        </w:rPr>
        <w:t>).</w:t>
      </w:r>
    </w:p>
    <w:p w14:paraId="388DB3B4" w14:textId="77777777" w:rsidR="001E49B1" w:rsidRPr="002E32FD" w:rsidRDefault="002E32FD">
      <w:pPr>
        <w:pStyle w:val="normal0"/>
        <w:pBdr>
          <w:top w:val="nil"/>
          <w:left w:val="nil"/>
          <w:bottom w:val="nil"/>
          <w:right w:val="nil"/>
          <w:between w:val="nil"/>
        </w:pBdr>
        <w:spacing w:after="0" w:line="259" w:lineRule="auto"/>
        <w:ind w:left="72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exclusão do leite e derivados - alimento relatado pela mãe como sendo o causal. Deve ser excluído até completa avaliação médica e laboratorial</w:t>
      </w:r>
    </w:p>
    <w:p w14:paraId="2F33D3B6" w14:textId="77777777" w:rsidR="001E49B1" w:rsidRPr="002E32FD" w:rsidRDefault="002E32FD">
      <w:pPr>
        <w:pStyle w:val="normal0"/>
        <w:pBdr>
          <w:top w:val="nil"/>
          <w:left w:val="nil"/>
          <w:bottom w:val="nil"/>
          <w:right w:val="nil"/>
          <w:between w:val="nil"/>
        </w:pBdr>
        <w:spacing w:after="0" w:line="259" w:lineRule="auto"/>
        <w:ind w:left="72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orientar um plano alimentar com proteína extensamente hidrolisada- a idade da criança e a gravidade da reação alérgica não permitem o uso de outros tipos de leites com proteínas intactas </w:t>
      </w:r>
    </w:p>
    <w:p w14:paraId="724DC65B" w14:textId="77777777" w:rsidR="001E49B1" w:rsidRPr="002E32FD" w:rsidRDefault="002E32FD">
      <w:pPr>
        <w:pStyle w:val="normal0"/>
        <w:pBdr>
          <w:top w:val="nil"/>
          <w:left w:val="nil"/>
          <w:bottom w:val="nil"/>
          <w:right w:val="nil"/>
          <w:between w:val="nil"/>
        </w:pBdr>
        <w:spacing w:after="0" w:line="259" w:lineRule="auto"/>
        <w:ind w:left="72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 recomendar o registro de diário alimentar e de sinais e sintomas su</w:t>
      </w:r>
      <w:r w:rsidRPr="002E32FD">
        <w:rPr>
          <w:rFonts w:asciiTheme="minorHAnsi" w:eastAsia="Arial" w:hAnsiTheme="minorHAnsi" w:cs="Arial"/>
          <w:b/>
          <w:color w:val="FF0000"/>
          <w:sz w:val="18"/>
          <w:szCs w:val="18"/>
        </w:rPr>
        <w:t>gestivos de alergia - importante para avaliar se o consumo está adequado em termos quantitativos e se não algumas resposta adversa associada ao consumo desse alimento ou outros consumidos</w:t>
      </w:r>
    </w:p>
    <w:p w14:paraId="2CBF77B6" w14:textId="77777777" w:rsidR="001E49B1" w:rsidRPr="002E32FD" w:rsidRDefault="001E49B1">
      <w:pPr>
        <w:pStyle w:val="normal0"/>
        <w:pBdr>
          <w:top w:val="nil"/>
          <w:left w:val="nil"/>
          <w:bottom w:val="nil"/>
          <w:right w:val="nil"/>
          <w:between w:val="nil"/>
        </w:pBdr>
        <w:spacing w:after="0" w:line="259" w:lineRule="auto"/>
        <w:ind w:left="720"/>
        <w:jc w:val="both"/>
        <w:rPr>
          <w:rFonts w:asciiTheme="minorHAnsi" w:eastAsia="Arial" w:hAnsiTheme="minorHAnsi" w:cs="Arial"/>
          <w:sz w:val="18"/>
          <w:szCs w:val="18"/>
        </w:rPr>
      </w:pPr>
    </w:p>
    <w:p w14:paraId="48605543" w14:textId="77777777" w:rsidR="001E49B1" w:rsidRPr="002E32FD" w:rsidRDefault="001E49B1">
      <w:pPr>
        <w:pStyle w:val="normal0"/>
        <w:pBdr>
          <w:top w:val="nil"/>
          <w:left w:val="nil"/>
          <w:bottom w:val="nil"/>
          <w:right w:val="nil"/>
          <w:between w:val="nil"/>
        </w:pBdr>
        <w:spacing w:after="0" w:line="259" w:lineRule="auto"/>
        <w:ind w:hanging="720"/>
        <w:jc w:val="both"/>
        <w:rPr>
          <w:rFonts w:asciiTheme="minorHAnsi" w:eastAsia="Arial" w:hAnsiTheme="minorHAnsi" w:cs="Arial"/>
          <w:color w:val="000000"/>
          <w:sz w:val="18"/>
          <w:szCs w:val="18"/>
        </w:rPr>
      </w:pPr>
    </w:p>
    <w:p w14:paraId="32B3C481" w14:textId="77777777" w:rsidR="001E49B1" w:rsidRPr="002E32FD" w:rsidRDefault="002E32FD">
      <w:pPr>
        <w:pStyle w:val="normal0"/>
        <w:numPr>
          <w:ilvl w:val="0"/>
          <w:numId w:val="1"/>
        </w:numPr>
        <w:pBdr>
          <w:top w:val="nil"/>
          <w:left w:val="nil"/>
          <w:bottom w:val="nil"/>
          <w:right w:val="nil"/>
          <w:between w:val="nil"/>
        </w:pBdr>
        <w:spacing w:after="16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Descreva de maneira objetiva (</w:t>
      </w:r>
      <w:proofErr w:type="spellStart"/>
      <w:r w:rsidRPr="002E32FD">
        <w:rPr>
          <w:rFonts w:asciiTheme="minorHAnsi" w:eastAsia="Arial" w:hAnsiTheme="minorHAnsi" w:cs="Arial"/>
          <w:color w:val="000000"/>
          <w:sz w:val="18"/>
          <w:szCs w:val="18"/>
        </w:rPr>
        <w:t>max</w:t>
      </w:r>
      <w:proofErr w:type="spellEnd"/>
      <w:r w:rsidRPr="002E32FD">
        <w:rPr>
          <w:rFonts w:asciiTheme="minorHAnsi" w:eastAsia="Arial" w:hAnsiTheme="minorHAnsi" w:cs="Arial"/>
          <w:color w:val="000000"/>
          <w:sz w:val="18"/>
          <w:szCs w:val="18"/>
        </w:rPr>
        <w:t xml:space="preserve"> 1 frase) a relevância clínica de cada </w:t>
      </w:r>
      <w:proofErr w:type="spellStart"/>
      <w:r w:rsidRPr="002E32FD">
        <w:rPr>
          <w:rFonts w:asciiTheme="minorHAnsi" w:eastAsia="Arial" w:hAnsiTheme="minorHAnsi" w:cs="Arial"/>
          <w:color w:val="000000"/>
          <w:sz w:val="18"/>
          <w:szCs w:val="18"/>
        </w:rPr>
        <w:t>biomarcador</w:t>
      </w:r>
      <w:proofErr w:type="spellEnd"/>
      <w:r w:rsidRPr="002E32FD">
        <w:rPr>
          <w:rFonts w:asciiTheme="minorHAnsi" w:eastAsia="Arial" w:hAnsiTheme="minorHAnsi" w:cs="Arial"/>
          <w:color w:val="000000"/>
          <w:sz w:val="18"/>
          <w:szCs w:val="18"/>
        </w:rPr>
        <w:t xml:space="preserve"> no processo de obesidade: (</w:t>
      </w:r>
      <w:r w:rsidRPr="002E32FD">
        <w:rPr>
          <w:rFonts w:asciiTheme="minorHAnsi" w:eastAsia="Arial" w:hAnsiTheme="minorHAnsi" w:cs="Arial"/>
          <w:b/>
          <w:color w:val="000000"/>
          <w:sz w:val="18"/>
          <w:szCs w:val="18"/>
        </w:rPr>
        <w:t>1,0 PONTO</w:t>
      </w:r>
      <w:r w:rsidRPr="002E32FD">
        <w:rPr>
          <w:rFonts w:asciiTheme="minorHAnsi" w:eastAsia="Arial" w:hAnsiTheme="minorHAnsi" w:cs="Arial"/>
          <w:color w:val="000000"/>
          <w:sz w:val="18"/>
          <w:szCs w:val="18"/>
        </w:rPr>
        <w:t>).</w:t>
      </w:r>
    </w:p>
    <w:p w14:paraId="3586688C" w14:textId="77777777" w:rsidR="001E49B1" w:rsidRPr="002E32FD" w:rsidRDefault="001E49B1">
      <w:pPr>
        <w:pStyle w:val="normal0"/>
        <w:pBdr>
          <w:top w:val="nil"/>
          <w:left w:val="nil"/>
          <w:bottom w:val="nil"/>
          <w:right w:val="nil"/>
          <w:between w:val="nil"/>
        </w:pBdr>
        <w:ind w:left="720" w:hanging="720"/>
        <w:rPr>
          <w:rFonts w:asciiTheme="minorHAnsi" w:eastAsia="Arial" w:hAnsiTheme="minorHAnsi" w:cs="Arial"/>
          <w:color w:val="000000"/>
          <w:sz w:val="18"/>
          <w:szCs w:val="18"/>
        </w:rPr>
      </w:pPr>
    </w:p>
    <w:tbl>
      <w:tblPr>
        <w:tblStyle w:val="a"/>
        <w:tblW w:w="95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5"/>
        <w:gridCol w:w="1005"/>
      </w:tblGrid>
      <w:tr w:rsidR="001E49B1" w:rsidRPr="002E32FD" w14:paraId="2A8638EF" w14:textId="77777777">
        <w:tc>
          <w:tcPr>
            <w:tcW w:w="8565" w:type="dxa"/>
          </w:tcPr>
          <w:p w14:paraId="00659AFB" w14:textId="77777777" w:rsidR="001E49B1" w:rsidRPr="002E32FD" w:rsidRDefault="002E32FD">
            <w:pPr>
              <w:pStyle w:val="normal0"/>
              <w:pBdr>
                <w:top w:val="nil"/>
                <w:left w:val="nil"/>
                <w:bottom w:val="nil"/>
                <w:right w:val="nil"/>
                <w:between w:val="nil"/>
              </w:pBdr>
              <w:spacing w:after="160" w:line="259" w:lineRule="auto"/>
              <w:ind w:hanging="720"/>
              <w:jc w:val="right"/>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lastRenderedPageBreak/>
              <w:t xml:space="preserve">Lipase lipoproteica - indicativo de </w:t>
            </w:r>
            <w:r w:rsidRPr="002E32FD">
              <w:rPr>
                <w:rFonts w:asciiTheme="minorHAnsi" w:eastAsia="Arial" w:hAnsiTheme="minorHAnsi" w:cs="Arial"/>
                <w:b/>
                <w:color w:val="FF0000"/>
                <w:sz w:val="18"/>
                <w:szCs w:val="18"/>
              </w:rPr>
              <w:t xml:space="preserve">quebra de TRG e captação </w:t>
            </w:r>
            <w:r w:rsidRPr="002E32FD">
              <w:rPr>
                <w:rFonts w:asciiTheme="minorHAnsi" w:eastAsia="Arial" w:hAnsiTheme="minorHAnsi" w:cs="Arial"/>
                <w:b/>
                <w:color w:val="FF0000"/>
                <w:sz w:val="18"/>
                <w:szCs w:val="18"/>
              </w:rPr>
              <w:t xml:space="preserve"> tecidual de ácidos graxos</w:t>
            </w:r>
          </w:p>
        </w:tc>
        <w:tc>
          <w:tcPr>
            <w:tcW w:w="1005" w:type="dxa"/>
          </w:tcPr>
          <w:p w14:paraId="54F733AC" w14:textId="77777777" w:rsidR="001E49B1" w:rsidRPr="002E32FD" w:rsidRDefault="001E49B1">
            <w:pPr>
              <w:pStyle w:val="normal0"/>
              <w:pBdr>
                <w:top w:val="nil"/>
                <w:left w:val="nil"/>
                <w:bottom w:val="nil"/>
                <w:right w:val="nil"/>
                <w:between w:val="nil"/>
              </w:pBdr>
              <w:spacing w:after="160" w:line="259" w:lineRule="auto"/>
              <w:ind w:hanging="720"/>
              <w:jc w:val="both"/>
              <w:rPr>
                <w:rFonts w:asciiTheme="minorHAnsi" w:eastAsia="Arial" w:hAnsiTheme="minorHAnsi" w:cs="Arial"/>
                <w:color w:val="000000"/>
                <w:sz w:val="18"/>
                <w:szCs w:val="18"/>
              </w:rPr>
            </w:pPr>
          </w:p>
        </w:tc>
      </w:tr>
      <w:tr w:rsidR="001E49B1" w:rsidRPr="002E32FD" w14:paraId="02CAE2E2" w14:textId="77777777">
        <w:tc>
          <w:tcPr>
            <w:tcW w:w="8565" w:type="dxa"/>
          </w:tcPr>
          <w:p w14:paraId="7A42FCD1" w14:textId="77777777" w:rsidR="001E49B1" w:rsidRPr="002E32FD" w:rsidRDefault="002E32FD">
            <w:pPr>
              <w:pStyle w:val="normal0"/>
              <w:pBdr>
                <w:top w:val="nil"/>
                <w:left w:val="nil"/>
                <w:bottom w:val="nil"/>
                <w:right w:val="nil"/>
                <w:between w:val="nil"/>
              </w:pBdr>
              <w:spacing w:after="160" w:line="259" w:lineRule="auto"/>
              <w:ind w:hanging="720"/>
              <w:jc w:val="right"/>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Insulina -valores elevados</w:t>
            </w:r>
            <w:r w:rsidRPr="002E32FD">
              <w:rPr>
                <w:rFonts w:asciiTheme="minorHAnsi" w:eastAsia="Arial" w:hAnsiTheme="minorHAnsi" w:cs="Arial"/>
                <w:b/>
                <w:color w:val="FF0000"/>
                <w:sz w:val="18"/>
                <w:szCs w:val="18"/>
              </w:rPr>
              <w:t xml:space="preserve"> são</w:t>
            </w:r>
            <w:r w:rsidRPr="002E32FD">
              <w:rPr>
                <w:rFonts w:asciiTheme="minorHAnsi" w:eastAsia="Arial" w:hAnsiTheme="minorHAnsi" w:cs="Arial"/>
                <w:b/>
                <w:color w:val="FF0000"/>
                <w:sz w:val="18"/>
                <w:szCs w:val="18"/>
              </w:rPr>
              <w:t xml:space="preserve"> indicativos de resistência à insulina</w:t>
            </w:r>
          </w:p>
        </w:tc>
        <w:tc>
          <w:tcPr>
            <w:tcW w:w="1005" w:type="dxa"/>
          </w:tcPr>
          <w:p w14:paraId="76E9CF84" w14:textId="77777777" w:rsidR="001E49B1" w:rsidRPr="002E32FD" w:rsidRDefault="001E49B1">
            <w:pPr>
              <w:pStyle w:val="normal0"/>
              <w:pBdr>
                <w:top w:val="nil"/>
                <w:left w:val="nil"/>
                <w:bottom w:val="nil"/>
                <w:right w:val="nil"/>
                <w:between w:val="nil"/>
              </w:pBdr>
              <w:spacing w:after="160" w:line="259" w:lineRule="auto"/>
              <w:ind w:hanging="720"/>
              <w:jc w:val="both"/>
              <w:rPr>
                <w:rFonts w:asciiTheme="minorHAnsi" w:eastAsia="Arial" w:hAnsiTheme="minorHAnsi" w:cs="Arial"/>
                <w:color w:val="000000"/>
                <w:sz w:val="18"/>
                <w:szCs w:val="18"/>
              </w:rPr>
            </w:pPr>
          </w:p>
        </w:tc>
      </w:tr>
      <w:tr w:rsidR="001E49B1" w:rsidRPr="002E32FD" w14:paraId="1C046295" w14:textId="77777777">
        <w:tc>
          <w:tcPr>
            <w:tcW w:w="8565" w:type="dxa"/>
          </w:tcPr>
          <w:p w14:paraId="3C6EA92E" w14:textId="77777777" w:rsidR="001E49B1" w:rsidRPr="002E32FD" w:rsidRDefault="002E32FD">
            <w:pPr>
              <w:pStyle w:val="normal0"/>
              <w:pBdr>
                <w:top w:val="nil"/>
                <w:left w:val="nil"/>
                <w:bottom w:val="nil"/>
                <w:right w:val="nil"/>
                <w:between w:val="nil"/>
              </w:pBdr>
              <w:spacing w:after="160" w:line="259" w:lineRule="auto"/>
              <w:ind w:hanging="720"/>
              <w:jc w:val="right"/>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Ácidos graxos não esterificado - n</w:t>
            </w:r>
            <w:r w:rsidRPr="002E32FD">
              <w:rPr>
                <w:rFonts w:asciiTheme="minorHAnsi" w:eastAsia="Arial" w:hAnsiTheme="minorHAnsi" w:cs="Arial"/>
                <w:b/>
                <w:color w:val="FF0000"/>
                <w:sz w:val="18"/>
                <w:szCs w:val="18"/>
              </w:rPr>
              <w:t>í</w:t>
            </w:r>
            <w:r w:rsidRPr="002E32FD">
              <w:rPr>
                <w:rFonts w:asciiTheme="minorHAnsi" w:eastAsia="Arial" w:hAnsiTheme="minorHAnsi" w:cs="Arial"/>
                <w:b/>
                <w:color w:val="FF0000"/>
                <w:sz w:val="18"/>
                <w:szCs w:val="18"/>
              </w:rPr>
              <w:t>v</w:t>
            </w:r>
            <w:r w:rsidRPr="002E32FD">
              <w:rPr>
                <w:rFonts w:asciiTheme="minorHAnsi" w:eastAsia="Arial" w:hAnsiTheme="minorHAnsi" w:cs="Arial"/>
                <w:b/>
                <w:color w:val="FF0000"/>
                <w:sz w:val="18"/>
                <w:szCs w:val="18"/>
              </w:rPr>
              <w:t xml:space="preserve">eis elevados indica quebra de TRG e inflamação </w:t>
            </w:r>
            <w:r w:rsidRPr="002E32FD">
              <w:rPr>
                <w:rFonts w:asciiTheme="minorHAnsi" w:eastAsia="Arial" w:hAnsiTheme="minorHAnsi" w:cs="Arial"/>
                <w:b/>
                <w:color w:val="FF0000"/>
                <w:sz w:val="18"/>
                <w:szCs w:val="18"/>
              </w:rPr>
              <w:t>s</w:t>
            </w:r>
          </w:p>
        </w:tc>
        <w:tc>
          <w:tcPr>
            <w:tcW w:w="1005" w:type="dxa"/>
          </w:tcPr>
          <w:p w14:paraId="7C5D2293" w14:textId="77777777" w:rsidR="001E49B1" w:rsidRPr="002E32FD" w:rsidRDefault="001E49B1">
            <w:pPr>
              <w:pStyle w:val="normal0"/>
              <w:pBdr>
                <w:top w:val="nil"/>
                <w:left w:val="nil"/>
                <w:bottom w:val="nil"/>
                <w:right w:val="nil"/>
                <w:between w:val="nil"/>
              </w:pBdr>
              <w:spacing w:after="160" w:line="259" w:lineRule="auto"/>
              <w:ind w:hanging="720"/>
              <w:jc w:val="both"/>
              <w:rPr>
                <w:rFonts w:asciiTheme="minorHAnsi" w:eastAsia="Arial" w:hAnsiTheme="minorHAnsi" w:cs="Arial"/>
                <w:color w:val="000000"/>
                <w:sz w:val="18"/>
                <w:szCs w:val="18"/>
              </w:rPr>
            </w:pPr>
          </w:p>
        </w:tc>
      </w:tr>
      <w:tr w:rsidR="001E49B1" w:rsidRPr="002E32FD" w14:paraId="30254E6A" w14:textId="77777777">
        <w:tc>
          <w:tcPr>
            <w:tcW w:w="8565" w:type="dxa"/>
          </w:tcPr>
          <w:p w14:paraId="6F46A74C" w14:textId="77777777" w:rsidR="001E49B1" w:rsidRPr="002E32FD" w:rsidRDefault="002E32FD">
            <w:pPr>
              <w:pStyle w:val="normal0"/>
              <w:pBdr>
                <w:top w:val="nil"/>
                <w:left w:val="nil"/>
                <w:bottom w:val="nil"/>
                <w:right w:val="nil"/>
                <w:between w:val="nil"/>
              </w:pBdr>
              <w:spacing w:after="160" w:line="259" w:lineRule="auto"/>
              <w:ind w:hanging="720"/>
              <w:jc w:val="right"/>
              <w:rPr>
                <w:rFonts w:asciiTheme="minorHAnsi" w:eastAsia="Arial" w:hAnsiTheme="minorHAnsi" w:cs="Arial"/>
                <w:b/>
                <w:color w:val="FF0000"/>
                <w:sz w:val="18"/>
                <w:szCs w:val="18"/>
              </w:rPr>
            </w:pPr>
            <w:proofErr w:type="spellStart"/>
            <w:r w:rsidRPr="002E32FD">
              <w:rPr>
                <w:rFonts w:asciiTheme="minorHAnsi" w:eastAsia="Arial" w:hAnsiTheme="minorHAnsi" w:cs="Arial"/>
                <w:b/>
                <w:color w:val="FF0000"/>
                <w:sz w:val="18"/>
                <w:szCs w:val="18"/>
              </w:rPr>
              <w:t>Adiponectina</w:t>
            </w:r>
            <w:proofErr w:type="spellEnd"/>
            <w:r w:rsidRPr="002E32FD">
              <w:rPr>
                <w:rFonts w:asciiTheme="minorHAnsi" w:eastAsia="Arial" w:hAnsiTheme="minorHAnsi" w:cs="Arial"/>
                <w:b/>
                <w:color w:val="FF0000"/>
                <w:sz w:val="18"/>
                <w:szCs w:val="18"/>
              </w:rPr>
              <w:t xml:space="preserve"> - níveis baixos indic</w:t>
            </w:r>
            <w:r w:rsidRPr="002E32FD">
              <w:rPr>
                <w:rFonts w:asciiTheme="minorHAnsi" w:eastAsia="Arial" w:hAnsiTheme="minorHAnsi" w:cs="Arial"/>
                <w:b/>
                <w:color w:val="FF0000"/>
                <w:sz w:val="18"/>
                <w:szCs w:val="18"/>
              </w:rPr>
              <w:t>am baixa sensibilidade à insulina</w:t>
            </w:r>
          </w:p>
        </w:tc>
        <w:tc>
          <w:tcPr>
            <w:tcW w:w="1005" w:type="dxa"/>
          </w:tcPr>
          <w:p w14:paraId="048CFF28" w14:textId="77777777" w:rsidR="001E49B1" w:rsidRPr="002E32FD" w:rsidRDefault="001E49B1">
            <w:pPr>
              <w:pStyle w:val="normal0"/>
              <w:pBdr>
                <w:top w:val="nil"/>
                <w:left w:val="nil"/>
                <w:bottom w:val="nil"/>
                <w:right w:val="nil"/>
                <w:between w:val="nil"/>
              </w:pBdr>
              <w:spacing w:after="160" w:line="259" w:lineRule="auto"/>
              <w:ind w:hanging="720"/>
              <w:jc w:val="both"/>
              <w:rPr>
                <w:rFonts w:asciiTheme="minorHAnsi" w:eastAsia="Arial" w:hAnsiTheme="minorHAnsi" w:cs="Arial"/>
                <w:color w:val="000000"/>
                <w:sz w:val="18"/>
                <w:szCs w:val="18"/>
              </w:rPr>
            </w:pPr>
          </w:p>
        </w:tc>
      </w:tr>
      <w:tr w:rsidR="001E49B1" w:rsidRPr="002E32FD" w14:paraId="77BBE2CB" w14:textId="77777777">
        <w:tc>
          <w:tcPr>
            <w:tcW w:w="8565" w:type="dxa"/>
          </w:tcPr>
          <w:p w14:paraId="223E0AC8" w14:textId="77777777" w:rsidR="001E49B1" w:rsidRPr="002E32FD" w:rsidRDefault="002E32FD">
            <w:pPr>
              <w:pStyle w:val="normal0"/>
              <w:pBdr>
                <w:top w:val="nil"/>
                <w:left w:val="nil"/>
                <w:bottom w:val="nil"/>
                <w:right w:val="nil"/>
                <w:between w:val="nil"/>
              </w:pBdr>
              <w:spacing w:after="160" w:line="259" w:lineRule="auto"/>
              <w:ind w:hanging="720"/>
              <w:jc w:val="right"/>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Triglicéride - valores elevados indicam dislipidemia e consumo elevado de carboidratos</w:t>
            </w:r>
          </w:p>
        </w:tc>
        <w:tc>
          <w:tcPr>
            <w:tcW w:w="1005" w:type="dxa"/>
          </w:tcPr>
          <w:p w14:paraId="41305F11" w14:textId="77777777" w:rsidR="001E49B1" w:rsidRPr="002E32FD" w:rsidRDefault="001E49B1">
            <w:pPr>
              <w:pStyle w:val="normal0"/>
              <w:pBdr>
                <w:top w:val="nil"/>
                <w:left w:val="nil"/>
                <w:bottom w:val="nil"/>
                <w:right w:val="nil"/>
                <w:between w:val="nil"/>
              </w:pBdr>
              <w:spacing w:after="160" w:line="259" w:lineRule="auto"/>
              <w:ind w:hanging="720"/>
              <w:jc w:val="both"/>
              <w:rPr>
                <w:rFonts w:asciiTheme="minorHAnsi" w:eastAsia="Arial" w:hAnsiTheme="minorHAnsi" w:cs="Arial"/>
                <w:color w:val="000000"/>
                <w:sz w:val="18"/>
                <w:szCs w:val="18"/>
              </w:rPr>
            </w:pPr>
          </w:p>
        </w:tc>
      </w:tr>
    </w:tbl>
    <w:p w14:paraId="7DF87ADB" w14:textId="77777777" w:rsidR="001E49B1" w:rsidRPr="002E32FD" w:rsidRDefault="001E49B1">
      <w:pPr>
        <w:pStyle w:val="normal0"/>
        <w:pBdr>
          <w:top w:val="nil"/>
          <w:left w:val="nil"/>
          <w:bottom w:val="nil"/>
          <w:right w:val="nil"/>
          <w:between w:val="nil"/>
        </w:pBdr>
        <w:spacing w:after="0" w:line="259" w:lineRule="auto"/>
        <w:ind w:left="720" w:hanging="720"/>
        <w:jc w:val="both"/>
        <w:rPr>
          <w:rFonts w:asciiTheme="minorHAnsi" w:eastAsia="Arial" w:hAnsiTheme="minorHAnsi" w:cs="Arial"/>
          <w:color w:val="000000"/>
          <w:sz w:val="18"/>
          <w:szCs w:val="18"/>
        </w:rPr>
      </w:pPr>
    </w:p>
    <w:p w14:paraId="408E202A" w14:textId="77777777" w:rsidR="001E49B1" w:rsidRPr="002E32FD" w:rsidRDefault="001E49B1">
      <w:pPr>
        <w:pStyle w:val="normal0"/>
        <w:pBdr>
          <w:top w:val="nil"/>
          <w:left w:val="nil"/>
          <w:bottom w:val="nil"/>
          <w:right w:val="nil"/>
          <w:between w:val="nil"/>
        </w:pBdr>
        <w:spacing w:after="0" w:line="259" w:lineRule="auto"/>
        <w:ind w:hanging="720"/>
        <w:jc w:val="both"/>
        <w:rPr>
          <w:rFonts w:asciiTheme="minorHAnsi" w:eastAsia="Arial" w:hAnsiTheme="minorHAnsi" w:cs="Arial"/>
          <w:color w:val="000000"/>
          <w:sz w:val="18"/>
          <w:szCs w:val="18"/>
        </w:rPr>
      </w:pPr>
    </w:p>
    <w:p w14:paraId="2774C7CC" w14:textId="77777777" w:rsidR="001E49B1" w:rsidRPr="002E32FD" w:rsidRDefault="002E32FD">
      <w:pPr>
        <w:pStyle w:val="normal0"/>
        <w:numPr>
          <w:ilvl w:val="0"/>
          <w:numId w:val="1"/>
        </w:numPr>
        <w:pBdr>
          <w:top w:val="nil"/>
          <w:left w:val="nil"/>
          <w:bottom w:val="nil"/>
          <w:right w:val="nil"/>
          <w:between w:val="nil"/>
        </w:pBdr>
        <w:spacing w:after="16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Paciente, sexo feminino, 45 anos procura nutricionista para perda de peso, pois irá se casar em 60 dias. Após anamnese detalhada e análise de exames trazidos pela paciente, a nutricionista descobre que a paciente tem diabetes tipo 2, fazendo uso exclusivo </w:t>
      </w:r>
      <w:r w:rsidRPr="002E32FD">
        <w:rPr>
          <w:rFonts w:asciiTheme="minorHAnsi" w:eastAsia="Arial" w:hAnsiTheme="minorHAnsi" w:cs="Arial"/>
          <w:color w:val="000000"/>
          <w:sz w:val="18"/>
          <w:szCs w:val="18"/>
        </w:rPr>
        <w:t>de hipoglicemiante oral e apresenta DRC em fase dialítica. A glicemia mostrou descontrole glicêmico agudo (glicemia=145 mg/</w:t>
      </w:r>
      <w:proofErr w:type="spellStart"/>
      <w:r w:rsidRPr="002E32FD">
        <w:rPr>
          <w:rFonts w:asciiTheme="minorHAnsi" w:eastAsia="Arial" w:hAnsiTheme="minorHAnsi" w:cs="Arial"/>
          <w:color w:val="000000"/>
          <w:sz w:val="18"/>
          <w:szCs w:val="18"/>
        </w:rPr>
        <w:t>dL</w:t>
      </w:r>
      <w:proofErr w:type="spellEnd"/>
      <w:r w:rsidRPr="002E32FD">
        <w:rPr>
          <w:rFonts w:asciiTheme="minorHAnsi" w:eastAsia="Arial" w:hAnsiTheme="minorHAnsi" w:cs="Arial"/>
          <w:color w:val="000000"/>
          <w:sz w:val="18"/>
          <w:szCs w:val="18"/>
        </w:rPr>
        <w:t>, valor de referência =126 mg/</w:t>
      </w:r>
      <w:proofErr w:type="spellStart"/>
      <w:r w:rsidRPr="002E32FD">
        <w:rPr>
          <w:rFonts w:asciiTheme="minorHAnsi" w:eastAsia="Arial" w:hAnsiTheme="minorHAnsi" w:cs="Arial"/>
          <w:color w:val="000000"/>
          <w:sz w:val="18"/>
          <w:szCs w:val="18"/>
        </w:rPr>
        <w:t>dL</w:t>
      </w:r>
      <w:proofErr w:type="spellEnd"/>
      <w:r w:rsidRPr="002E32FD">
        <w:rPr>
          <w:rFonts w:asciiTheme="minorHAnsi" w:eastAsia="Arial" w:hAnsiTheme="minorHAnsi" w:cs="Arial"/>
          <w:color w:val="000000"/>
          <w:sz w:val="18"/>
          <w:szCs w:val="18"/>
        </w:rPr>
        <w:t xml:space="preserve">) e crônico (hemoglobina </w:t>
      </w:r>
      <w:proofErr w:type="spellStart"/>
      <w:r w:rsidRPr="002E32FD">
        <w:rPr>
          <w:rFonts w:asciiTheme="minorHAnsi" w:eastAsia="Arial" w:hAnsiTheme="minorHAnsi" w:cs="Arial"/>
          <w:color w:val="000000"/>
          <w:sz w:val="18"/>
          <w:szCs w:val="18"/>
        </w:rPr>
        <w:t>glicada</w:t>
      </w:r>
      <w:proofErr w:type="spellEnd"/>
      <w:r w:rsidRPr="002E32FD">
        <w:rPr>
          <w:rFonts w:asciiTheme="minorHAnsi" w:eastAsia="Arial" w:hAnsiTheme="minorHAnsi" w:cs="Arial"/>
          <w:color w:val="000000"/>
          <w:sz w:val="18"/>
          <w:szCs w:val="18"/>
        </w:rPr>
        <w:t>=8,3%, valor de referência para DM &lt; 7%) e a taxa de filtração glom</w:t>
      </w:r>
      <w:r w:rsidRPr="002E32FD">
        <w:rPr>
          <w:rFonts w:asciiTheme="minorHAnsi" w:eastAsia="Arial" w:hAnsiTheme="minorHAnsi" w:cs="Arial"/>
          <w:color w:val="000000"/>
          <w:sz w:val="18"/>
          <w:szCs w:val="18"/>
        </w:rPr>
        <w:t>erular era de 35 ml/min/1,73m</w:t>
      </w:r>
      <w:r w:rsidRPr="002E32FD">
        <w:rPr>
          <w:rFonts w:asciiTheme="minorHAnsi" w:eastAsia="Arial" w:hAnsiTheme="minorHAnsi" w:cs="Arial"/>
          <w:color w:val="000000"/>
          <w:sz w:val="18"/>
          <w:szCs w:val="18"/>
          <w:vertAlign w:val="superscript"/>
        </w:rPr>
        <w:t>2</w:t>
      </w:r>
      <w:r w:rsidRPr="002E32FD">
        <w:rPr>
          <w:rFonts w:asciiTheme="minorHAnsi" w:eastAsia="Arial" w:hAnsiTheme="minorHAnsi" w:cs="Arial"/>
          <w:color w:val="000000"/>
          <w:sz w:val="18"/>
          <w:szCs w:val="18"/>
        </w:rPr>
        <w:t>, valor de referência &gt;90 ml/min/1,73m</w:t>
      </w:r>
      <w:r w:rsidRPr="002E32FD">
        <w:rPr>
          <w:rFonts w:asciiTheme="minorHAnsi" w:eastAsia="Arial" w:hAnsiTheme="minorHAnsi" w:cs="Arial"/>
          <w:color w:val="000000"/>
          <w:sz w:val="18"/>
          <w:szCs w:val="18"/>
          <w:vertAlign w:val="superscript"/>
        </w:rPr>
        <w:t>2</w:t>
      </w:r>
      <w:r w:rsidRPr="002E32FD">
        <w:rPr>
          <w:rFonts w:asciiTheme="minorHAnsi" w:eastAsia="Arial" w:hAnsiTheme="minorHAnsi" w:cs="Arial"/>
          <w:color w:val="000000"/>
          <w:sz w:val="18"/>
          <w:szCs w:val="18"/>
        </w:rPr>
        <w:t xml:space="preserve"> e sem </w:t>
      </w:r>
      <w:proofErr w:type="spellStart"/>
      <w:r w:rsidRPr="002E32FD">
        <w:rPr>
          <w:rFonts w:asciiTheme="minorHAnsi" w:eastAsia="Arial" w:hAnsiTheme="minorHAnsi" w:cs="Arial"/>
          <w:color w:val="000000"/>
          <w:sz w:val="18"/>
          <w:szCs w:val="18"/>
        </w:rPr>
        <w:t>proteinúria</w:t>
      </w:r>
      <w:proofErr w:type="spellEnd"/>
      <w:r w:rsidRPr="002E32FD">
        <w:rPr>
          <w:rFonts w:asciiTheme="minorHAnsi" w:eastAsia="Arial" w:hAnsiTheme="minorHAnsi" w:cs="Arial"/>
          <w:color w:val="000000"/>
          <w:sz w:val="18"/>
          <w:szCs w:val="18"/>
        </w:rPr>
        <w:t>). Como base no caso, descreva e justifique as orientações nutricionais que você daria à paciente sobre com a nutrição poderia contribuir para estabilizar o DM (&gt; 2 orie</w:t>
      </w:r>
      <w:r w:rsidRPr="002E32FD">
        <w:rPr>
          <w:rFonts w:asciiTheme="minorHAnsi" w:eastAsia="Arial" w:hAnsiTheme="minorHAnsi" w:cs="Arial"/>
          <w:color w:val="000000"/>
          <w:sz w:val="18"/>
          <w:szCs w:val="18"/>
        </w:rPr>
        <w:t>ntações) e DRC (&gt; 2 orientações) (</w:t>
      </w:r>
      <w:r w:rsidRPr="002E32FD">
        <w:rPr>
          <w:rFonts w:asciiTheme="minorHAnsi" w:eastAsia="Arial" w:hAnsiTheme="minorHAnsi" w:cs="Arial"/>
          <w:b/>
          <w:color w:val="000000"/>
          <w:sz w:val="18"/>
          <w:szCs w:val="18"/>
        </w:rPr>
        <w:t>2,0 PONTOS</w:t>
      </w:r>
      <w:r w:rsidRPr="002E32FD">
        <w:rPr>
          <w:rFonts w:asciiTheme="minorHAnsi" w:eastAsia="Arial" w:hAnsiTheme="minorHAnsi" w:cs="Arial"/>
          <w:color w:val="000000"/>
          <w:sz w:val="18"/>
          <w:szCs w:val="18"/>
        </w:rPr>
        <w:t xml:space="preserve">).  </w:t>
      </w:r>
    </w:p>
    <w:p w14:paraId="46219D19" w14:textId="77777777" w:rsidR="001E49B1" w:rsidRPr="002E32FD" w:rsidRDefault="002E32FD">
      <w:pPr>
        <w:pStyle w:val="normal0"/>
        <w:pBdr>
          <w:top w:val="nil"/>
          <w:left w:val="nil"/>
          <w:bottom w:val="nil"/>
          <w:right w:val="nil"/>
          <w:between w:val="nil"/>
        </w:pBdr>
        <w:ind w:left="720" w:hanging="72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DM:</w:t>
      </w:r>
    </w:p>
    <w:p w14:paraId="1294A692" w14:textId="77777777" w:rsidR="001E49B1" w:rsidRPr="002E32FD" w:rsidRDefault="002E32FD">
      <w:pPr>
        <w:pStyle w:val="normal0"/>
        <w:numPr>
          <w:ilvl w:val="0"/>
          <w:numId w:val="6"/>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Reduzir o consumo de açúcar, pois esse é formado por 2 </w:t>
      </w:r>
      <w:proofErr w:type="spellStart"/>
      <w:r w:rsidRPr="002E32FD">
        <w:rPr>
          <w:rFonts w:asciiTheme="minorHAnsi" w:eastAsia="Arial" w:hAnsiTheme="minorHAnsi" w:cs="Arial"/>
          <w:b/>
          <w:color w:val="FF0000"/>
          <w:sz w:val="18"/>
          <w:szCs w:val="18"/>
        </w:rPr>
        <w:t>monosacarídeosde</w:t>
      </w:r>
      <w:proofErr w:type="spellEnd"/>
      <w:r w:rsidRPr="002E32FD">
        <w:rPr>
          <w:rFonts w:asciiTheme="minorHAnsi" w:eastAsia="Arial" w:hAnsiTheme="minorHAnsi" w:cs="Arial"/>
          <w:b/>
          <w:color w:val="FF0000"/>
          <w:sz w:val="18"/>
          <w:szCs w:val="18"/>
        </w:rPr>
        <w:t xml:space="preserve"> rápida absorção (frutose e glicose) contribuindo para o rápido aumento da glicemia</w:t>
      </w:r>
    </w:p>
    <w:p w14:paraId="6BC6E463" w14:textId="77777777" w:rsidR="001E49B1" w:rsidRPr="002E32FD" w:rsidRDefault="002E32FD">
      <w:pPr>
        <w:pStyle w:val="normal0"/>
        <w:numPr>
          <w:ilvl w:val="0"/>
          <w:numId w:val="6"/>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Reduzir o consumo de carboidratos complexos refi</w:t>
      </w:r>
      <w:r w:rsidRPr="002E32FD">
        <w:rPr>
          <w:rFonts w:asciiTheme="minorHAnsi" w:eastAsia="Arial" w:hAnsiTheme="minorHAnsi" w:cs="Arial"/>
          <w:b/>
          <w:color w:val="FF0000"/>
          <w:sz w:val="18"/>
          <w:szCs w:val="18"/>
        </w:rPr>
        <w:t xml:space="preserve">nados (farináceos), pois apesar de serem formados por várias unidades de glicose, o amido e a </w:t>
      </w:r>
      <w:proofErr w:type="spellStart"/>
      <w:r w:rsidRPr="002E32FD">
        <w:rPr>
          <w:rFonts w:asciiTheme="minorHAnsi" w:eastAsia="Arial" w:hAnsiTheme="minorHAnsi" w:cs="Arial"/>
          <w:b/>
          <w:color w:val="FF0000"/>
          <w:sz w:val="18"/>
          <w:szCs w:val="18"/>
        </w:rPr>
        <w:t>amilopectina</w:t>
      </w:r>
      <w:proofErr w:type="spellEnd"/>
      <w:r w:rsidRPr="002E32FD">
        <w:rPr>
          <w:rFonts w:asciiTheme="minorHAnsi" w:eastAsia="Arial" w:hAnsiTheme="minorHAnsi" w:cs="Arial"/>
          <w:b/>
          <w:color w:val="FF0000"/>
          <w:sz w:val="18"/>
          <w:szCs w:val="18"/>
        </w:rPr>
        <w:t xml:space="preserve"> presentes são rapidamente absorvidos, levando ao aumento da glicemia</w:t>
      </w:r>
    </w:p>
    <w:p w14:paraId="48349064" w14:textId="77777777" w:rsidR="001E49B1" w:rsidRPr="002E32FD" w:rsidRDefault="002E32FD">
      <w:pPr>
        <w:pStyle w:val="normal0"/>
        <w:numPr>
          <w:ilvl w:val="0"/>
          <w:numId w:val="6"/>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estimularia o consumo de FLV (frutas, legumes e verduras). pois são fontes ricas de fibras solúveis e insolúveis</w:t>
      </w:r>
    </w:p>
    <w:p w14:paraId="239431DC" w14:textId="77777777" w:rsidR="001E49B1" w:rsidRPr="002E32FD" w:rsidRDefault="002E32FD">
      <w:pPr>
        <w:pStyle w:val="normal0"/>
        <w:numPr>
          <w:ilvl w:val="0"/>
          <w:numId w:val="6"/>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estimularia o consumo de alimentos com baixa carga e </w:t>
      </w:r>
      <w:proofErr w:type="spellStart"/>
      <w:r w:rsidRPr="002E32FD">
        <w:rPr>
          <w:rFonts w:asciiTheme="minorHAnsi" w:eastAsia="Arial" w:hAnsiTheme="minorHAnsi" w:cs="Arial"/>
          <w:b/>
          <w:color w:val="FF0000"/>
          <w:sz w:val="18"/>
          <w:szCs w:val="18"/>
        </w:rPr>
        <w:t>indice</w:t>
      </w:r>
      <w:proofErr w:type="spellEnd"/>
      <w:r w:rsidRPr="002E32FD">
        <w:rPr>
          <w:rFonts w:asciiTheme="minorHAnsi" w:eastAsia="Arial" w:hAnsiTheme="minorHAnsi" w:cs="Arial"/>
          <w:b/>
          <w:color w:val="FF0000"/>
          <w:sz w:val="18"/>
          <w:szCs w:val="18"/>
        </w:rPr>
        <w:t xml:space="preserve"> glicêmicos, pois devido a </w:t>
      </w:r>
      <w:proofErr w:type="spellStart"/>
      <w:r w:rsidRPr="002E32FD">
        <w:rPr>
          <w:rFonts w:asciiTheme="minorHAnsi" w:eastAsia="Arial" w:hAnsiTheme="minorHAnsi" w:cs="Arial"/>
          <w:b/>
          <w:color w:val="FF0000"/>
          <w:sz w:val="18"/>
          <w:szCs w:val="18"/>
        </w:rPr>
        <w:t>matrix</w:t>
      </w:r>
      <w:proofErr w:type="spellEnd"/>
      <w:r w:rsidRPr="002E32FD">
        <w:rPr>
          <w:rFonts w:asciiTheme="minorHAnsi" w:eastAsia="Arial" w:hAnsiTheme="minorHAnsi" w:cs="Arial"/>
          <w:b/>
          <w:color w:val="FF0000"/>
          <w:sz w:val="18"/>
          <w:szCs w:val="18"/>
        </w:rPr>
        <w:t xml:space="preserve"> ser mais complexa, o processo de digestão é mais l</w:t>
      </w:r>
      <w:r w:rsidRPr="002E32FD">
        <w:rPr>
          <w:rFonts w:asciiTheme="minorHAnsi" w:eastAsia="Arial" w:hAnsiTheme="minorHAnsi" w:cs="Arial"/>
          <w:b/>
          <w:color w:val="FF0000"/>
          <w:sz w:val="18"/>
          <w:szCs w:val="18"/>
        </w:rPr>
        <w:t xml:space="preserve">ento, contribuindo para uma liberação mais gradual de glicose na corrente </w:t>
      </w:r>
      <w:proofErr w:type="spellStart"/>
      <w:r w:rsidRPr="002E32FD">
        <w:rPr>
          <w:rFonts w:asciiTheme="minorHAnsi" w:eastAsia="Arial" w:hAnsiTheme="minorHAnsi" w:cs="Arial"/>
          <w:b/>
          <w:color w:val="FF0000"/>
          <w:sz w:val="18"/>
          <w:szCs w:val="18"/>
        </w:rPr>
        <w:t>sanguinea</w:t>
      </w:r>
      <w:proofErr w:type="spellEnd"/>
    </w:p>
    <w:p w14:paraId="07497D1F" w14:textId="77777777" w:rsidR="001E49B1" w:rsidRPr="002E32FD" w:rsidRDefault="002E32FD">
      <w:pPr>
        <w:pStyle w:val="normal0"/>
        <w:numPr>
          <w:ilvl w:val="0"/>
          <w:numId w:val="6"/>
        </w:numPr>
        <w:pBdr>
          <w:top w:val="nil"/>
          <w:left w:val="nil"/>
          <w:bottom w:val="nil"/>
          <w:right w:val="nil"/>
          <w:between w:val="nil"/>
        </w:pBdr>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recomendaria a redução e se </w:t>
      </w:r>
      <w:proofErr w:type="spellStart"/>
      <w:r w:rsidRPr="002E32FD">
        <w:rPr>
          <w:rFonts w:asciiTheme="minorHAnsi" w:eastAsia="Arial" w:hAnsiTheme="minorHAnsi" w:cs="Arial"/>
          <w:b/>
          <w:color w:val="FF0000"/>
          <w:sz w:val="18"/>
          <w:szCs w:val="18"/>
        </w:rPr>
        <w:t>possivel</w:t>
      </w:r>
      <w:proofErr w:type="spellEnd"/>
      <w:r w:rsidRPr="002E32FD">
        <w:rPr>
          <w:rFonts w:asciiTheme="minorHAnsi" w:eastAsia="Arial" w:hAnsiTheme="minorHAnsi" w:cs="Arial"/>
          <w:b/>
          <w:color w:val="FF0000"/>
          <w:sz w:val="18"/>
          <w:szCs w:val="18"/>
        </w:rPr>
        <w:t xml:space="preserve"> a exclusão de alimentos industrializados ricos em frutose</w:t>
      </w:r>
    </w:p>
    <w:p w14:paraId="2951CA95" w14:textId="77777777" w:rsidR="001E49B1" w:rsidRPr="002E32FD" w:rsidRDefault="002E32FD">
      <w:pPr>
        <w:pStyle w:val="normal0"/>
        <w:pBdr>
          <w:top w:val="nil"/>
          <w:left w:val="nil"/>
          <w:bottom w:val="nil"/>
          <w:right w:val="nil"/>
          <w:between w:val="nil"/>
        </w:pBdr>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DRC:</w:t>
      </w:r>
    </w:p>
    <w:p w14:paraId="41D57212" w14:textId="77777777" w:rsidR="001E49B1" w:rsidRPr="002E32FD" w:rsidRDefault="002E32FD">
      <w:pPr>
        <w:pStyle w:val="normal0"/>
        <w:numPr>
          <w:ilvl w:val="0"/>
          <w:numId w:val="5"/>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monitoraria o consumo proteico de modo a garantir quantidade e qualidade, pois na fase </w:t>
      </w:r>
      <w:proofErr w:type="spellStart"/>
      <w:r w:rsidRPr="002E32FD">
        <w:rPr>
          <w:rFonts w:asciiTheme="minorHAnsi" w:eastAsia="Arial" w:hAnsiTheme="minorHAnsi" w:cs="Arial"/>
          <w:b/>
          <w:color w:val="FF0000"/>
          <w:sz w:val="18"/>
          <w:szCs w:val="18"/>
        </w:rPr>
        <w:t>dialitica</w:t>
      </w:r>
      <w:proofErr w:type="spellEnd"/>
      <w:r w:rsidRPr="002E32FD">
        <w:rPr>
          <w:rFonts w:asciiTheme="minorHAnsi" w:eastAsia="Arial" w:hAnsiTheme="minorHAnsi" w:cs="Arial"/>
          <w:b/>
          <w:color w:val="FF0000"/>
          <w:sz w:val="18"/>
          <w:szCs w:val="18"/>
        </w:rPr>
        <w:t xml:space="preserve"> a quantidade pode ser a mesma recomendada a pessoas saudáveis (0,8 g/kg/dia) para evitar desnutrição, mas do ponto de vista qualitativo, as fontes proteicas co</w:t>
      </w:r>
      <w:r w:rsidRPr="002E32FD">
        <w:rPr>
          <w:rFonts w:asciiTheme="minorHAnsi" w:eastAsia="Arial" w:hAnsiTheme="minorHAnsi" w:cs="Arial"/>
          <w:b/>
          <w:color w:val="FF0000"/>
          <w:sz w:val="18"/>
          <w:szCs w:val="18"/>
        </w:rPr>
        <w:t>m aminoácidos menos ácidos - fontes vegetais devem ser estimuladas</w:t>
      </w:r>
    </w:p>
    <w:p w14:paraId="3486025E" w14:textId="77777777" w:rsidR="001E49B1" w:rsidRPr="002E32FD" w:rsidRDefault="002E32FD">
      <w:pPr>
        <w:pStyle w:val="normal0"/>
        <w:numPr>
          <w:ilvl w:val="0"/>
          <w:numId w:val="5"/>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manteria o controle de sal e sódio, recomendando o não uso de saleiro, leitura criteriosa dos rótulos e redução no consumo de alimentos industrializados</w:t>
      </w:r>
    </w:p>
    <w:p w14:paraId="1415A439" w14:textId="77777777" w:rsidR="001E49B1" w:rsidRPr="002E32FD" w:rsidRDefault="002E32FD">
      <w:pPr>
        <w:pStyle w:val="normal0"/>
        <w:numPr>
          <w:ilvl w:val="0"/>
          <w:numId w:val="5"/>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de acordo com as preferências do pac</w:t>
      </w:r>
      <w:r w:rsidRPr="002E32FD">
        <w:rPr>
          <w:rFonts w:asciiTheme="minorHAnsi" w:eastAsia="Arial" w:hAnsiTheme="minorHAnsi" w:cs="Arial"/>
          <w:b/>
          <w:color w:val="FF0000"/>
          <w:sz w:val="18"/>
          <w:szCs w:val="18"/>
        </w:rPr>
        <w:t xml:space="preserve">ientes montar um plano alimentar onde a oferta de alimentos mantive razões fósforo/potássio menores pois assim </w:t>
      </w:r>
      <w:proofErr w:type="spellStart"/>
      <w:r w:rsidRPr="002E32FD">
        <w:rPr>
          <w:rFonts w:asciiTheme="minorHAnsi" w:eastAsia="Arial" w:hAnsiTheme="minorHAnsi" w:cs="Arial"/>
          <w:b/>
          <w:color w:val="FF0000"/>
          <w:sz w:val="18"/>
          <w:szCs w:val="18"/>
        </w:rPr>
        <w:t>evitariamos</w:t>
      </w:r>
      <w:proofErr w:type="spellEnd"/>
      <w:r w:rsidRPr="002E32FD">
        <w:rPr>
          <w:rFonts w:asciiTheme="minorHAnsi" w:eastAsia="Arial" w:hAnsiTheme="minorHAnsi" w:cs="Arial"/>
          <w:b/>
          <w:color w:val="FF0000"/>
          <w:sz w:val="18"/>
          <w:szCs w:val="18"/>
        </w:rPr>
        <w:t xml:space="preserve"> o agravamento da função renal</w:t>
      </w:r>
    </w:p>
    <w:p w14:paraId="1D49CA8B" w14:textId="77777777" w:rsidR="001E49B1" w:rsidRPr="002E32FD" w:rsidRDefault="002E32FD">
      <w:pPr>
        <w:pStyle w:val="normal0"/>
        <w:numPr>
          <w:ilvl w:val="0"/>
          <w:numId w:val="5"/>
        </w:numPr>
        <w:pBdr>
          <w:top w:val="nil"/>
          <w:left w:val="nil"/>
          <w:bottom w:val="nil"/>
          <w:right w:val="nil"/>
          <w:between w:val="nil"/>
        </w:pBdr>
        <w:spacing w:after="0"/>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realizaria controle hídrico somente se o paciente não fizer diálises frequentes (2-3x/semana) ou aprese</w:t>
      </w:r>
      <w:r w:rsidRPr="002E32FD">
        <w:rPr>
          <w:rFonts w:asciiTheme="minorHAnsi" w:eastAsia="Arial" w:hAnsiTheme="minorHAnsi" w:cs="Arial"/>
          <w:b/>
          <w:color w:val="FF0000"/>
          <w:sz w:val="18"/>
          <w:szCs w:val="18"/>
        </w:rPr>
        <w:t>nte edema ou recomendação médica</w:t>
      </w:r>
    </w:p>
    <w:p w14:paraId="32EBF3F0" w14:textId="77777777" w:rsidR="001E49B1" w:rsidRPr="002E32FD" w:rsidRDefault="002E32FD">
      <w:pPr>
        <w:pStyle w:val="normal0"/>
        <w:numPr>
          <w:ilvl w:val="0"/>
          <w:numId w:val="5"/>
        </w:numPr>
        <w:pBdr>
          <w:top w:val="nil"/>
          <w:left w:val="nil"/>
          <w:bottom w:val="nil"/>
          <w:right w:val="nil"/>
          <w:between w:val="nil"/>
        </w:pBdr>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 xml:space="preserve">   </w:t>
      </w:r>
    </w:p>
    <w:p w14:paraId="20FA15EE" w14:textId="77777777" w:rsidR="001E49B1" w:rsidRPr="002E32FD" w:rsidRDefault="001E49B1">
      <w:pPr>
        <w:pStyle w:val="normal0"/>
        <w:pBdr>
          <w:top w:val="nil"/>
          <w:left w:val="nil"/>
          <w:bottom w:val="nil"/>
          <w:right w:val="nil"/>
          <w:between w:val="nil"/>
        </w:pBdr>
        <w:ind w:left="720" w:hanging="720"/>
        <w:rPr>
          <w:rFonts w:asciiTheme="minorHAnsi" w:eastAsia="Arial" w:hAnsiTheme="minorHAnsi" w:cs="Arial"/>
          <w:sz w:val="18"/>
          <w:szCs w:val="18"/>
        </w:rPr>
      </w:pPr>
    </w:p>
    <w:p w14:paraId="352819D6" w14:textId="77777777" w:rsidR="001E49B1" w:rsidRPr="002E32FD" w:rsidRDefault="002E32FD">
      <w:pPr>
        <w:pStyle w:val="normal0"/>
        <w:numPr>
          <w:ilvl w:val="0"/>
          <w:numId w:val="1"/>
        </w:numPr>
        <w:pBdr>
          <w:top w:val="nil"/>
          <w:left w:val="nil"/>
          <w:bottom w:val="nil"/>
          <w:right w:val="nil"/>
          <w:between w:val="nil"/>
        </w:pBdr>
        <w:spacing w:after="160" w:line="259" w:lineRule="auto"/>
        <w:jc w:val="both"/>
        <w:rPr>
          <w:rFonts w:asciiTheme="minorHAnsi" w:eastAsia="Arial" w:hAnsiTheme="minorHAnsi" w:cs="Arial"/>
          <w:color w:val="000000"/>
          <w:sz w:val="18"/>
          <w:szCs w:val="18"/>
        </w:rPr>
      </w:pPr>
      <w:r w:rsidRPr="002E32FD">
        <w:rPr>
          <w:rFonts w:asciiTheme="minorHAnsi" w:eastAsia="Arial" w:hAnsiTheme="minorHAnsi" w:cs="Arial"/>
          <w:color w:val="000000"/>
          <w:sz w:val="18"/>
          <w:szCs w:val="18"/>
        </w:rPr>
        <w:t xml:space="preserve"> Paciente </w:t>
      </w:r>
      <w:proofErr w:type="spellStart"/>
      <w:r w:rsidRPr="002E32FD">
        <w:rPr>
          <w:rFonts w:asciiTheme="minorHAnsi" w:eastAsia="Arial" w:hAnsiTheme="minorHAnsi" w:cs="Arial"/>
          <w:color w:val="000000"/>
          <w:sz w:val="18"/>
          <w:szCs w:val="18"/>
        </w:rPr>
        <w:t>ovolactovegetariana</w:t>
      </w:r>
      <w:proofErr w:type="spellEnd"/>
      <w:r w:rsidRPr="002E32FD">
        <w:rPr>
          <w:rFonts w:asciiTheme="minorHAnsi" w:eastAsia="Arial" w:hAnsiTheme="minorHAnsi" w:cs="Arial"/>
          <w:color w:val="000000"/>
          <w:sz w:val="18"/>
          <w:szCs w:val="18"/>
        </w:rPr>
        <w:t xml:space="preserve"> descobre alergia ao leite de vaca. Como alternativa artesanal, a paciente passa a preparar “leite de arroz” em casa. Como você orientaria essa paciente quanto a um plano alimentar pautado no diagnóstico clínico e na adoção de </w:t>
      </w:r>
      <w:r w:rsidRPr="002E32FD">
        <w:rPr>
          <w:rFonts w:asciiTheme="minorHAnsi" w:eastAsia="Arial" w:hAnsiTheme="minorHAnsi" w:cs="Arial"/>
          <w:color w:val="000000"/>
          <w:sz w:val="18"/>
          <w:szCs w:val="18"/>
        </w:rPr>
        <w:t xml:space="preserve">uma dieta saudável e </w:t>
      </w:r>
      <w:proofErr w:type="spellStart"/>
      <w:r w:rsidRPr="002E32FD">
        <w:rPr>
          <w:rFonts w:asciiTheme="minorHAnsi" w:eastAsia="Arial" w:hAnsiTheme="minorHAnsi" w:cs="Arial"/>
          <w:color w:val="000000"/>
          <w:sz w:val="18"/>
          <w:szCs w:val="18"/>
        </w:rPr>
        <w:t>nutricionalmente</w:t>
      </w:r>
      <w:proofErr w:type="spellEnd"/>
      <w:r w:rsidRPr="002E32FD">
        <w:rPr>
          <w:rFonts w:asciiTheme="minorHAnsi" w:eastAsia="Arial" w:hAnsiTheme="minorHAnsi" w:cs="Arial"/>
          <w:color w:val="000000"/>
          <w:sz w:val="18"/>
          <w:szCs w:val="18"/>
        </w:rPr>
        <w:t xml:space="preserve"> adequada? Cite e justifique pelo menos 3 estratégias adotadas (</w:t>
      </w:r>
      <w:r w:rsidRPr="002E32FD">
        <w:rPr>
          <w:rFonts w:asciiTheme="minorHAnsi" w:eastAsia="Arial" w:hAnsiTheme="minorHAnsi" w:cs="Arial"/>
          <w:b/>
          <w:color w:val="000000"/>
          <w:sz w:val="18"/>
          <w:szCs w:val="18"/>
        </w:rPr>
        <w:t>1,0 PONTO</w:t>
      </w:r>
      <w:r w:rsidRPr="002E32FD">
        <w:rPr>
          <w:rFonts w:asciiTheme="minorHAnsi" w:eastAsia="Arial" w:hAnsiTheme="minorHAnsi" w:cs="Arial"/>
          <w:color w:val="000000"/>
          <w:sz w:val="18"/>
          <w:szCs w:val="18"/>
        </w:rPr>
        <w:t>).</w:t>
      </w:r>
    </w:p>
    <w:p w14:paraId="5E74006E"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sz w:val="18"/>
          <w:szCs w:val="18"/>
        </w:rPr>
        <w:lastRenderedPageBreak/>
        <w:t>-</w:t>
      </w:r>
      <w:r w:rsidRPr="002E32FD">
        <w:rPr>
          <w:rFonts w:asciiTheme="minorHAnsi" w:eastAsia="Times New Roman" w:hAnsiTheme="minorHAnsi" w:cs="Times New Roman"/>
          <w:sz w:val="18"/>
          <w:szCs w:val="18"/>
        </w:rPr>
        <w:t xml:space="preserve">       </w:t>
      </w:r>
      <w:r w:rsidRPr="002E32FD">
        <w:rPr>
          <w:rFonts w:asciiTheme="minorHAnsi" w:eastAsia="Arial" w:hAnsiTheme="minorHAnsi" w:cs="Arial"/>
          <w:b/>
          <w:color w:val="FF0000"/>
          <w:sz w:val="18"/>
          <w:szCs w:val="18"/>
        </w:rPr>
        <w:t>exclusão do leite de vaca e derivados lácteos</w:t>
      </w:r>
    </w:p>
    <w:p w14:paraId="23416610"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b/>
          <w:color w:val="FF0000"/>
          <w:sz w:val="18"/>
          <w:szCs w:val="18"/>
        </w:rPr>
        <w:t xml:space="preserve">       </w:t>
      </w:r>
      <w:r w:rsidRPr="002E32FD">
        <w:rPr>
          <w:rFonts w:asciiTheme="minorHAnsi" w:eastAsia="Arial" w:hAnsiTheme="minorHAnsi" w:cs="Arial"/>
          <w:b/>
          <w:color w:val="FF0000"/>
          <w:sz w:val="18"/>
          <w:szCs w:val="18"/>
        </w:rPr>
        <w:t xml:space="preserve">inclusão de fórmulas lácteas </w:t>
      </w:r>
      <w:proofErr w:type="spellStart"/>
      <w:r w:rsidRPr="002E32FD">
        <w:rPr>
          <w:rFonts w:asciiTheme="minorHAnsi" w:eastAsia="Arial" w:hAnsiTheme="minorHAnsi" w:cs="Arial"/>
          <w:b/>
          <w:color w:val="FF0000"/>
          <w:sz w:val="18"/>
          <w:szCs w:val="18"/>
        </w:rPr>
        <w:t>hipoalergênicas</w:t>
      </w:r>
      <w:proofErr w:type="spellEnd"/>
    </w:p>
    <w:p w14:paraId="1EF52F15"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b/>
          <w:color w:val="FF0000"/>
          <w:sz w:val="18"/>
          <w:szCs w:val="18"/>
        </w:rPr>
        <w:t xml:space="preserve">       </w:t>
      </w:r>
      <w:r w:rsidRPr="002E32FD">
        <w:rPr>
          <w:rFonts w:asciiTheme="minorHAnsi" w:eastAsia="Arial" w:hAnsiTheme="minorHAnsi" w:cs="Arial"/>
          <w:b/>
          <w:color w:val="FF0000"/>
          <w:sz w:val="18"/>
          <w:szCs w:val="18"/>
        </w:rPr>
        <w:t xml:space="preserve">inclusão de bebidas proteicas vegetais </w:t>
      </w:r>
      <w:proofErr w:type="spellStart"/>
      <w:r w:rsidRPr="002E32FD">
        <w:rPr>
          <w:rFonts w:asciiTheme="minorHAnsi" w:eastAsia="Arial" w:hAnsiTheme="minorHAnsi" w:cs="Arial"/>
          <w:b/>
          <w:color w:val="FF0000"/>
          <w:sz w:val="18"/>
          <w:szCs w:val="18"/>
        </w:rPr>
        <w:t>nutricionalmente</w:t>
      </w:r>
      <w:proofErr w:type="spellEnd"/>
      <w:r w:rsidRPr="002E32FD">
        <w:rPr>
          <w:rFonts w:asciiTheme="minorHAnsi" w:eastAsia="Arial" w:hAnsiTheme="minorHAnsi" w:cs="Arial"/>
          <w:b/>
          <w:color w:val="FF0000"/>
          <w:sz w:val="18"/>
          <w:szCs w:val="18"/>
        </w:rPr>
        <w:t xml:space="preserve"> balanceadas</w:t>
      </w:r>
    </w:p>
    <w:p w14:paraId="3F1C061B"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b/>
          <w:color w:val="FF0000"/>
          <w:sz w:val="18"/>
          <w:szCs w:val="18"/>
        </w:rPr>
        <w:t xml:space="preserve">       </w:t>
      </w:r>
      <w:r w:rsidRPr="002E32FD">
        <w:rPr>
          <w:rFonts w:asciiTheme="minorHAnsi" w:eastAsia="Arial" w:hAnsiTheme="minorHAnsi" w:cs="Arial"/>
          <w:b/>
          <w:color w:val="FF0000"/>
          <w:sz w:val="18"/>
          <w:szCs w:val="18"/>
        </w:rPr>
        <w:t>monitorar em parceria com o médico as análises de imunoglobulinas totais e específicas para avaliar o possível desenvolvimento da resposta imune protetora</w:t>
      </w:r>
    </w:p>
    <w:p w14:paraId="31230C9B" w14:textId="77777777" w:rsidR="001E49B1" w:rsidRPr="002E32FD" w:rsidRDefault="002E32FD">
      <w:pPr>
        <w:pStyle w:val="normal0"/>
        <w:spacing w:before="240" w:after="240" w:line="259" w:lineRule="auto"/>
        <w:ind w:left="360"/>
        <w:jc w:val="both"/>
        <w:rPr>
          <w:rFonts w:asciiTheme="minorHAnsi" w:eastAsia="Arial" w:hAnsiTheme="minorHAnsi" w:cs="Arial"/>
          <w:b/>
          <w:color w:val="FF0000"/>
          <w:sz w:val="18"/>
          <w:szCs w:val="18"/>
        </w:rPr>
      </w:pPr>
      <w:r w:rsidRPr="002E32FD">
        <w:rPr>
          <w:rFonts w:asciiTheme="minorHAnsi" w:eastAsia="Arial" w:hAnsiTheme="minorHAnsi" w:cs="Arial"/>
          <w:b/>
          <w:color w:val="FF0000"/>
          <w:sz w:val="18"/>
          <w:szCs w:val="18"/>
        </w:rPr>
        <w:t>-</w:t>
      </w:r>
      <w:r w:rsidRPr="002E32FD">
        <w:rPr>
          <w:rFonts w:asciiTheme="minorHAnsi" w:eastAsia="Times New Roman" w:hAnsiTheme="minorHAnsi" w:cs="Times New Roman"/>
          <w:b/>
          <w:color w:val="FF0000"/>
          <w:sz w:val="18"/>
          <w:szCs w:val="18"/>
        </w:rPr>
        <w:t xml:space="preserve">       </w:t>
      </w:r>
      <w:r w:rsidRPr="002E32FD">
        <w:rPr>
          <w:rFonts w:asciiTheme="minorHAnsi" w:eastAsia="Arial" w:hAnsiTheme="minorHAnsi" w:cs="Arial"/>
          <w:b/>
          <w:color w:val="FF0000"/>
          <w:sz w:val="18"/>
          <w:szCs w:val="18"/>
        </w:rPr>
        <w:t>avaliar juntament</w:t>
      </w:r>
      <w:r w:rsidRPr="002E32FD">
        <w:rPr>
          <w:rFonts w:asciiTheme="minorHAnsi" w:eastAsia="Arial" w:hAnsiTheme="minorHAnsi" w:cs="Arial"/>
          <w:b/>
          <w:color w:val="FF0000"/>
          <w:sz w:val="18"/>
          <w:szCs w:val="18"/>
        </w:rPr>
        <w:t xml:space="preserve">e com o médico estratégias de </w:t>
      </w:r>
      <w:proofErr w:type="spellStart"/>
      <w:r w:rsidRPr="002E32FD">
        <w:rPr>
          <w:rFonts w:asciiTheme="minorHAnsi" w:eastAsia="Arial" w:hAnsiTheme="minorHAnsi" w:cs="Arial"/>
          <w:b/>
          <w:color w:val="FF0000"/>
          <w:sz w:val="18"/>
          <w:szCs w:val="18"/>
        </w:rPr>
        <w:t>desensitização</w:t>
      </w:r>
      <w:proofErr w:type="spellEnd"/>
      <w:r w:rsidRPr="002E32FD">
        <w:rPr>
          <w:rFonts w:asciiTheme="minorHAnsi" w:eastAsia="Arial" w:hAnsiTheme="minorHAnsi" w:cs="Arial"/>
          <w:b/>
          <w:color w:val="FF0000"/>
          <w:sz w:val="18"/>
          <w:szCs w:val="18"/>
        </w:rPr>
        <w:t xml:space="preserve"> ou reintrodução de alimentos lácteos  </w:t>
      </w:r>
    </w:p>
    <w:p w14:paraId="28A76523" w14:textId="77777777" w:rsidR="001E49B1" w:rsidRPr="002E32FD" w:rsidRDefault="001E49B1">
      <w:pPr>
        <w:pStyle w:val="normal0"/>
        <w:pBdr>
          <w:top w:val="nil"/>
          <w:left w:val="nil"/>
          <w:bottom w:val="nil"/>
          <w:right w:val="nil"/>
          <w:between w:val="nil"/>
        </w:pBdr>
        <w:spacing w:after="160" w:line="259" w:lineRule="auto"/>
        <w:ind w:left="720"/>
        <w:jc w:val="both"/>
        <w:rPr>
          <w:rFonts w:asciiTheme="minorHAnsi" w:eastAsia="Arial" w:hAnsiTheme="minorHAnsi" w:cs="Arial"/>
          <w:sz w:val="18"/>
          <w:szCs w:val="18"/>
        </w:rPr>
      </w:pPr>
    </w:p>
    <w:p w14:paraId="38DFA67D" w14:textId="77777777" w:rsidR="001E49B1" w:rsidRPr="002E32FD" w:rsidRDefault="001E49B1">
      <w:pPr>
        <w:pStyle w:val="normal0"/>
        <w:pBdr>
          <w:top w:val="nil"/>
          <w:left w:val="nil"/>
          <w:bottom w:val="nil"/>
          <w:right w:val="nil"/>
          <w:between w:val="nil"/>
        </w:pBdr>
        <w:spacing w:after="160" w:line="259" w:lineRule="auto"/>
        <w:ind w:left="1440"/>
        <w:jc w:val="both"/>
        <w:rPr>
          <w:rFonts w:asciiTheme="minorHAnsi" w:eastAsia="Arial" w:hAnsiTheme="minorHAnsi" w:cs="Arial"/>
          <w:b/>
          <w:color w:val="FF0000"/>
          <w:sz w:val="18"/>
          <w:szCs w:val="18"/>
        </w:rPr>
      </w:pPr>
      <w:bookmarkStart w:id="1" w:name="_GoBack"/>
      <w:bookmarkEnd w:id="1"/>
    </w:p>
    <w:sectPr w:rsidR="001E49B1" w:rsidRPr="002E32FD">
      <w:headerReference w:type="default" r:id="rId8"/>
      <w:footerReference w:type="default" r:id="rId9"/>
      <w:pgSz w:w="11906" w:h="16838"/>
      <w:pgMar w:top="1134" w:right="1106" w:bottom="1418" w:left="1260" w:header="89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EF23" w14:textId="77777777" w:rsidR="00000000" w:rsidRDefault="002E32FD">
      <w:pPr>
        <w:spacing w:after="0" w:line="240" w:lineRule="auto"/>
      </w:pPr>
      <w:r>
        <w:separator/>
      </w:r>
    </w:p>
  </w:endnote>
  <w:endnote w:type="continuationSeparator" w:id="0">
    <w:p w14:paraId="66773F8F" w14:textId="77777777" w:rsidR="00000000" w:rsidRDefault="002E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Rockwell">
    <w:panose1 w:val="02060603020205020403"/>
    <w:charset w:val="00"/>
    <w:family w:val="auto"/>
    <w:pitch w:val="variable"/>
    <w:sig w:usb0="00000003" w:usb1="00000000" w:usb2="00000000" w:usb3="00000000" w:csb0="00000001" w:csb1="00000000"/>
  </w:font>
  <w:font w:name="Jim Nightshade">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27E6" w14:textId="77777777" w:rsidR="001E49B1" w:rsidRDefault="002E32FD">
    <w:pPr>
      <w:pStyle w:val="normal0"/>
      <w:widowControl w:val="0"/>
      <w:pBdr>
        <w:top w:val="nil"/>
        <w:left w:val="nil"/>
        <w:bottom w:val="nil"/>
        <w:right w:val="nil"/>
        <w:between w:val="nil"/>
      </w:pBdr>
      <w:spacing w:after="0" w:line="240" w:lineRule="auto"/>
      <w:ind w:left="-540" w:right="-316"/>
      <w:jc w:val="center"/>
      <w:rPr>
        <w:rFonts w:ascii="Jim Nightshade" w:eastAsia="Jim Nightshade" w:hAnsi="Jim Nightshade" w:cs="Jim Nightshade"/>
        <w:color w:val="330033"/>
        <w:sz w:val="15"/>
        <w:szCs w:val="15"/>
      </w:rPr>
    </w:pPr>
    <w:r>
      <w:rPr>
        <w:rFonts w:ascii="Rockwell" w:eastAsia="Rockwell" w:hAnsi="Rockwell" w:cs="Rockwell"/>
        <w:color w:val="330033"/>
        <w:sz w:val="18"/>
        <w:szCs w:val="18"/>
      </w:rPr>
      <w:t xml:space="preserve">   </w:t>
    </w:r>
    <w:r>
      <w:rPr>
        <w:rFonts w:ascii="Rockwell" w:eastAsia="Rockwell" w:hAnsi="Rockwell" w:cs="Rockwell"/>
        <w:color w:val="330033"/>
        <w:sz w:val="20"/>
        <w:szCs w:val="20"/>
      </w:rPr>
      <w:t>Av. Dr. Arnaldo nº. 715 - Cerqueira César - São Paulo/SP - CEP: 01246-904. Tel. (55) 11–</w:t>
    </w:r>
    <w:r>
      <w:rPr>
        <w:rFonts w:ascii="Rockwell" w:eastAsia="Rockwell" w:hAnsi="Rockwell" w:cs="Rockwell"/>
        <w:b/>
        <w:color w:val="330033"/>
        <w:sz w:val="20"/>
        <w:szCs w:val="20"/>
      </w:rPr>
      <w:t xml:space="preserve">3061-7705 </w:t>
    </w:r>
    <w:r>
      <w:rPr>
        <w:rFonts w:ascii="Rockwell" w:eastAsia="Rockwell" w:hAnsi="Rockwell" w:cs="Rockwell"/>
        <w:color w:val="330033"/>
        <w:sz w:val="20"/>
        <w:szCs w:val="20"/>
      </w:rPr>
      <w:t>Fax: (55)-11–</w:t>
    </w:r>
    <w:r>
      <w:rPr>
        <w:rFonts w:ascii="Rockwell" w:eastAsia="Rockwell" w:hAnsi="Rockwell" w:cs="Rockwell"/>
        <w:b/>
        <w:color w:val="330033"/>
        <w:sz w:val="20"/>
        <w:szCs w:val="20"/>
      </w:rPr>
      <w:t xml:space="preserve">3061-7130 </w:t>
    </w:r>
    <w:r>
      <w:rPr>
        <w:rFonts w:ascii="Rockwell" w:eastAsia="Rockwell" w:hAnsi="Rockwell" w:cs="Rockwell"/>
        <w:color w:val="330033"/>
        <w:sz w:val="20"/>
        <w:szCs w:val="20"/>
      </w:rPr>
      <w:t>E-mail: hnt@usp.br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DAC7" w14:textId="77777777" w:rsidR="00000000" w:rsidRDefault="002E32FD">
      <w:pPr>
        <w:spacing w:after="0" w:line="240" w:lineRule="auto"/>
      </w:pPr>
      <w:r>
        <w:separator/>
      </w:r>
    </w:p>
  </w:footnote>
  <w:footnote w:type="continuationSeparator" w:id="0">
    <w:p w14:paraId="088A7C8F" w14:textId="77777777" w:rsidR="00000000" w:rsidRDefault="002E32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B454" w14:textId="77777777" w:rsidR="001E49B1" w:rsidRDefault="002E32FD">
    <w:pPr>
      <w:pStyle w:val="normal0"/>
      <w:pBdr>
        <w:top w:val="nil"/>
        <w:left w:val="nil"/>
        <w:bottom w:val="nil"/>
        <w:right w:val="nil"/>
        <w:between w:val="nil"/>
      </w:pBdr>
      <w:tabs>
        <w:tab w:val="center" w:pos="4252"/>
        <w:tab w:val="right" w:pos="8504"/>
      </w:tabs>
      <w:spacing w:after="0" w:line="240" w:lineRule="auto"/>
      <w:rPr>
        <w:color w:val="000000"/>
      </w:rPr>
    </w:pPr>
    <w:r>
      <w:rPr>
        <w:noProof/>
        <w:lang w:val="en-US"/>
      </w:rPr>
      <mc:AlternateContent>
        <mc:Choice Requires="wps">
          <w:drawing>
            <wp:anchor distT="0" distB="0" distL="0" distR="0" simplePos="0" relativeHeight="251658240" behindDoc="0" locked="0" layoutInCell="1" hidden="0" allowOverlap="1" wp14:anchorId="23ACB69B" wp14:editId="33E629D5">
              <wp:simplePos x="0" y="0"/>
              <wp:positionH relativeFrom="column">
                <wp:posOffset>812800</wp:posOffset>
              </wp:positionH>
              <wp:positionV relativeFrom="paragraph">
                <wp:posOffset>-177799</wp:posOffset>
              </wp:positionV>
              <wp:extent cx="5448300" cy="10629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626613" y="3253268"/>
                        <a:ext cx="5438775" cy="1053465"/>
                      </a:xfrm>
                      <a:prstGeom prst="rect">
                        <a:avLst/>
                      </a:prstGeom>
                      <a:solidFill>
                        <a:srgbClr val="FFFFFF"/>
                      </a:solidFill>
                      <a:ln>
                        <a:noFill/>
                      </a:ln>
                    </wps:spPr>
                    <wps:txbx>
                      <w:txbxContent>
                        <w:p w14:paraId="60151FD5" w14:textId="77777777" w:rsidR="001E49B1" w:rsidRDefault="002E32FD">
                          <w:pPr>
                            <w:pStyle w:val="normal0"/>
                            <w:spacing w:after="0" w:line="240" w:lineRule="auto"/>
                            <w:jc w:val="center"/>
                            <w:textDirection w:val="btLr"/>
                          </w:pPr>
                          <w:r>
                            <w:rPr>
                              <w:rFonts w:ascii="Rockwell" w:eastAsia="Rockwell" w:hAnsi="Rockwell" w:cs="Rockwell"/>
                              <w:b/>
                              <w:color w:val="000000"/>
                              <w:sz w:val="40"/>
                            </w:rPr>
                            <w:t>UNIVERSIDADE DE SÃO PAULO</w:t>
                          </w:r>
                        </w:p>
                        <w:p w14:paraId="257327C4" w14:textId="77777777" w:rsidR="001E49B1" w:rsidRDefault="002E32FD">
                          <w:pPr>
                            <w:pStyle w:val="normal0"/>
                            <w:spacing w:after="0" w:line="240" w:lineRule="auto"/>
                            <w:jc w:val="center"/>
                            <w:textDirection w:val="btLr"/>
                          </w:pPr>
                          <w:r>
                            <w:rPr>
                              <w:rFonts w:ascii="Rockwell" w:eastAsia="Rockwell" w:hAnsi="Rockwell" w:cs="Rockwell"/>
                              <w:b/>
                              <w:color w:val="000000"/>
                              <w:sz w:val="36"/>
                            </w:rPr>
                            <w:t xml:space="preserve">FACULDADE DE SAÚDE PÚBLICA </w:t>
                          </w:r>
                        </w:p>
                        <w:p w14:paraId="4DC94792" w14:textId="77777777" w:rsidR="001E49B1" w:rsidRDefault="002E32FD">
                          <w:pPr>
                            <w:pStyle w:val="normal0"/>
                            <w:spacing w:after="0" w:line="240" w:lineRule="auto"/>
                            <w:jc w:val="center"/>
                            <w:textDirection w:val="btLr"/>
                          </w:pPr>
                          <w:r>
                            <w:rPr>
                              <w:rFonts w:ascii="Rockwell" w:eastAsia="Rockwell" w:hAnsi="Rockwell" w:cs="Rockwell"/>
                              <w:b/>
                              <w:color w:val="000000"/>
                              <w:sz w:val="32"/>
                            </w:rPr>
                            <w:t>Departamento de Nutrição</w:t>
                          </w:r>
                        </w:p>
                        <w:p w14:paraId="3DCB7CD0" w14:textId="77777777" w:rsidR="001E49B1" w:rsidRDefault="001E49B1">
                          <w:pPr>
                            <w:pStyle w:val="normal0"/>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64pt;margin-top:-13.95pt;width:429pt;height:83.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" stroked="f">
              <v:textbox inset="91425emu,45700emu,91425emu,45700emu">
                <w:txbxContent>
                  <w:p w14:paraId="60151FD5" w14:textId="77777777" w:rsidR="001E49B1" w:rsidRDefault="002E32FD">
                    <w:pPr>
                      <w:pStyle w:val="normal0"/>
                      <w:spacing w:after="0" w:line="240" w:lineRule="auto"/>
                      <w:jc w:val="center"/>
                      <w:textDirection w:val="btLr"/>
                    </w:pPr>
                    <w:r>
                      <w:rPr>
                        <w:rFonts w:ascii="Rockwell" w:eastAsia="Rockwell" w:hAnsi="Rockwell" w:cs="Rockwell"/>
                        <w:b/>
                        <w:color w:val="000000"/>
                        <w:sz w:val="40"/>
                      </w:rPr>
                      <w:t>UNIVERSIDADE DE SÃO PAULO</w:t>
                    </w:r>
                  </w:p>
                  <w:p w14:paraId="257327C4" w14:textId="77777777" w:rsidR="001E49B1" w:rsidRDefault="002E32FD">
                    <w:pPr>
                      <w:pStyle w:val="normal0"/>
                      <w:spacing w:after="0" w:line="240" w:lineRule="auto"/>
                      <w:jc w:val="center"/>
                      <w:textDirection w:val="btLr"/>
                    </w:pPr>
                    <w:r>
                      <w:rPr>
                        <w:rFonts w:ascii="Rockwell" w:eastAsia="Rockwell" w:hAnsi="Rockwell" w:cs="Rockwell"/>
                        <w:b/>
                        <w:color w:val="000000"/>
                        <w:sz w:val="36"/>
                      </w:rPr>
                      <w:t xml:space="preserve">FACULDADE DE SAÚDE PÚBLICA </w:t>
                    </w:r>
                  </w:p>
                  <w:p w14:paraId="4DC94792" w14:textId="77777777" w:rsidR="001E49B1" w:rsidRDefault="002E32FD">
                    <w:pPr>
                      <w:pStyle w:val="normal0"/>
                      <w:spacing w:after="0" w:line="240" w:lineRule="auto"/>
                      <w:jc w:val="center"/>
                      <w:textDirection w:val="btLr"/>
                    </w:pPr>
                    <w:r>
                      <w:rPr>
                        <w:rFonts w:ascii="Rockwell" w:eastAsia="Rockwell" w:hAnsi="Rockwell" w:cs="Rockwell"/>
                        <w:b/>
                        <w:color w:val="000000"/>
                        <w:sz w:val="32"/>
                      </w:rPr>
                      <w:t>Departamento de Nutrição</w:t>
                    </w:r>
                  </w:p>
                  <w:p w14:paraId="3DCB7CD0" w14:textId="77777777" w:rsidR="001E49B1" w:rsidRDefault="001E49B1">
                    <w:pPr>
                      <w:pStyle w:val="normal0"/>
                      <w:spacing w:line="275" w:lineRule="auto"/>
                      <w:textDirection w:val="btLr"/>
                    </w:pPr>
                  </w:p>
                </w:txbxContent>
              </v:textbox>
              <w10:wrap type="square"/>
            </v:rect>
          </w:pict>
        </mc:Fallback>
      </mc:AlternateContent>
    </w:r>
    <w:r>
      <w:rPr>
        <w:noProof/>
        <w:lang w:val="en-US"/>
      </w:rPr>
      <w:drawing>
        <wp:anchor distT="0" distB="0" distL="0" distR="0" simplePos="0" relativeHeight="251659264" behindDoc="0" locked="0" layoutInCell="1" hidden="0" allowOverlap="1" wp14:anchorId="1FDF9BD6" wp14:editId="606A10D8">
          <wp:simplePos x="0" y="0"/>
          <wp:positionH relativeFrom="column">
            <wp:posOffset>-111759</wp:posOffset>
          </wp:positionH>
          <wp:positionV relativeFrom="paragraph">
            <wp:posOffset>-298449</wp:posOffset>
          </wp:positionV>
          <wp:extent cx="1053465" cy="105346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3465" cy="1053465"/>
                  </a:xfrm>
                  <a:prstGeom prst="rect">
                    <a:avLst/>
                  </a:prstGeom>
                  <a:ln/>
                </pic:spPr>
              </pic:pic>
            </a:graphicData>
          </a:graphic>
        </wp:anchor>
      </w:drawing>
    </w:r>
  </w:p>
  <w:p w14:paraId="611EC06C"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p w14:paraId="73C8DB21"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p w14:paraId="7B8B7067"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p w14:paraId="2F642385"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p w14:paraId="2FB361C9"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p w14:paraId="0FBB25E7" w14:textId="77777777" w:rsidR="001E49B1" w:rsidRDefault="001E49B1">
    <w:pPr>
      <w:pStyle w:val="normal0"/>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AA1"/>
    <w:multiLevelType w:val="multilevel"/>
    <w:tmpl w:val="277ADD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9372B2"/>
    <w:multiLevelType w:val="multilevel"/>
    <w:tmpl w:val="E33402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801960"/>
    <w:multiLevelType w:val="hybridMultilevel"/>
    <w:tmpl w:val="C1CC46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781D64"/>
    <w:multiLevelType w:val="multilevel"/>
    <w:tmpl w:val="5C28D06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73C6E52"/>
    <w:multiLevelType w:val="multilevel"/>
    <w:tmpl w:val="0414A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902B34"/>
    <w:multiLevelType w:val="multilevel"/>
    <w:tmpl w:val="4D1A3D26"/>
    <w:lvl w:ilvl="0">
      <w:start w:val="1"/>
      <w:numFmt w:val="upperRoman"/>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CB519B9"/>
    <w:multiLevelType w:val="multilevel"/>
    <w:tmpl w:val="EA62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E49B1"/>
    <w:rsid w:val="001E49B1"/>
    <w:rsid w:val="002E32FD"/>
    <w:rsid w:val="006235DE"/>
    <w:rsid w:val="00CC0D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0DF2"/>
    <w:pPr>
      <w:ind w:left="720"/>
      <w:contextualSpacing/>
    </w:pPr>
    <w:rPr>
      <w:rFont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0DF2"/>
    <w:pPr>
      <w:ind w:left="720"/>
      <w:contextualSpacing/>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1479</Words>
  <Characters>8432</Characters>
  <Application>Microsoft Macintosh Word</Application>
  <DocSecurity>0</DocSecurity>
  <Lines>70</Lines>
  <Paragraphs>19</Paragraphs>
  <ScaleCrop>false</ScaleCrop>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Nagila Raquel Teixeira Damasceno</cp:lastModifiedBy>
  <cp:revision>4</cp:revision>
  <dcterms:created xsi:type="dcterms:W3CDTF">2019-10-13T15:01:00Z</dcterms:created>
  <dcterms:modified xsi:type="dcterms:W3CDTF">2019-10-13T15:10:00Z</dcterms:modified>
</cp:coreProperties>
</file>