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F36D1" w14:textId="77777777" w:rsidR="002F6388" w:rsidRDefault="002F6388" w:rsidP="002F6388">
      <w:pPr>
        <w:rPr>
          <w:rFonts w:ascii="Book Antiqua" w:hAnsi="Book Antiqua"/>
          <w:b/>
          <w:smallCaps/>
          <w:sz w:val="23"/>
          <w:szCs w:val="23"/>
        </w:rPr>
      </w:pPr>
    </w:p>
    <w:p w14:paraId="116F36D2" w14:textId="4458C5F8" w:rsidR="002F6388" w:rsidRDefault="00D75DAF" w:rsidP="002F6388">
      <w:pPr>
        <w:jc w:val="center"/>
        <w:rPr>
          <w:rFonts w:ascii="Book Antiqua" w:hAnsi="Book Antiqua"/>
          <w:b/>
          <w:smallCaps/>
          <w:sz w:val="23"/>
          <w:szCs w:val="23"/>
        </w:rPr>
      </w:pPr>
      <w:r>
        <w:rPr>
          <w:rFonts w:ascii="Book Antiqua" w:hAnsi="Book Antiqua"/>
          <w:b/>
          <w:smallCaps/>
          <w:sz w:val="23"/>
          <w:szCs w:val="23"/>
        </w:rPr>
        <w:t xml:space="preserve">Seminário </w:t>
      </w:r>
      <w:r w:rsidR="00F13F75">
        <w:rPr>
          <w:rFonts w:ascii="Book Antiqua" w:hAnsi="Book Antiqua"/>
          <w:b/>
          <w:smallCaps/>
          <w:sz w:val="23"/>
          <w:szCs w:val="23"/>
        </w:rPr>
        <w:t>III</w:t>
      </w:r>
    </w:p>
    <w:p w14:paraId="116F36D4" w14:textId="0CEB44C5" w:rsidR="00250C49" w:rsidRDefault="00F13F75" w:rsidP="00D75DAF">
      <w:pPr>
        <w:jc w:val="center"/>
        <w:rPr>
          <w:rFonts w:ascii="Book Antiqua" w:hAnsi="Book Antiqua"/>
          <w:b/>
          <w:smallCaps/>
          <w:sz w:val="23"/>
          <w:szCs w:val="23"/>
        </w:rPr>
      </w:pPr>
      <w:r>
        <w:rPr>
          <w:rFonts w:ascii="Book Antiqua" w:hAnsi="Book Antiqua"/>
          <w:b/>
          <w:smallCaps/>
          <w:sz w:val="23"/>
          <w:szCs w:val="23"/>
        </w:rPr>
        <w:t>Contratação Em Estatais</w:t>
      </w:r>
    </w:p>
    <w:p w14:paraId="775489CA" w14:textId="0CC514FD" w:rsidR="00F53438" w:rsidRDefault="00F53438" w:rsidP="00F53438">
      <w:pPr>
        <w:jc w:val="both"/>
        <w:rPr>
          <w:rFonts w:ascii="Book Antiqua" w:hAnsi="Book Antiqua"/>
          <w:sz w:val="23"/>
          <w:szCs w:val="23"/>
        </w:rPr>
      </w:pPr>
      <w:r w:rsidRPr="00F53438">
        <w:rPr>
          <w:rFonts w:ascii="Book Antiqua" w:hAnsi="Book Antiqua"/>
          <w:sz w:val="23"/>
          <w:szCs w:val="23"/>
        </w:rPr>
        <w:t>O Tribunal de Contas da União (“TCU”), preocupado com os escândalos de corrupção envolvendo a</w:t>
      </w:r>
      <w:r>
        <w:rPr>
          <w:rFonts w:ascii="Book Antiqua" w:hAnsi="Book Antiqua"/>
          <w:sz w:val="23"/>
          <w:szCs w:val="23"/>
        </w:rPr>
        <w:t xml:space="preserve"> </w:t>
      </w:r>
      <w:r w:rsidRPr="00F53438">
        <w:rPr>
          <w:rFonts w:ascii="Book Antiqua" w:hAnsi="Book Antiqua"/>
          <w:sz w:val="23"/>
          <w:szCs w:val="23"/>
        </w:rPr>
        <w:t>Eletrobrás (o vulgarmente denominado “</w:t>
      </w:r>
      <w:proofErr w:type="spellStart"/>
      <w:r w:rsidRPr="00F53438">
        <w:rPr>
          <w:rFonts w:ascii="Book Antiqua" w:hAnsi="Book Antiqua"/>
          <w:sz w:val="23"/>
          <w:szCs w:val="23"/>
        </w:rPr>
        <w:t>Eletrolão</w:t>
      </w:r>
      <w:proofErr w:type="spellEnd"/>
      <w:r w:rsidRPr="00F53438">
        <w:rPr>
          <w:rFonts w:ascii="Book Antiqua" w:hAnsi="Book Antiqua"/>
          <w:sz w:val="23"/>
          <w:szCs w:val="23"/>
        </w:rPr>
        <w:t xml:space="preserve">”), decide analisar com mais cuidado </w:t>
      </w:r>
      <w:r w:rsidRPr="00F53438">
        <w:rPr>
          <w:rFonts w:ascii="Book Antiqua" w:hAnsi="Book Antiqua"/>
          <w:i/>
          <w:sz w:val="23"/>
          <w:szCs w:val="23"/>
        </w:rPr>
        <w:t>(i)</w:t>
      </w:r>
      <w:r>
        <w:rPr>
          <w:rFonts w:ascii="Book Antiqua" w:hAnsi="Book Antiqua"/>
          <w:sz w:val="23"/>
          <w:szCs w:val="23"/>
        </w:rPr>
        <w:t xml:space="preserve"> </w:t>
      </w:r>
      <w:r w:rsidRPr="00F53438">
        <w:rPr>
          <w:rFonts w:ascii="Book Antiqua" w:hAnsi="Book Antiqua"/>
          <w:sz w:val="23"/>
          <w:szCs w:val="23"/>
        </w:rPr>
        <w:t xml:space="preserve">as quase </w:t>
      </w:r>
      <w:r>
        <w:rPr>
          <w:rFonts w:ascii="Book Antiqua" w:hAnsi="Book Antiqua"/>
          <w:sz w:val="23"/>
          <w:szCs w:val="23"/>
        </w:rPr>
        <w:t xml:space="preserve">100 </w:t>
      </w:r>
      <w:r w:rsidRPr="00F53438">
        <w:rPr>
          <w:rFonts w:ascii="Book Antiqua" w:hAnsi="Book Antiqua"/>
          <w:sz w:val="23"/>
          <w:szCs w:val="23"/>
        </w:rPr>
        <w:t>sociedades de propósito específico (“</w:t>
      </w:r>
      <w:proofErr w:type="spellStart"/>
      <w:r w:rsidRPr="00F53438">
        <w:rPr>
          <w:rFonts w:ascii="Book Antiqua" w:hAnsi="Book Antiqua"/>
          <w:sz w:val="23"/>
          <w:szCs w:val="23"/>
        </w:rPr>
        <w:t>SPEs</w:t>
      </w:r>
      <w:proofErr w:type="spellEnd"/>
      <w:r w:rsidRPr="00F53438">
        <w:rPr>
          <w:rFonts w:ascii="Book Antiqua" w:hAnsi="Book Antiqua"/>
          <w:sz w:val="23"/>
          <w:szCs w:val="23"/>
        </w:rPr>
        <w:t>”) nas quais a Eletrobrás detém participação acionária relevante</w:t>
      </w:r>
      <w:r>
        <w:rPr>
          <w:rFonts w:ascii="Book Antiqua" w:hAnsi="Book Antiqua"/>
          <w:sz w:val="23"/>
          <w:szCs w:val="23"/>
        </w:rPr>
        <w:t xml:space="preserve">; e </w:t>
      </w:r>
      <w:r w:rsidRPr="00F53438">
        <w:rPr>
          <w:rFonts w:ascii="Book Antiqua" w:hAnsi="Book Antiqua"/>
          <w:i/>
          <w:sz w:val="23"/>
          <w:szCs w:val="23"/>
        </w:rPr>
        <w:t>(</w:t>
      </w:r>
      <w:proofErr w:type="spellStart"/>
      <w:r w:rsidRPr="00F53438">
        <w:rPr>
          <w:rFonts w:ascii="Book Antiqua" w:hAnsi="Book Antiqua"/>
          <w:i/>
          <w:sz w:val="23"/>
          <w:szCs w:val="23"/>
        </w:rPr>
        <w:t>ii</w:t>
      </w:r>
      <w:proofErr w:type="spellEnd"/>
      <w:r w:rsidRPr="00F53438">
        <w:rPr>
          <w:rFonts w:ascii="Book Antiqua" w:hAnsi="Book Antiqua"/>
          <w:i/>
          <w:sz w:val="23"/>
          <w:szCs w:val="23"/>
        </w:rPr>
        <w:t>)</w:t>
      </w:r>
      <w:r>
        <w:rPr>
          <w:rFonts w:ascii="Book Antiqua" w:hAnsi="Book Antiqua"/>
          <w:sz w:val="23"/>
          <w:szCs w:val="23"/>
        </w:rPr>
        <w:t xml:space="preserve"> </w:t>
      </w:r>
      <w:r w:rsidR="00857EDD">
        <w:rPr>
          <w:rFonts w:ascii="Book Antiqua" w:hAnsi="Book Antiqua"/>
          <w:sz w:val="23"/>
          <w:szCs w:val="23"/>
        </w:rPr>
        <w:t>o contrato</w:t>
      </w:r>
      <w:r>
        <w:rPr>
          <w:rFonts w:ascii="Book Antiqua" w:hAnsi="Book Antiqua"/>
          <w:sz w:val="23"/>
          <w:szCs w:val="23"/>
        </w:rPr>
        <w:t xml:space="preserve"> de execução de obras e serviços de engenharia celebrados pela Eletrobrás para a construção da Usina Cachoeira de Prata. </w:t>
      </w:r>
    </w:p>
    <w:p w14:paraId="486C7FF4" w14:textId="1C149983" w:rsidR="00F13F75" w:rsidRPr="00F13F75" w:rsidRDefault="00F53438" w:rsidP="00F13F75">
      <w:pPr>
        <w:jc w:val="both"/>
        <w:rPr>
          <w:rFonts w:ascii="Book Antiqua" w:hAnsi="Book Antiqua"/>
          <w:sz w:val="23"/>
          <w:szCs w:val="23"/>
        </w:rPr>
      </w:pPr>
      <w:r w:rsidRPr="00F53438">
        <w:rPr>
          <w:rFonts w:ascii="Book Antiqua" w:hAnsi="Book Antiqua"/>
          <w:sz w:val="23"/>
          <w:szCs w:val="23"/>
        </w:rPr>
        <w:t>No desenrolar do processo administrativo, os auditores do TCU indagam à empresa quais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 xml:space="preserve">critérios foram utilizados para a escolha dos parceiros privados na formação das </w:t>
      </w:r>
      <w:proofErr w:type="spellStart"/>
      <w:r w:rsidR="00F13F75" w:rsidRPr="00F13F75">
        <w:rPr>
          <w:rFonts w:ascii="Book Antiqua" w:hAnsi="Book Antiqua"/>
          <w:sz w:val="23"/>
          <w:szCs w:val="23"/>
        </w:rPr>
        <w:t>SPEs</w:t>
      </w:r>
      <w:proofErr w:type="spellEnd"/>
      <w:r w:rsidR="00F13F75" w:rsidRPr="00F13F75">
        <w:rPr>
          <w:rFonts w:ascii="Book Antiqua" w:hAnsi="Book Antiqua"/>
          <w:sz w:val="23"/>
          <w:szCs w:val="23"/>
        </w:rPr>
        <w:t>, bem como</w:t>
      </w:r>
      <w:bookmarkStart w:id="0" w:name="_GoBack"/>
      <w:bookmarkEnd w:id="0"/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requerem provas de que a Eletrobrás faz uso de um processo licitatóri</w:t>
      </w:r>
      <w:r w:rsidR="00857EDD">
        <w:rPr>
          <w:rFonts w:ascii="Book Antiqua" w:hAnsi="Book Antiqua"/>
          <w:sz w:val="23"/>
          <w:szCs w:val="23"/>
        </w:rPr>
        <w:t xml:space="preserve">o de escolha de seus parceiros. </w:t>
      </w:r>
      <w:r w:rsidR="00F13F75" w:rsidRPr="00F13F75">
        <w:rPr>
          <w:rFonts w:ascii="Book Antiqua" w:hAnsi="Book Antiqua"/>
          <w:sz w:val="23"/>
          <w:szCs w:val="23"/>
        </w:rPr>
        <w:t>Isso porque os auditores entendem que, por ser estatal, a Eletrobrás deve licitar quaisquer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contratações, inclusive na escolha de seus sócios. A Eletrobrás, em sua resposta, argumenta que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escolhe seus parceiros com base nas oportunidades de negócio estratégicas para a empresa e para o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país, e que exigir a licitação para a escolha de seus parceiros engessaria demais seus processos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decisórios e diminuiria sua capacidade de competição no mercado. Por fim, a empresa ressalta que,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ainda que sujeita a regime de direito público, por ser sociedade de economia mista, não se pode olvidar</w:t>
      </w:r>
      <w:r>
        <w:rPr>
          <w:rFonts w:ascii="Book Antiqua" w:hAnsi="Book Antiqua"/>
          <w:sz w:val="23"/>
          <w:szCs w:val="23"/>
        </w:rPr>
        <w:t xml:space="preserve"> </w:t>
      </w:r>
      <w:r w:rsidR="00F13F75" w:rsidRPr="00F13F75">
        <w:rPr>
          <w:rFonts w:ascii="Book Antiqua" w:hAnsi="Book Antiqua"/>
          <w:sz w:val="23"/>
          <w:szCs w:val="23"/>
        </w:rPr>
        <w:t>seu caráter empresarial e de liberdade na escolha de seus sócios.</w:t>
      </w:r>
    </w:p>
    <w:p w14:paraId="44296776" w14:textId="79468E0A" w:rsidR="00F13F75" w:rsidRDefault="00F53438" w:rsidP="002A2FB8">
      <w:p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Com relação a seus contratos, o TCU indaga por qual razão e com qual fundamento a Eletrobrás modificou o contrato EPC </w:t>
      </w:r>
      <w:proofErr w:type="spellStart"/>
      <w:r w:rsidRPr="00857EDD">
        <w:rPr>
          <w:rFonts w:ascii="Book Antiqua" w:hAnsi="Book Antiqua"/>
          <w:i/>
          <w:sz w:val="23"/>
          <w:szCs w:val="23"/>
        </w:rPr>
        <w:t>turn</w:t>
      </w:r>
      <w:proofErr w:type="spellEnd"/>
      <w:r w:rsidRPr="00857EDD">
        <w:rPr>
          <w:rFonts w:ascii="Book Antiqua" w:hAnsi="Book Antiqua"/>
          <w:i/>
          <w:sz w:val="23"/>
          <w:szCs w:val="23"/>
        </w:rPr>
        <w:t xml:space="preserve"> </w:t>
      </w:r>
      <w:proofErr w:type="spellStart"/>
      <w:r w:rsidRPr="00857EDD">
        <w:rPr>
          <w:rFonts w:ascii="Book Antiqua" w:hAnsi="Book Antiqua"/>
          <w:i/>
          <w:sz w:val="23"/>
          <w:szCs w:val="23"/>
        </w:rPr>
        <w:t>key</w:t>
      </w:r>
      <w:proofErr w:type="spellEnd"/>
      <w:r>
        <w:rPr>
          <w:rFonts w:ascii="Book Antiqua" w:hAnsi="Book Antiqua"/>
          <w:sz w:val="23"/>
          <w:szCs w:val="23"/>
        </w:rPr>
        <w:t xml:space="preserve"> da Usina Cachoeira de Prata, </w:t>
      </w:r>
      <w:r w:rsidR="00857EDD">
        <w:rPr>
          <w:rFonts w:ascii="Book Antiqua" w:hAnsi="Book Antiqua"/>
          <w:sz w:val="23"/>
          <w:szCs w:val="23"/>
        </w:rPr>
        <w:t>o que implicou aumento de R$ 100 milhões de reais nos custos do contrato. A Eletrobrás alega que tal modificação foi totalmente benéfica à companhia, já que aumentou</w:t>
      </w:r>
      <w:r>
        <w:rPr>
          <w:rFonts w:ascii="Book Antiqua" w:hAnsi="Book Antiqua"/>
          <w:sz w:val="23"/>
          <w:szCs w:val="23"/>
        </w:rPr>
        <w:t xml:space="preserve"> o reservatório da usina em 100 metros quadrados</w:t>
      </w:r>
      <w:r w:rsidR="00857EDD">
        <w:rPr>
          <w:rFonts w:ascii="Book Antiqua" w:hAnsi="Book Antiqua"/>
          <w:sz w:val="23"/>
          <w:szCs w:val="23"/>
        </w:rPr>
        <w:t xml:space="preserve"> e incrementou seu potencial de geração consideravelmente</w:t>
      </w:r>
      <w:r>
        <w:rPr>
          <w:rFonts w:ascii="Book Antiqua" w:hAnsi="Book Antiqua"/>
          <w:sz w:val="23"/>
          <w:szCs w:val="23"/>
        </w:rPr>
        <w:t>.</w:t>
      </w:r>
    </w:p>
    <w:p w14:paraId="116F36DB" w14:textId="76800735" w:rsidR="002430A1" w:rsidRPr="00160930" w:rsidRDefault="008008D8" w:rsidP="002A2FB8">
      <w:pPr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R</w:t>
      </w:r>
      <w:r w:rsidR="00552CB3">
        <w:rPr>
          <w:rFonts w:ascii="Book Antiqua" w:hAnsi="Book Antiqua"/>
          <w:sz w:val="23"/>
          <w:szCs w:val="23"/>
        </w:rPr>
        <w:t>efl</w:t>
      </w:r>
      <w:r w:rsidR="00160930">
        <w:rPr>
          <w:rFonts w:ascii="Book Antiqua" w:hAnsi="Book Antiqua"/>
          <w:sz w:val="23"/>
          <w:szCs w:val="23"/>
        </w:rPr>
        <w:t xml:space="preserve">ita sobre as controvérsias apresentadas pelo caso, fundamentando suas considerações. </w:t>
      </w:r>
    </w:p>
    <w:sectPr w:rsidR="002430A1" w:rsidRPr="001609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0DC93" w14:textId="77777777" w:rsidR="00D75DAF" w:rsidRDefault="00D75DAF" w:rsidP="002F6388">
      <w:pPr>
        <w:spacing w:after="0" w:line="240" w:lineRule="auto"/>
      </w:pPr>
      <w:r>
        <w:separator/>
      </w:r>
    </w:p>
  </w:endnote>
  <w:endnote w:type="continuationSeparator" w:id="0">
    <w:p w14:paraId="308D0309" w14:textId="77777777" w:rsidR="00D75DAF" w:rsidRDefault="00D75DAF" w:rsidP="002F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685C" w14:textId="77777777" w:rsidR="00D75DAF" w:rsidRDefault="00D75DAF" w:rsidP="002F6388">
      <w:pPr>
        <w:spacing w:after="0" w:line="240" w:lineRule="auto"/>
      </w:pPr>
      <w:r>
        <w:separator/>
      </w:r>
    </w:p>
  </w:footnote>
  <w:footnote w:type="continuationSeparator" w:id="0">
    <w:p w14:paraId="739944D6" w14:textId="77777777" w:rsidR="00D75DAF" w:rsidRDefault="00D75DAF" w:rsidP="002F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36E0" w14:textId="77777777" w:rsidR="00D75DAF" w:rsidRDefault="00D75DAF" w:rsidP="002F6388">
    <w:pPr>
      <w:pStyle w:val="Cabealho"/>
      <w:tabs>
        <w:tab w:val="clear" w:pos="4252"/>
        <w:tab w:val="clear" w:pos="8504"/>
        <w:tab w:val="center" w:pos="4606"/>
      </w:tabs>
      <w:ind w:firstLine="708"/>
      <w:rPr>
        <w:rFonts w:ascii="Book Antiqua" w:hAnsi="Book Antiqua"/>
        <w:smallCaps/>
        <w:noProof/>
        <w:sz w:val="32"/>
        <w:szCs w:val="36"/>
        <w:lang w:eastAsia="pt-BR"/>
      </w:rPr>
    </w:pPr>
    <w:r w:rsidRPr="00612242">
      <w:rPr>
        <w:rFonts w:ascii="Book Antiqua" w:hAnsi="Book Antiqua"/>
        <w:i/>
        <w:smallCaps/>
        <w:noProof/>
        <w:sz w:val="28"/>
        <w:szCs w:val="36"/>
        <w:lang w:val="en-US"/>
      </w:rPr>
      <w:drawing>
        <wp:anchor distT="0" distB="0" distL="114300" distR="114300" simplePos="0" relativeHeight="251659776" behindDoc="0" locked="0" layoutInCell="1" allowOverlap="1" wp14:anchorId="116F36E5" wp14:editId="116F36E6">
          <wp:simplePos x="0" y="0"/>
          <wp:positionH relativeFrom="column">
            <wp:posOffset>-6350</wp:posOffset>
          </wp:positionH>
          <wp:positionV relativeFrom="paragraph">
            <wp:posOffset>-123825</wp:posOffset>
          </wp:positionV>
          <wp:extent cx="1162050" cy="1162050"/>
          <wp:effectExtent l="0" t="0" r="0" b="0"/>
          <wp:wrapSquare wrapText="bothSides"/>
          <wp:docPr id="2" name="Imagem 1" descr="logofd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fdu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smallCaps/>
        <w:noProof/>
        <w:sz w:val="32"/>
        <w:szCs w:val="36"/>
        <w:lang w:eastAsia="pt-BR"/>
      </w:rPr>
      <w:tab/>
    </w:r>
  </w:p>
  <w:p w14:paraId="116F36E1" w14:textId="1A690D87" w:rsidR="00D75DAF" w:rsidRPr="00612242" w:rsidRDefault="00D75DAF" w:rsidP="00955C76">
    <w:pPr>
      <w:pStyle w:val="Cabealho"/>
      <w:tabs>
        <w:tab w:val="clear" w:pos="4252"/>
        <w:tab w:val="clear" w:pos="8504"/>
        <w:tab w:val="left" w:pos="7855"/>
      </w:tabs>
      <w:rPr>
        <w:rFonts w:ascii="Book Antiqua" w:hAnsi="Book Antiqua"/>
        <w:smallCaps/>
        <w:noProof/>
        <w:sz w:val="32"/>
        <w:szCs w:val="36"/>
        <w:lang w:eastAsia="pt-BR"/>
      </w:rPr>
    </w:pPr>
    <w:r>
      <w:rPr>
        <w:rFonts w:ascii="Book Antiqua" w:hAnsi="Book Antiqua"/>
        <w:smallCaps/>
        <w:noProof/>
        <w:sz w:val="32"/>
        <w:szCs w:val="36"/>
        <w:lang w:eastAsia="pt-BR"/>
      </w:rPr>
      <w:t xml:space="preserve">                                     Direito Administrativo  II (2019)</w:t>
    </w:r>
  </w:p>
  <w:p w14:paraId="116F36E2" w14:textId="77777777" w:rsidR="00D75DAF" w:rsidRDefault="00D75DAF" w:rsidP="002F6388">
    <w:pPr>
      <w:pStyle w:val="Cabealho"/>
      <w:tabs>
        <w:tab w:val="clear" w:pos="4252"/>
        <w:tab w:val="clear" w:pos="8504"/>
        <w:tab w:val="left" w:pos="7855"/>
      </w:tabs>
      <w:ind w:firstLine="2835"/>
      <w:rPr>
        <w:noProof/>
        <w:lang w:eastAsia="pt-BR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16F36E7" wp14:editId="116F36E8">
          <wp:simplePos x="0" y="0"/>
          <wp:positionH relativeFrom="column">
            <wp:posOffset>1490980</wp:posOffset>
          </wp:positionH>
          <wp:positionV relativeFrom="paragraph">
            <wp:posOffset>39370</wp:posOffset>
          </wp:positionV>
          <wp:extent cx="4048125" cy="74930"/>
          <wp:effectExtent l="0" t="0" r="0" b="127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749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16F36E3" w14:textId="77777777" w:rsidR="00D75DAF" w:rsidRDefault="00D75DAF" w:rsidP="002F6388">
    <w:pPr>
      <w:pStyle w:val="Cabealho"/>
      <w:tabs>
        <w:tab w:val="clear" w:pos="4252"/>
        <w:tab w:val="clear" w:pos="8504"/>
        <w:tab w:val="left" w:pos="7855"/>
      </w:tabs>
      <w:rPr>
        <w:noProof/>
        <w:lang w:eastAsia="pt-BR"/>
      </w:rPr>
    </w:pPr>
  </w:p>
  <w:p w14:paraId="116F36E4" w14:textId="77777777" w:rsidR="00D75DAF" w:rsidRDefault="00D75D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0B4A"/>
    <w:multiLevelType w:val="hybridMultilevel"/>
    <w:tmpl w:val="8850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75FE"/>
    <w:multiLevelType w:val="hybridMultilevel"/>
    <w:tmpl w:val="8A6013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49"/>
    <w:rsid w:val="000410FB"/>
    <w:rsid w:val="00045D69"/>
    <w:rsid w:val="000B02B8"/>
    <w:rsid w:val="000C551D"/>
    <w:rsid w:val="00160930"/>
    <w:rsid w:val="00190E79"/>
    <w:rsid w:val="001A58B4"/>
    <w:rsid w:val="001E46E4"/>
    <w:rsid w:val="00232F6D"/>
    <w:rsid w:val="002430A1"/>
    <w:rsid w:val="00250C49"/>
    <w:rsid w:val="00295E71"/>
    <w:rsid w:val="002A2FB8"/>
    <w:rsid w:val="002C397B"/>
    <w:rsid w:val="002D7074"/>
    <w:rsid w:val="002F6388"/>
    <w:rsid w:val="002F65CE"/>
    <w:rsid w:val="0037123D"/>
    <w:rsid w:val="003B7ED6"/>
    <w:rsid w:val="0045013F"/>
    <w:rsid w:val="004609CF"/>
    <w:rsid w:val="00466AB8"/>
    <w:rsid w:val="004D0D11"/>
    <w:rsid w:val="00552CB3"/>
    <w:rsid w:val="006600BB"/>
    <w:rsid w:val="00664C7A"/>
    <w:rsid w:val="00673510"/>
    <w:rsid w:val="006945DB"/>
    <w:rsid w:val="007B08EA"/>
    <w:rsid w:val="007E1235"/>
    <w:rsid w:val="008008D8"/>
    <w:rsid w:val="00856480"/>
    <w:rsid w:val="00857EDD"/>
    <w:rsid w:val="008B1B00"/>
    <w:rsid w:val="008F58EB"/>
    <w:rsid w:val="00955C76"/>
    <w:rsid w:val="0097298A"/>
    <w:rsid w:val="009B1E51"/>
    <w:rsid w:val="009B5CCD"/>
    <w:rsid w:val="00A0696A"/>
    <w:rsid w:val="00A147B8"/>
    <w:rsid w:val="00A36012"/>
    <w:rsid w:val="00A92B8D"/>
    <w:rsid w:val="00AB0C22"/>
    <w:rsid w:val="00AB3730"/>
    <w:rsid w:val="00AC0375"/>
    <w:rsid w:val="00B5585C"/>
    <w:rsid w:val="00BD0E3F"/>
    <w:rsid w:val="00BF0CAF"/>
    <w:rsid w:val="00C14917"/>
    <w:rsid w:val="00C45208"/>
    <w:rsid w:val="00CC35D9"/>
    <w:rsid w:val="00CE0A82"/>
    <w:rsid w:val="00CE3DAB"/>
    <w:rsid w:val="00D75DAF"/>
    <w:rsid w:val="00E11F3F"/>
    <w:rsid w:val="00E33A01"/>
    <w:rsid w:val="00E833D8"/>
    <w:rsid w:val="00E95DF2"/>
    <w:rsid w:val="00EE0C85"/>
    <w:rsid w:val="00F12239"/>
    <w:rsid w:val="00F13F75"/>
    <w:rsid w:val="00F231C3"/>
    <w:rsid w:val="00F53438"/>
    <w:rsid w:val="00F654D0"/>
    <w:rsid w:val="00F96D2A"/>
    <w:rsid w:val="00FA7776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F36D1"/>
  <w15:docId w15:val="{0F053DA3-F8AE-4FD0-B487-AEEBE354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02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388"/>
  </w:style>
  <w:style w:type="paragraph" w:styleId="Rodap">
    <w:name w:val="footer"/>
    <w:basedOn w:val="Normal"/>
    <w:link w:val="RodapChar"/>
    <w:uiPriority w:val="99"/>
    <w:unhideWhenUsed/>
    <w:rsid w:val="002F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6FFF-39E0-489F-85D6-4AA9EF0D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1</cp:lastModifiedBy>
  <cp:revision>3</cp:revision>
  <cp:lastPrinted>2016-08-12T12:48:00Z</cp:lastPrinted>
  <dcterms:created xsi:type="dcterms:W3CDTF">2019-08-24T21:31:00Z</dcterms:created>
  <dcterms:modified xsi:type="dcterms:W3CDTF">2019-09-20T18:56:00Z</dcterms:modified>
</cp:coreProperties>
</file>