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899B" w14:textId="77777777" w:rsidR="00C92D96" w:rsidRPr="00C92D96" w:rsidRDefault="000C133D" w:rsidP="00C92D96">
      <w:pPr>
        <w:spacing w:after="0" w:line="240" w:lineRule="auto"/>
        <w:jc w:val="center"/>
        <w:rPr>
          <w:rFonts w:ascii="Arial" w:eastAsia="Times New Roman" w:hAnsi="Arial" w:cs="Arial"/>
          <w:b/>
          <w:sz w:val="26"/>
          <w:szCs w:val="26"/>
          <w:lang w:eastAsia="pt-BR"/>
        </w:rPr>
      </w:pPr>
      <w:r>
        <w:rPr>
          <w:rFonts w:ascii="Arial" w:eastAsia="Times New Roman" w:hAnsi="Arial" w:cs="Arial"/>
          <w:b/>
          <w:sz w:val="26"/>
          <w:szCs w:val="26"/>
          <w:lang w:eastAsia="pt-BR"/>
        </w:rPr>
        <w:t>TEORIA MACROE</w:t>
      </w:r>
      <w:r w:rsidR="00C92D96" w:rsidRPr="00C92D96">
        <w:rPr>
          <w:rFonts w:ascii="Arial" w:eastAsia="Times New Roman" w:hAnsi="Arial" w:cs="Arial"/>
          <w:b/>
          <w:sz w:val="26"/>
          <w:szCs w:val="26"/>
          <w:lang w:eastAsia="pt-BR"/>
        </w:rPr>
        <w:t>CON</w:t>
      </w:r>
      <w:r>
        <w:rPr>
          <w:rFonts w:ascii="Arial" w:eastAsia="Times New Roman" w:hAnsi="Arial" w:cs="Arial"/>
          <w:b/>
          <w:sz w:val="26"/>
          <w:szCs w:val="26"/>
          <w:lang w:eastAsia="pt-BR"/>
        </w:rPr>
        <w:t>Ô</w:t>
      </w:r>
      <w:r w:rsidR="00C92D96" w:rsidRPr="00C92D96">
        <w:rPr>
          <w:rFonts w:ascii="Arial" w:eastAsia="Times New Roman" w:hAnsi="Arial" w:cs="Arial"/>
          <w:b/>
          <w:sz w:val="26"/>
          <w:szCs w:val="26"/>
          <w:lang w:eastAsia="pt-BR"/>
        </w:rPr>
        <w:t>MICA DA ECONOMIA ABERTA</w:t>
      </w:r>
    </w:p>
    <w:p w14:paraId="6B950BF2" w14:textId="77777777" w:rsidR="00C92D96" w:rsidRDefault="00C92D96" w:rsidP="00C92D96">
      <w:pPr>
        <w:spacing w:after="0" w:line="240" w:lineRule="auto"/>
        <w:jc w:val="center"/>
        <w:rPr>
          <w:rFonts w:ascii="Arial" w:eastAsia="Times New Roman" w:hAnsi="Arial" w:cs="Arial"/>
          <w:sz w:val="26"/>
          <w:szCs w:val="26"/>
          <w:lang w:eastAsia="pt-BR"/>
        </w:rPr>
      </w:pPr>
    </w:p>
    <w:p w14:paraId="4FF840DE" w14:textId="77777777" w:rsidR="00C92D96" w:rsidRPr="00C92D96" w:rsidRDefault="00C92D96" w:rsidP="00C92D96">
      <w:pPr>
        <w:spacing w:after="0" w:line="240" w:lineRule="auto"/>
        <w:jc w:val="right"/>
        <w:rPr>
          <w:rFonts w:ascii="Arial" w:eastAsia="Times New Roman" w:hAnsi="Arial" w:cs="Arial"/>
          <w:sz w:val="20"/>
          <w:szCs w:val="20"/>
          <w:lang w:eastAsia="pt-BR"/>
        </w:rPr>
      </w:pPr>
      <w:r w:rsidRPr="00C92D96">
        <w:rPr>
          <w:rFonts w:ascii="Arial" w:eastAsia="Times New Roman" w:hAnsi="Arial" w:cs="Arial"/>
          <w:sz w:val="20"/>
          <w:szCs w:val="20"/>
          <w:lang w:eastAsia="pt-BR"/>
        </w:rPr>
        <w:t>Aluno: Graco de Souza Santos</w:t>
      </w:r>
    </w:p>
    <w:p w14:paraId="01DD6B87" w14:textId="77777777" w:rsidR="00C92D96" w:rsidRPr="00C92D96" w:rsidRDefault="00C92D96" w:rsidP="00C92D96">
      <w:pPr>
        <w:spacing w:after="0" w:line="240" w:lineRule="auto"/>
        <w:jc w:val="right"/>
        <w:rPr>
          <w:rFonts w:ascii="Arial" w:eastAsia="Times New Roman" w:hAnsi="Arial" w:cs="Arial"/>
          <w:sz w:val="20"/>
          <w:szCs w:val="20"/>
          <w:lang w:eastAsia="pt-BR"/>
        </w:rPr>
      </w:pPr>
      <w:r w:rsidRPr="00C92D96">
        <w:rPr>
          <w:rFonts w:ascii="Arial" w:eastAsia="Times New Roman" w:hAnsi="Arial" w:cs="Arial"/>
          <w:sz w:val="20"/>
          <w:szCs w:val="20"/>
          <w:lang w:eastAsia="pt-BR"/>
        </w:rPr>
        <w:t>N°USP: 8040080</w:t>
      </w:r>
    </w:p>
    <w:p w14:paraId="2672DC95" w14:textId="77777777" w:rsidR="00C92D96" w:rsidRDefault="00C92D96" w:rsidP="00C92D96">
      <w:pPr>
        <w:spacing w:after="0" w:line="240" w:lineRule="auto"/>
        <w:jc w:val="right"/>
        <w:rPr>
          <w:rFonts w:ascii="Arial" w:eastAsia="Times New Roman" w:hAnsi="Arial" w:cs="Arial"/>
          <w:sz w:val="20"/>
          <w:szCs w:val="20"/>
          <w:lang w:eastAsia="pt-BR"/>
        </w:rPr>
      </w:pPr>
      <w:r w:rsidRPr="00C92D96">
        <w:rPr>
          <w:rFonts w:ascii="Arial" w:eastAsia="Times New Roman" w:hAnsi="Arial" w:cs="Arial"/>
          <w:sz w:val="20"/>
          <w:szCs w:val="20"/>
          <w:lang w:eastAsia="pt-BR"/>
        </w:rPr>
        <w:t>Orientador: Reinaldo Pacheco da Costa</w:t>
      </w:r>
    </w:p>
    <w:p w14:paraId="1F84FF00" w14:textId="77777777" w:rsidR="00C92D96" w:rsidRDefault="00C92D96" w:rsidP="00C92D96">
      <w:pPr>
        <w:spacing w:after="0" w:line="240" w:lineRule="auto"/>
        <w:jc w:val="right"/>
        <w:rPr>
          <w:rFonts w:ascii="Arial" w:eastAsia="Times New Roman" w:hAnsi="Arial" w:cs="Arial"/>
          <w:sz w:val="20"/>
          <w:szCs w:val="20"/>
          <w:lang w:eastAsia="pt-BR"/>
        </w:rPr>
      </w:pPr>
    </w:p>
    <w:p w14:paraId="4C375653" w14:textId="77777777" w:rsidR="00872E31" w:rsidRDefault="00C92D96" w:rsidP="00872E31">
      <w:pPr>
        <w:spacing w:after="0" w:line="240" w:lineRule="auto"/>
        <w:rPr>
          <w:rFonts w:ascii="Arial" w:eastAsia="Times New Roman" w:hAnsi="Arial" w:cs="Arial"/>
          <w:b/>
          <w:sz w:val="24"/>
          <w:szCs w:val="24"/>
          <w:lang w:eastAsia="pt-BR"/>
        </w:rPr>
      </w:pPr>
      <w:r w:rsidRPr="00C92D96">
        <w:rPr>
          <w:rFonts w:ascii="Arial" w:eastAsia="Times New Roman" w:hAnsi="Arial" w:cs="Arial"/>
          <w:b/>
          <w:sz w:val="24"/>
          <w:szCs w:val="24"/>
          <w:lang w:eastAsia="pt-BR"/>
        </w:rPr>
        <w:t>Resumo</w:t>
      </w:r>
    </w:p>
    <w:p w14:paraId="01F79841" w14:textId="77777777" w:rsidR="00872E31" w:rsidRDefault="00872E31" w:rsidP="00872E31">
      <w:pPr>
        <w:spacing w:after="0" w:line="240" w:lineRule="auto"/>
        <w:rPr>
          <w:rFonts w:ascii="Arial" w:eastAsia="Times New Roman" w:hAnsi="Arial" w:cs="Arial"/>
          <w:b/>
          <w:sz w:val="24"/>
          <w:szCs w:val="24"/>
          <w:lang w:eastAsia="pt-BR"/>
        </w:rPr>
      </w:pPr>
    </w:p>
    <w:p w14:paraId="1298B0E2" w14:textId="77777777" w:rsidR="00872E31" w:rsidRDefault="00872E31" w:rsidP="00591C72">
      <w:pPr>
        <w:spacing w:after="0" w:line="240" w:lineRule="auto"/>
        <w:jc w:val="both"/>
        <w:rPr>
          <w:rFonts w:ascii="Arial" w:eastAsia="Times New Roman" w:hAnsi="Arial" w:cs="Arial"/>
          <w:lang w:eastAsia="pt-BR"/>
        </w:rPr>
      </w:pPr>
      <w:r w:rsidRPr="00591C72">
        <w:rPr>
          <w:rFonts w:ascii="Arial" w:eastAsia="Times New Roman" w:hAnsi="Arial" w:cs="Arial"/>
          <w:lang w:eastAsia="pt-BR"/>
        </w:rPr>
        <w:t>O presente estudo visa avaliar o</w:t>
      </w:r>
      <w:r w:rsidR="00591C72" w:rsidRPr="00591C72">
        <w:rPr>
          <w:rFonts w:ascii="Arial" w:eastAsia="Times New Roman" w:hAnsi="Arial" w:cs="Arial"/>
          <w:lang w:eastAsia="pt-BR"/>
        </w:rPr>
        <w:t>s fundamentos e características do</w:t>
      </w:r>
      <w:r w:rsidRPr="00591C72">
        <w:rPr>
          <w:rFonts w:ascii="Arial" w:eastAsia="Times New Roman" w:hAnsi="Arial" w:cs="Arial"/>
          <w:lang w:eastAsia="pt-BR"/>
        </w:rPr>
        <w:t xml:space="preserve"> modelo desen</w:t>
      </w:r>
      <w:r w:rsidR="00591C72" w:rsidRPr="00591C72">
        <w:rPr>
          <w:rFonts w:ascii="Arial" w:eastAsia="Times New Roman" w:hAnsi="Arial" w:cs="Arial"/>
          <w:lang w:eastAsia="pt-BR"/>
        </w:rPr>
        <w:t xml:space="preserve">volvido referente à teoria macroeconômica dentro de uma economia aberta. Serão analisados as causas e seus respectivos efeitos sobre poupança nacional, investimentos internos e externos, bem como as importações e exportações, sendo estas as variáveis dentro do modelo a ser estudado. </w:t>
      </w:r>
    </w:p>
    <w:p w14:paraId="06C69B95" w14:textId="77777777" w:rsidR="00591C72" w:rsidRDefault="00591C72" w:rsidP="00591C72">
      <w:pPr>
        <w:spacing w:after="0" w:line="240" w:lineRule="auto"/>
        <w:jc w:val="both"/>
        <w:rPr>
          <w:rFonts w:ascii="Arial" w:eastAsia="Times New Roman" w:hAnsi="Arial" w:cs="Arial"/>
          <w:lang w:eastAsia="pt-BR"/>
        </w:rPr>
      </w:pPr>
      <w:r w:rsidRPr="00591C72">
        <w:rPr>
          <w:rFonts w:ascii="Arial" w:eastAsia="Times New Roman" w:hAnsi="Arial" w:cs="Arial"/>
          <w:b/>
          <w:lang w:eastAsia="pt-BR"/>
        </w:rPr>
        <w:t>Palavras chave:</w:t>
      </w:r>
      <w:r>
        <w:rPr>
          <w:rFonts w:ascii="Arial" w:eastAsia="Times New Roman" w:hAnsi="Arial" w:cs="Arial"/>
          <w:lang w:eastAsia="pt-BR"/>
        </w:rPr>
        <w:t xml:space="preserve"> macroeconômica, aberta, poupança, investimento, importações e exportações.</w:t>
      </w:r>
    </w:p>
    <w:p w14:paraId="0C4B6691" w14:textId="77777777" w:rsidR="00591C72" w:rsidRPr="00CA194B" w:rsidRDefault="00591C72" w:rsidP="00591C72">
      <w:pPr>
        <w:spacing w:after="0" w:line="240" w:lineRule="auto"/>
        <w:jc w:val="both"/>
        <w:rPr>
          <w:rFonts w:ascii="Arial" w:eastAsia="Times New Roman" w:hAnsi="Arial" w:cs="Arial"/>
          <w:lang w:eastAsia="pt-BR"/>
        </w:rPr>
      </w:pPr>
    </w:p>
    <w:p w14:paraId="43AA8E6F"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A194B">
        <w:rPr>
          <w:rFonts w:ascii="Arial" w:eastAsia="Times New Roman" w:hAnsi="Arial" w:cs="Arial"/>
          <w:b/>
          <w:color w:val="000000"/>
          <w:sz w:val="24"/>
          <w:szCs w:val="24"/>
          <w:lang w:eastAsia="pt-BR"/>
        </w:rPr>
        <w:t>Introdução</w:t>
      </w:r>
    </w:p>
    <w:p w14:paraId="0127164A"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E06E3E3" w14:textId="0743EECB" w:rsidR="00031462" w:rsidRDefault="00031462" w:rsidP="00295341">
      <w:pPr>
        <w:spacing w:after="0" w:line="240" w:lineRule="auto"/>
        <w:ind w:firstLine="708"/>
        <w:rPr>
          <w:rFonts w:ascii="Arial" w:eastAsia="Times New Roman" w:hAnsi="Arial" w:cs="Arial"/>
          <w:color w:val="000000"/>
          <w:lang w:eastAsia="pt-BR"/>
        </w:rPr>
      </w:pPr>
      <w:r w:rsidRPr="00031462">
        <w:rPr>
          <w:rFonts w:ascii="Arial" w:eastAsia="Times New Roman" w:hAnsi="Arial" w:cs="Arial"/>
          <w:color w:val="000000"/>
          <w:highlight w:val="yellow"/>
          <w:lang w:eastAsia="pt-BR"/>
        </w:rPr>
        <w:t>Explicar o que é fechada e aberta...</w:t>
      </w:r>
    </w:p>
    <w:p w14:paraId="28C77799" w14:textId="77777777" w:rsidR="00031462" w:rsidRDefault="00031462" w:rsidP="00295341">
      <w:pPr>
        <w:spacing w:after="0" w:line="240" w:lineRule="auto"/>
        <w:ind w:firstLine="708"/>
        <w:rPr>
          <w:rFonts w:ascii="Arial" w:eastAsia="Times New Roman" w:hAnsi="Arial" w:cs="Arial"/>
          <w:color w:val="000000"/>
          <w:lang w:eastAsia="pt-BR"/>
        </w:rPr>
      </w:pPr>
    </w:p>
    <w:p w14:paraId="538EBFD1" w14:textId="11FEFF0E" w:rsidR="00CA194B" w:rsidRPr="00CA194B" w:rsidRDefault="00CA194B" w:rsidP="00295341">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 teoria macroeconômica da economia aberta desenvolve um modelo que identifica as forças determinantes para exportações líquidas, investimento externo líquido e as taxas de câmbio real e nominal, bem como essas variáveis se relacionam umas com as outras. Para o referido modelo, ambos</w:t>
      </w:r>
      <w:r w:rsidR="00DB5C62">
        <w:rPr>
          <w:rFonts w:ascii="Arial" w:eastAsia="Times New Roman" w:hAnsi="Arial" w:cs="Arial"/>
          <w:color w:val="000000"/>
          <w:lang w:eastAsia="pt-BR"/>
        </w:rPr>
        <w:t>,</w:t>
      </w:r>
      <w:r w:rsidRPr="00CA194B">
        <w:rPr>
          <w:rFonts w:ascii="Arial" w:eastAsia="Times New Roman" w:hAnsi="Arial" w:cs="Arial"/>
          <w:color w:val="000000"/>
          <w:lang w:eastAsia="pt-BR"/>
        </w:rPr>
        <w:t xml:space="preserve"> PIB e nível de preços da economia</w:t>
      </w:r>
      <w:r w:rsidR="00DB5C62">
        <w:rPr>
          <w:rFonts w:ascii="Arial" w:eastAsia="Times New Roman" w:hAnsi="Arial" w:cs="Arial"/>
          <w:color w:val="000000"/>
          <w:lang w:eastAsia="pt-BR"/>
        </w:rPr>
        <w:t>,</w:t>
      </w:r>
      <w:r w:rsidRPr="00CA194B">
        <w:rPr>
          <w:rFonts w:ascii="Arial" w:eastAsia="Times New Roman" w:hAnsi="Arial" w:cs="Arial"/>
          <w:color w:val="000000"/>
          <w:lang w:eastAsia="pt-BR"/>
        </w:rPr>
        <w:t xml:space="preserve"> serão tomados como dados. Nesse caso, o PIB real será determinado pelas ofertas dos fatores e pela tecnologia de produção disponível. Já o nível de preços será ajustado para controlar a oferta e demanda da moeda. Por fim, o modelo tem como objetivo destacar as determinantes da balança comercial e a taxa de câmbio da economia. </w:t>
      </w:r>
    </w:p>
    <w:p w14:paraId="266191D7"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0824AD0A"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A194B">
        <w:rPr>
          <w:rFonts w:ascii="Arial" w:eastAsia="Times New Roman" w:hAnsi="Arial" w:cs="Arial"/>
          <w:b/>
          <w:color w:val="000000"/>
          <w:lang w:eastAsia="pt-BR"/>
        </w:rPr>
        <w:t>Oferta e demanda de fundos para empréstimos e de câmbio</w:t>
      </w:r>
    </w:p>
    <w:p w14:paraId="020F1A80"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18784704"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Para que seja possível o entendimento das forças que operam em uma economia aberta, é necessário a analise da oferta e demanda em dois mercados. O mercado de fundos de empréstimos coordena a poupança da economia, bem como o investimento externo líquido. Já o mercado de cambio de moeda estrangeira coordena a troca de moeda interna por moedas de outros países.</w:t>
      </w:r>
    </w:p>
    <w:p w14:paraId="594925DE"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63E9614" w14:textId="029AF193" w:rsidR="00CA194B" w:rsidRDefault="00CA194B" w:rsidP="00CA194B">
      <w:pPr>
        <w:spacing w:after="0" w:line="240" w:lineRule="auto"/>
        <w:rPr>
          <w:rFonts w:ascii="Arial" w:eastAsia="Times New Roman" w:hAnsi="Arial" w:cs="Arial"/>
          <w:b/>
          <w:color w:val="000000"/>
          <w:lang w:eastAsia="pt-BR"/>
        </w:rPr>
      </w:pPr>
      <w:r w:rsidRPr="00CA194B">
        <w:rPr>
          <w:rFonts w:ascii="Arial" w:eastAsia="Times New Roman" w:hAnsi="Arial" w:cs="Arial"/>
          <w:b/>
          <w:color w:val="000000"/>
          <w:lang w:eastAsia="pt-BR"/>
        </w:rPr>
        <w:t>O mercado de fundos de empréstimos</w:t>
      </w:r>
    </w:p>
    <w:p w14:paraId="0D3235D3" w14:textId="77777777" w:rsidR="00EB1A55" w:rsidRPr="00CA194B" w:rsidRDefault="00EB1A55" w:rsidP="00CA194B">
      <w:pPr>
        <w:spacing w:after="0" w:line="240" w:lineRule="auto"/>
        <w:rPr>
          <w:rFonts w:ascii="Times New Roman" w:eastAsia="Times New Roman" w:hAnsi="Times New Roman" w:cs="Times New Roman"/>
          <w:b/>
          <w:sz w:val="24"/>
          <w:szCs w:val="24"/>
          <w:lang w:eastAsia="pt-BR"/>
        </w:rPr>
      </w:pPr>
    </w:p>
    <w:p w14:paraId="0A1074B4"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3459E566" w14:textId="77777777" w:rsidR="00CA194B" w:rsidRDefault="00CA194B" w:rsidP="00C92D96">
      <w:pPr>
        <w:spacing w:after="0" w:line="240" w:lineRule="auto"/>
        <w:ind w:firstLine="708"/>
        <w:rPr>
          <w:rFonts w:ascii="Arial" w:eastAsia="Times New Roman" w:hAnsi="Arial" w:cs="Arial"/>
          <w:color w:val="000000"/>
          <w:lang w:eastAsia="pt-BR"/>
        </w:rPr>
      </w:pPr>
      <w:r w:rsidRPr="00CA194B">
        <w:rPr>
          <w:rFonts w:ascii="Arial" w:eastAsia="Times New Roman" w:hAnsi="Arial" w:cs="Arial"/>
          <w:color w:val="000000"/>
          <w:lang w:eastAsia="pt-BR"/>
        </w:rPr>
        <w:t xml:space="preserve">Para o entendimento deste mercado, devemos partir da identidade onde a poupança (S) equivale a soma do investimento interno (I) com o investimento externo liquido (IEL). </w:t>
      </w:r>
    </w:p>
    <w:p w14:paraId="77C242E2" w14:textId="77777777" w:rsidR="00591C72" w:rsidRPr="00CA194B" w:rsidRDefault="00591C72" w:rsidP="00C92D96">
      <w:pPr>
        <w:spacing w:after="0" w:line="240" w:lineRule="auto"/>
        <w:ind w:firstLine="708"/>
        <w:rPr>
          <w:rFonts w:ascii="Times New Roman" w:eastAsia="Times New Roman" w:hAnsi="Times New Roman" w:cs="Times New Roman"/>
          <w:sz w:val="24"/>
          <w:szCs w:val="24"/>
          <w:lang w:eastAsia="pt-BR"/>
        </w:rPr>
      </w:pPr>
    </w:p>
    <w:p w14:paraId="728CC738" w14:textId="4B4A0471" w:rsidR="00CA194B" w:rsidRDefault="007A7211" w:rsidP="00CA194B">
      <w:pPr>
        <w:spacing w:after="0" w:line="240" w:lineRule="auto"/>
        <w:jc w:val="center"/>
        <w:rPr>
          <w:rFonts w:ascii="Arial" w:eastAsia="Times New Roman" w:hAnsi="Arial" w:cs="Arial"/>
          <w:color w:val="000000"/>
          <w:lang w:eastAsia="pt-BR"/>
        </w:rPr>
      </w:pPr>
      <m:oMath>
        <m:r>
          <w:rPr>
            <w:rFonts w:ascii="Cambria Math" w:eastAsia="Times New Roman" w:hAnsi="Cambria Math" w:cs="Arial"/>
            <w:color w:val="000000"/>
            <w:lang w:eastAsia="pt-BR"/>
          </w:rPr>
          <m:t>S=I+IEL</m:t>
        </m:r>
      </m:oMath>
      <w:r>
        <w:rPr>
          <w:rFonts w:ascii="Arial" w:eastAsia="Times New Roman" w:hAnsi="Arial" w:cs="Arial"/>
          <w:color w:val="000000"/>
          <w:lang w:eastAsia="pt-BR"/>
        </w:rPr>
        <w:t xml:space="preserve">       (1)</w:t>
      </w:r>
    </w:p>
    <w:p w14:paraId="25E218E7" w14:textId="77777777" w:rsidR="00EB1A55" w:rsidRDefault="00EB1A55" w:rsidP="00EB1A55">
      <w:pPr>
        <w:autoSpaceDE w:val="0"/>
        <w:autoSpaceDN w:val="0"/>
        <w:adjustRightInd w:val="0"/>
        <w:spacing w:after="0" w:line="240" w:lineRule="auto"/>
        <w:jc w:val="both"/>
      </w:pPr>
      <w:r>
        <w:t xml:space="preserve">Lembrete: </w:t>
      </w:r>
    </w:p>
    <w:p w14:paraId="1F2F0397" w14:textId="67042A92" w:rsidR="00EB1A55" w:rsidRDefault="00EB1A55" w:rsidP="00EB1A55">
      <w:pPr>
        <w:autoSpaceDE w:val="0"/>
        <w:autoSpaceDN w:val="0"/>
        <w:adjustRightInd w:val="0"/>
        <w:spacing w:after="0" w:line="240" w:lineRule="auto"/>
        <w:jc w:val="both"/>
        <w:rPr>
          <w:highlight w:val="yellow"/>
        </w:rPr>
      </w:pPr>
      <w:r>
        <w:t xml:space="preserve">(Y = C + I + G + IEL) </w:t>
      </w:r>
    </w:p>
    <w:p w14:paraId="22FD73C3" w14:textId="0184CA13" w:rsidR="00EB1A55" w:rsidRDefault="00EB1A55" w:rsidP="00EB1A55">
      <w:pPr>
        <w:autoSpaceDE w:val="0"/>
        <w:autoSpaceDN w:val="0"/>
        <w:adjustRightInd w:val="0"/>
        <w:spacing w:after="0" w:line="240" w:lineRule="auto"/>
        <w:jc w:val="both"/>
      </w:pPr>
      <w:r>
        <w:t>(</w:t>
      </w:r>
      <w:proofErr w:type="spellStart"/>
      <w:r>
        <w:t>Rprivada</w:t>
      </w:r>
      <w:proofErr w:type="spellEnd"/>
      <w:r>
        <w:t xml:space="preserve"> – C) + (T – G) = I + IEL</w:t>
      </w:r>
    </w:p>
    <w:p w14:paraId="1716B288" w14:textId="0FD88C23" w:rsidR="00EB1A55" w:rsidRDefault="00EB1A55" w:rsidP="00EB1A55">
      <w:pPr>
        <w:autoSpaceDE w:val="0"/>
        <w:autoSpaceDN w:val="0"/>
        <w:adjustRightInd w:val="0"/>
        <w:spacing w:after="0" w:line="240" w:lineRule="auto"/>
        <w:jc w:val="both"/>
      </w:pPr>
      <w:r>
        <w:t>(</w:t>
      </w:r>
      <w:proofErr w:type="spellStart"/>
      <w:r>
        <w:t>Rprivada</w:t>
      </w:r>
      <w:proofErr w:type="spellEnd"/>
      <w:r>
        <w:t xml:space="preserve"> – C) + (T – G) = I + EL</w:t>
      </w:r>
    </w:p>
    <w:p w14:paraId="5CCBC061" w14:textId="77777777" w:rsidR="00EB1A55" w:rsidRDefault="00EB1A55" w:rsidP="00EB1A55">
      <w:pPr>
        <w:autoSpaceDE w:val="0"/>
        <w:autoSpaceDN w:val="0"/>
        <w:adjustRightInd w:val="0"/>
        <w:spacing w:after="0" w:line="240" w:lineRule="auto"/>
        <w:jc w:val="both"/>
      </w:pPr>
      <w:r>
        <w:t>poupança privada + poupança pública</w:t>
      </w:r>
    </w:p>
    <w:p w14:paraId="0FA03331" w14:textId="77777777" w:rsidR="00EB1A55" w:rsidRDefault="00EB1A55" w:rsidP="00EB1A55">
      <w:pPr>
        <w:autoSpaceDE w:val="0"/>
        <w:autoSpaceDN w:val="0"/>
        <w:adjustRightInd w:val="0"/>
        <w:spacing w:after="0" w:line="240" w:lineRule="auto"/>
        <w:jc w:val="both"/>
      </w:pPr>
    </w:p>
    <w:p w14:paraId="71993FBC" w14:textId="77777777" w:rsidR="00EB1A55" w:rsidRPr="007A7211" w:rsidRDefault="00EB1A55" w:rsidP="00CA194B">
      <w:pPr>
        <w:spacing w:after="0" w:line="240" w:lineRule="auto"/>
        <w:jc w:val="center"/>
        <w:rPr>
          <w:rFonts w:ascii="Arial" w:eastAsia="Times New Roman" w:hAnsi="Arial" w:cs="Arial"/>
          <w:color w:val="000000"/>
          <w:lang w:eastAsia="pt-BR"/>
        </w:rPr>
      </w:pPr>
    </w:p>
    <w:p w14:paraId="1DC39792" w14:textId="77777777" w:rsidR="007A7211" w:rsidRPr="00CA194B" w:rsidRDefault="007A7211" w:rsidP="00CA194B">
      <w:pPr>
        <w:spacing w:after="0" w:line="240" w:lineRule="auto"/>
        <w:jc w:val="center"/>
        <w:rPr>
          <w:rFonts w:ascii="Arial" w:eastAsia="Times New Roman" w:hAnsi="Arial" w:cs="Arial"/>
          <w:sz w:val="24"/>
          <w:szCs w:val="24"/>
          <w:lang w:eastAsia="pt-BR"/>
        </w:rPr>
      </w:pPr>
    </w:p>
    <w:p w14:paraId="739A88FD"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lastRenderedPageBreak/>
        <w:t>Desta forma, a oferta de fundos de empréstimos vem da poupança nacional, e a demanda, por sua vez,</w:t>
      </w:r>
      <w:r>
        <w:rPr>
          <w:rFonts w:ascii="Arial" w:eastAsia="Times New Roman" w:hAnsi="Arial" w:cs="Arial"/>
          <w:color w:val="000000"/>
          <w:lang w:eastAsia="pt-BR"/>
        </w:rPr>
        <w:t xml:space="preserve"> </w:t>
      </w:r>
      <w:r w:rsidRPr="00CA194B">
        <w:rPr>
          <w:rFonts w:ascii="Arial" w:eastAsia="Times New Roman" w:hAnsi="Arial" w:cs="Arial"/>
          <w:color w:val="000000"/>
          <w:lang w:eastAsia="pt-BR"/>
        </w:rPr>
        <w:t>provém do investimento inte</w:t>
      </w:r>
      <w:r w:rsidR="00591C72">
        <w:rPr>
          <w:rFonts w:ascii="Arial" w:eastAsia="Times New Roman" w:hAnsi="Arial" w:cs="Arial"/>
          <w:color w:val="000000"/>
          <w:lang w:eastAsia="pt-BR"/>
        </w:rPr>
        <w:t>rno e do investimento externo lí</w:t>
      </w:r>
      <w:r w:rsidRPr="00CA194B">
        <w:rPr>
          <w:rFonts w:ascii="Arial" w:eastAsia="Times New Roman" w:hAnsi="Arial" w:cs="Arial"/>
          <w:color w:val="000000"/>
          <w:lang w:eastAsia="pt-BR"/>
        </w:rPr>
        <w:t>quido.</w:t>
      </w:r>
    </w:p>
    <w:p w14:paraId="0A8640A8"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Pr>
          <w:rFonts w:ascii="Arial" w:eastAsia="Times New Roman" w:hAnsi="Arial" w:cs="Arial"/>
          <w:color w:val="000000"/>
          <w:lang w:eastAsia="pt-BR"/>
        </w:rPr>
        <w:t>É</w:t>
      </w:r>
      <w:r w:rsidRPr="00CA194B">
        <w:rPr>
          <w:rFonts w:ascii="Arial" w:eastAsia="Times New Roman" w:hAnsi="Arial" w:cs="Arial"/>
          <w:color w:val="000000"/>
          <w:lang w:eastAsia="pt-BR"/>
        </w:rPr>
        <w:t xml:space="preserve"> possível observar que a compra de um ativo de capital acarreta em um acréscimo na demanda, independente de o ativo estar </w:t>
      </w:r>
      <w:r w:rsidR="00C92D96">
        <w:rPr>
          <w:rFonts w:ascii="Arial" w:eastAsia="Times New Roman" w:hAnsi="Arial" w:cs="Arial"/>
          <w:color w:val="000000"/>
          <w:lang w:eastAsia="pt-BR"/>
        </w:rPr>
        <w:t xml:space="preserve">situado no país ou no exterior. </w:t>
      </w:r>
      <w:r w:rsidRPr="00CA194B">
        <w:rPr>
          <w:rFonts w:ascii="Arial" w:eastAsia="Times New Roman" w:hAnsi="Arial" w:cs="Arial"/>
          <w:color w:val="000000"/>
          <w:lang w:eastAsia="pt-BR"/>
        </w:rPr>
        <w:t xml:space="preserve">Vale ressaltar que </w:t>
      </w:r>
      <w:r>
        <w:rPr>
          <w:rFonts w:ascii="Arial" w:eastAsia="Times New Roman" w:hAnsi="Arial" w:cs="Arial"/>
          <w:color w:val="000000"/>
          <w:lang w:eastAsia="pt-BR"/>
        </w:rPr>
        <w:t>o investimento externo líquido</w:t>
      </w:r>
      <w:r w:rsidRPr="00CA194B">
        <w:rPr>
          <w:rFonts w:ascii="Arial" w:eastAsia="Times New Roman" w:hAnsi="Arial" w:cs="Arial"/>
          <w:color w:val="000000"/>
          <w:lang w:eastAsia="pt-BR"/>
        </w:rPr>
        <w:t xml:space="preserve"> pode ser tanto somado, como subtraído do investimento interno, uma vez que o mesmo pode ser positivo ou negativo. </w:t>
      </w:r>
    </w:p>
    <w:p w14:paraId="5B6B327D" w14:textId="17B3E9A5"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 taxa de juros real tem papel importante na definição da quantidade ofertada e demandada de fundos para empréstimos. Assim, uma taxa de juros elevada aumenta a quantidade de fundos ofertados, já que a esta i</w:t>
      </w:r>
      <w:r w:rsidR="00C92D96">
        <w:rPr>
          <w:rFonts w:ascii="Arial" w:eastAsia="Times New Roman" w:hAnsi="Arial" w:cs="Arial"/>
          <w:color w:val="000000"/>
          <w:lang w:eastAsia="pt-BR"/>
        </w:rPr>
        <w:t xml:space="preserve">ncentiva as pessoas a pouparem. </w:t>
      </w:r>
      <w:r w:rsidRPr="00CA194B">
        <w:rPr>
          <w:rFonts w:ascii="Arial" w:eastAsia="Times New Roman" w:hAnsi="Arial" w:cs="Arial"/>
          <w:color w:val="000000"/>
          <w:lang w:eastAsia="pt-BR"/>
        </w:rPr>
        <w:t>Além disso, a elevação da taxa de juros torna os empréstimos para financiamento mais custosos, acarretando em um desencorajamento do investimento e</w:t>
      </w:r>
      <w:r w:rsidR="00EB1A55">
        <w:rPr>
          <w:rFonts w:ascii="Arial" w:eastAsia="Times New Roman" w:hAnsi="Arial" w:cs="Arial"/>
          <w:color w:val="000000"/>
          <w:lang w:eastAsia="pt-BR"/>
        </w:rPr>
        <w:t>,</w:t>
      </w:r>
      <w:r w:rsidRPr="00CA194B">
        <w:rPr>
          <w:rFonts w:ascii="Arial" w:eastAsia="Times New Roman" w:hAnsi="Arial" w:cs="Arial"/>
          <w:color w:val="000000"/>
          <w:lang w:eastAsia="pt-BR"/>
        </w:rPr>
        <w:t xml:space="preserve"> por fim, uma redução na quantidade demandada de fundos. E ainda, esse mesmo aumento estimula a compra de ativos nacionais por parte dos estrangeiros e desestimula a compra de ativos estrangeiros pelo país, resultando em uma diminuição do investimento externo líquido desse país.</w:t>
      </w:r>
    </w:p>
    <w:p w14:paraId="3A7CCDDC"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0F252B4" w14:textId="77777777" w:rsidR="00CA194B" w:rsidRDefault="00591C72" w:rsidP="0033626E">
      <w:pPr>
        <w:spacing w:after="0" w:line="240" w:lineRule="auto"/>
        <w:jc w:val="center"/>
        <w:rPr>
          <w:rFonts w:ascii="Times New Roman" w:eastAsia="Times New Roman" w:hAnsi="Times New Roman" w:cs="Times New Roman"/>
          <w:sz w:val="24"/>
          <w:szCs w:val="24"/>
          <w:lang w:eastAsia="pt-BR"/>
        </w:rPr>
      </w:pPr>
      <w:r w:rsidRPr="00591C72">
        <w:rPr>
          <w:rFonts w:ascii="Times New Roman" w:eastAsia="Times New Roman" w:hAnsi="Times New Roman" w:cs="Times New Roman"/>
          <w:noProof/>
          <w:sz w:val="24"/>
          <w:szCs w:val="24"/>
          <w:lang w:val="en-US"/>
        </w:rPr>
        <w:drawing>
          <wp:inline distT="0" distB="0" distL="0" distR="0" wp14:anchorId="34886630" wp14:editId="6FC519A6">
            <wp:extent cx="5612130" cy="2582545"/>
            <wp:effectExtent l="19050" t="0" r="26670" b="8255"/>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5B9ECE" w14:textId="77777777" w:rsidR="0033626E" w:rsidRPr="00CA194B" w:rsidRDefault="0033626E" w:rsidP="0033626E">
      <w:pPr>
        <w:spacing w:after="0" w:line="240" w:lineRule="auto"/>
        <w:jc w:val="center"/>
        <w:rPr>
          <w:rFonts w:ascii="Arial" w:eastAsia="Times New Roman" w:hAnsi="Arial" w:cs="Arial"/>
          <w:sz w:val="20"/>
          <w:szCs w:val="20"/>
          <w:lang w:eastAsia="pt-BR"/>
        </w:rPr>
      </w:pPr>
      <w:r w:rsidRPr="0033626E">
        <w:rPr>
          <w:rFonts w:ascii="Arial" w:eastAsia="Times New Roman" w:hAnsi="Arial" w:cs="Arial"/>
          <w:sz w:val="20"/>
          <w:szCs w:val="20"/>
          <w:lang w:eastAsia="pt-BR"/>
        </w:rPr>
        <w:t>Figura 1 – Diagrama de oferta e demanda em um mercado de fundos de empréstimos.</w:t>
      </w:r>
    </w:p>
    <w:p w14:paraId="14E80F64"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25A33EE7"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 xml:space="preserve">A figura 1 representa o mercado de fundos de empréstimos explicado anteriormente através de um diagrama de oferta e demanda. Portanto, a taxa de juros se ajusta para trazer o </w:t>
      </w:r>
      <w:r>
        <w:rPr>
          <w:rFonts w:ascii="Arial" w:eastAsia="Times New Roman" w:hAnsi="Arial" w:cs="Arial"/>
          <w:color w:val="000000"/>
          <w:lang w:eastAsia="pt-BR"/>
        </w:rPr>
        <w:t>e</w:t>
      </w:r>
      <w:r w:rsidRPr="00CA194B">
        <w:rPr>
          <w:rFonts w:ascii="Arial" w:eastAsia="Times New Roman" w:hAnsi="Arial" w:cs="Arial"/>
          <w:color w:val="000000"/>
          <w:lang w:eastAsia="pt-BR"/>
        </w:rPr>
        <w:t>quilíbrio entre a oferta e demanda dos fundos para empréstimos. Assim, a taxa de juros de equilíbrio representa a exata quantia que se deseja poupar, igualando-se com a quantidade de investimento interno e de investimento externo liquido.</w:t>
      </w:r>
    </w:p>
    <w:p w14:paraId="02B0FA04"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5A74139D"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A194B">
        <w:rPr>
          <w:rFonts w:ascii="Arial" w:eastAsia="Times New Roman" w:hAnsi="Arial" w:cs="Arial"/>
          <w:b/>
          <w:color w:val="000000"/>
          <w:lang w:eastAsia="pt-BR"/>
        </w:rPr>
        <w:t>O mercado de cambio de moeda estrangeira</w:t>
      </w:r>
    </w:p>
    <w:p w14:paraId="322155AA"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p>
    <w:p w14:paraId="43E02D41" w14:textId="77777777" w:rsidR="00CA194B" w:rsidRDefault="00CA194B" w:rsidP="00C92D96">
      <w:pPr>
        <w:spacing w:after="0" w:line="240" w:lineRule="auto"/>
        <w:ind w:firstLine="708"/>
        <w:rPr>
          <w:rFonts w:ascii="Arial" w:eastAsia="Times New Roman" w:hAnsi="Arial" w:cs="Arial"/>
          <w:color w:val="000000"/>
          <w:lang w:eastAsia="pt-BR"/>
        </w:rPr>
      </w:pPr>
      <w:r w:rsidRPr="00CA194B">
        <w:rPr>
          <w:rFonts w:ascii="Arial" w:eastAsia="Times New Roman" w:hAnsi="Arial" w:cs="Arial"/>
          <w:color w:val="000000"/>
          <w:lang w:eastAsia="pt-BR"/>
        </w:rPr>
        <w:t xml:space="preserve">Para o entendimento desse mercado, devemos partir da igualdade entre investimento externo liquido (IEL) e </w:t>
      </w:r>
      <w:r>
        <w:rPr>
          <w:rFonts w:ascii="Arial" w:eastAsia="Times New Roman" w:hAnsi="Arial" w:cs="Arial"/>
          <w:color w:val="000000"/>
          <w:lang w:eastAsia="pt-BR"/>
        </w:rPr>
        <w:t>exportação lí</w:t>
      </w:r>
      <w:r w:rsidRPr="00CA194B">
        <w:rPr>
          <w:rFonts w:ascii="Arial" w:eastAsia="Times New Roman" w:hAnsi="Arial" w:cs="Arial"/>
          <w:color w:val="000000"/>
          <w:lang w:eastAsia="pt-BR"/>
        </w:rPr>
        <w:t>quida</w:t>
      </w:r>
      <w:r>
        <w:rPr>
          <w:rFonts w:ascii="Arial" w:eastAsia="Times New Roman" w:hAnsi="Arial" w:cs="Arial"/>
          <w:color w:val="000000"/>
          <w:lang w:eastAsia="pt-BR"/>
        </w:rPr>
        <w:t>s</w:t>
      </w:r>
      <w:r w:rsidRPr="00CA194B">
        <w:rPr>
          <w:rFonts w:ascii="Arial" w:eastAsia="Times New Roman" w:hAnsi="Arial" w:cs="Arial"/>
          <w:color w:val="000000"/>
          <w:lang w:eastAsia="pt-BR"/>
        </w:rPr>
        <w:t xml:space="preserve"> (EL).</w:t>
      </w:r>
    </w:p>
    <w:p w14:paraId="0A34EFEE" w14:textId="77777777" w:rsidR="007A7211" w:rsidRPr="00CA194B" w:rsidRDefault="007A7211" w:rsidP="00C92D96">
      <w:pPr>
        <w:spacing w:after="0" w:line="240" w:lineRule="auto"/>
        <w:ind w:firstLine="708"/>
        <w:rPr>
          <w:rFonts w:ascii="Times New Roman" w:eastAsia="Times New Roman" w:hAnsi="Times New Roman" w:cs="Times New Roman"/>
          <w:sz w:val="24"/>
          <w:szCs w:val="24"/>
          <w:lang w:eastAsia="pt-BR"/>
        </w:rPr>
      </w:pPr>
    </w:p>
    <w:p w14:paraId="2BE544B8" w14:textId="6C171FE7" w:rsidR="007A7211" w:rsidRDefault="007A7211" w:rsidP="007A7211">
      <w:pPr>
        <w:spacing w:after="0" w:line="240" w:lineRule="auto"/>
        <w:jc w:val="center"/>
        <w:rPr>
          <w:rFonts w:ascii="Times New Roman" w:eastAsia="Times New Roman" w:hAnsi="Times New Roman" w:cs="Times New Roman"/>
          <w:sz w:val="24"/>
          <w:szCs w:val="24"/>
          <w:lang w:eastAsia="pt-BR"/>
        </w:rPr>
      </w:pPr>
      <m:oMath>
        <m:r>
          <w:rPr>
            <w:rFonts w:ascii="Cambria Math" w:eastAsia="Times New Roman" w:hAnsi="Cambria Math" w:cs="Times New Roman"/>
            <w:sz w:val="24"/>
            <w:szCs w:val="24"/>
            <w:lang w:eastAsia="pt-BR"/>
          </w:rPr>
          <m:t>IEL=EL</m:t>
        </m:r>
      </m:oMath>
      <w:r>
        <w:rPr>
          <w:rFonts w:ascii="Times New Roman" w:eastAsia="Times New Roman" w:hAnsi="Times New Roman" w:cs="Times New Roman"/>
          <w:sz w:val="24"/>
          <w:szCs w:val="24"/>
          <w:lang w:eastAsia="pt-BR"/>
        </w:rPr>
        <w:t xml:space="preserve">    (2)</w:t>
      </w:r>
    </w:p>
    <w:p w14:paraId="4E2FCD44" w14:textId="1AE2765B" w:rsidR="00EB1A55" w:rsidRDefault="00EB1A55" w:rsidP="007A7211">
      <w:pPr>
        <w:spacing w:after="0" w:line="240" w:lineRule="auto"/>
        <w:jc w:val="center"/>
        <w:rPr>
          <w:rFonts w:ascii="Times New Roman" w:eastAsia="Times New Roman" w:hAnsi="Times New Roman" w:cs="Times New Roman"/>
          <w:sz w:val="24"/>
          <w:szCs w:val="24"/>
          <w:lang w:eastAsia="pt-BR"/>
        </w:rPr>
      </w:pPr>
    </w:p>
    <w:p w14:paraId="7CE353ED" w14:textId="672157B4" w:rsidR="00EB1A55" w:rsidRPr="00EB1A55" w:rsidRDefault="00EB1A55" w:rsidP="00EB1A55">
      <w:pPr>
        <w:spacing w:after="0" w:line="240" w:lineRule="auto"/>
        <w:rPr>
          <w:rFonts w:ascii="Times New Roman" w:eastAsia="Times New Roman" w:hAnsi="Times New Roman" w:cs="Times New Roman"/>
          <w:sz w:val="16"/>
          <w:szCs w:val="16"/>
          <w:lang w:eastAsia="pt-BR"/>
        </w:rPr>
      </w:pPr>
      <w:r w:rsidRPr="00EB1A55">
        <w:rPr>
          <w:rFonts w:ascii="Times New Roman" w:eastAsia="Times New Roman" w:hAnsi="Times New Roman" w:cs="Times New Roman"/>
          <w:sz w:val="16"/>
          <w:szCs w:val="16"/>
          <w:lang w:eastAsia="pt-BR"/>
        </w:rPr>
        <w:t>Fluxo de Capitais = Fluxo de bens e serviços</w:t>
      </w:r>
    </w:p>
    <w:p w14:paraId="0B9CD42A" w14:textId="77777777" w:rsidR="00EB1A55" w:rsidRPr="00EB1A55" w:rsidRDefault="00EB1A55" w:rsidP="00EB1A55">
      <w:pPr>
        <w:spacing w:after="0" w:line="240" w:lineRule="auto"/>
        <w:rPr>
          <w:rFonts w:ascii="Times New Roman" w:eastAsia="Times New Roman" w:hAnsi="Times New Roman" w:cs="Times New Roman"/>
          <w:sz w:val="16"/>
          <w:szCs w:val="16"/>
          <w:lang w:eastAsia="pt-BR"/>
        </w:rPr>
      </w:pPr>
      <w:r w:rsidRPr="00EB1A55">
        <w:rPr>
          <w:rFonts w:ascii="Times New Roman" w:eastAsia="Times New Roman" w:hAnsi="Times New Roman" w:cs="Times New Roman"/>
          <w:sz w:val="16"/>
          <w:szCs w:val="16"/>
          <w:lang w:eastAsia="pt-BR"/>
        </w:rPr>
        <w:t xml:space="preserve">Um residente no Brasil compra um Toyota no </w:t>
      </w:r>
      <w:proofErr w:type="spellStart"/>
      <w:r w:rsidRPr="00EB1A55">
        <w:rPr>
          <w:rFonts w:ascii="Times New Roman" w:eastAsia="Times New Roman" w:hAnsi="Times New Roman" w:cs="Times New Roman"/>
          <w:sz w:val="16"/>
          <w:szCs w:val="16"/>
          <w:lang w:eastAsia="pt-BR"/>
        </w:rPr>
        <w:t>Japao</w:t>
      </w:r>
      <w:proofErr w:type="spellEnd"/>
      <w:r w:rsidRPr="00EB1A55">
        <w:rPr>
          <w:rFonts w:ascii="Times New Roman" w:eastAsia="Times New Roman" w:hAnsi="Times New Roman" w:cs="Times New Roman"/>
          <w:sz w:val="16"/>
          <w:szCs w:val="16"/>
          <w:lang w:eastAsia="pt-BR"/>
        </w:rPr>
        <w:t xml:space="preserve"> (Fluxo de Bens)</w:t>
      </w:r>
    </w:p>
    <w:p w14:paraId="54F0FD66" w14:textId="3019BC34" w:rsidR="00EB1A55" w:rsidRPr="00EB1A55" w:rsidRDefault="00EB1A55" w:rsidP="00EB1A55">
      <w:pPr>
        <w:spacing w:after="0" w:line="240" w:lineRule="auto"/>
        <w:rPr>
          <w:rFonts w:ascii="Times New Roman" w:eastAsia="Times New Roman" w:hAnsi="Times New Roman" w:cs="Times New Roman"/>
          <w:sz w:val="16"/>
          <w:szCs w:val="16"/>
          <w:lang w:eastAsia="pt-BR"/>
        </w:rPr>
      </w:pPr>
      <w:r w:rsidRPr="00EB1A55">
        <w:rPr>
          <w:rFonts w:ascii="Times New Roman" w:eastAsia="Times New Roman" w:hAnsi="Times New Roman" w:cs="Times New Roman"/>
          <w:sz w:val="16"/>
          <w:szCs w:val="16"/>
          <w:lang w:eastAsia="pt-BR"/>
        </w:rPr>
        <w:t xml:space="preserve">Um residente no Brasil compra </w:t>
      </w:r>
      <w:r w:rsidRPr="00EB1A55">
        <w:rPr>
          <w:rFonts w:ascii="Times New Roman" w:eastAsia="Times New Roman" w:hAnsi="Times New Roman" w:cs="Times New Roman"/>
          <w:sz w:val="16"/>
          <w:szCs w:val="16"/>
          <w:lang w:eastAsia="pt-BR"/>
        </w:rPr>
        <w:t>ações da</w:t>
      </w:r>
      <w:r w:rsidRPr="00EB1A55">
        <w:rPr>
          <w:rFonts w:ascii="Times New Roman" w:eastAsia="Times New Roman" w:hAnsi="Times New Roman" w:cs="Times New Roman"/>
          <w:sz w:val="16"/>
          <w:szCs w:val="16"/>
          <w:lang w:eastAsia="pt-BR"/>
        </w:rPr>
        <w:t xml:space="preserve"> Toyota no </w:t>
      </w:r>
      <w:proofErr w:type="spellStart"/>
      <w:r w:rsidRPr="00EB1A55">
        <w:rPr>
          <w:rFonts w:ascii="Times New Roman" w:eastAsia="Times New Roman" w:hAnsi="Times New Roman" w:cs="Times New Roman"/>
          <w:sz w:val="16"/>
          <w:szCs w:val="16"/>
          <w:lang w:eastAsia="pt-BR"/>
        </w:rPr>
        <w:t>Japao</w:t>
      </w:r>
      <w:proofErr w:type="spellEnd"/>
      <w:r w:rsidRPr="00EB1A55">
        <w:rPr>
          <w:rFonts w:ascii="Times New Roman" w:eastAsia="Times New Roman" w:hAnsi="Times New Roman" w:cs="Times New Roman"/>
          <w:sz w:val="16"/>
          <w:szCs w:val="16"/>
          <w:lang w:eastAsia="pt-BR"/>
        </w:rPr>
        <w:t xml:space="preserve"> (Fluxo de </w:t>
      </w:r>
      <w:r w:rsidRPr="00EB1A55">
        <w:rPr>
          <w:rFonts w:ascii="Times New Roman" w:eastAsia="Times New Roman" w:hAnsi="Times New Roman" w:cs="Times New Roman"/>
          <w:sz w:val="16"/>
          <w:szCs w:val="16"/>
          <w:lang w:eastAsia="pt-BR"/>
        </w:rPr>
        <w:t>Capitais</w:t>
      </w:r>
      <w:r w:rsidRPr="00EB1A55">
        <w:rPr>
          <w:rFonts w:ascii="Times New Roman" w:eastAsia="Times New Roman" w:hAnsi="Times New Roman" w:cs="Times New Roman"/>
          <w:sz w:val="16"/>
          <w:szCs w:val="16"/>
          <w:lang w:eastAsia="pt-BR"/>
        </w:rPr>
        <w:t>)</w:t>
      </w:r>
    </w:p>
    <w:p w14:paraId="6655DE72" w14:textId="0BB1858F" w:rsidR="00EB1A55" w:rsidRPr="00EB1A55" w:rsidRDefault="00EB1A55" w:rsidP="00EB1A55">
      <w:pPr>
        <w:spacing w:after="0" w:line="240" w:lineRule="auto"/>
        <w:rPr>
          <w:rFonts w:ascii="Times New Roman" w:eastAsia="Times New Roman" w:hAnsi="Times New Roman" w:cs="Times New Roman"/>
          <w:sz w:val="16"/>
          <w:szCs w:val="16"/>
          <w:lang w:eastAsia="pt-BR"/>
        </w:rPr>
      </w:pPr>
      <w:proofErr w:type="spellStart"/>
      <w:r w:rsidRPr="00EB1A55">
        <w:rPr>
          <w:rFonts w:ascii="Times New Roman" w:eastAsia="Times New Roman" w:hAnsi="Times New Roman" w:cs="Times New Roman"/>
          <w:sz w:val="16"/>
          <w:szCs w:val="16"/>
          <w:lang w:eastAsia="pt-BR"/>
        </w:rPr>
        <w:t>Exportaçoes</w:t>
      </w:r>
      <w:proofErr w:type="spellEnd"/>
      <w:r w:rsidRPr="00EB1A55">
        <w:rPr>
          <w:rFonts w:ascii="Times New Roman" w:eastAsia="Times New Roman" w:hAnsi="Times New Roman" w:cs="Times New Roman"/>
          <w:sz w:val="16"/>
          <w:szCs w:val="16"/>
          <w:lang w:eastAsia="pt-BR"/>
        </w:rPr>
        <w:t xml:space="preserve"> líquidas – </w:t>
      </w:r>
      <w:proofErr w:type="spellStart"/>
      <w:r w:rsidRPr="00EB1A55">
        <w:rPr>
          <w:rFonts w:ascii="Times New Roman" w:eastAsia="Times New Roman" w:hAnsi="Times New Roman" w:cs="Times New Roman"/>
          <w:sz w:val="16"/>
          <w:szCs w:val="16"/>
          <w:lang w:eastAsia="pt-BR"/>
        </w:rPr>
        <w:t>Importaçoes</w:t>
      </w:r>
      <w:proofErr w:type="spellEnd"/>
      <w:r w:rsidRPr="00EB1A55">
        <w:rPr>
          <w:rFonts w:ascii="Times New Roman" w:eastAsia="Times New Roman" w:hAnsi="Times New Roman" w:cs="Times New Roman"/>
          <w:sz w:val="16"/>
          <w:szCs w:val="16"/>
          <w:lang w:eastAsia="pt-BR"/>
        </w:rPr>
        <w:t xml:space="preserve"> liquidas = EL </w:t>
      </w:r>
    </w:p>
    <w:p w14:paraId="345D71D4" w14:textId="57196E5D" w:rsidR="00EB1A55" w:rsidRDefault="00EB1A55" w:rsidP="00EB1A55">
      <w:pPr>
        <w:spacing w:after="0" w:line="240" w:lineRule="auto"/>
        <w:rPr>
          <w:rFonts w:ascii="Times New Roman" w:eastAsia="Times New Roman" w:hAnsi="Times New Roman" w:cs="Times New Roman"/>
          <w:sz w:val="16"/>
          <w:szCs w:val="16"/>
          <w:lang w:eastAsia="pt-BR"/>
        </w:rPr>
      </w:pPr>
      <w:r w:rsidRPr="00EB1A55">
        <w:rPr>
          <w:rFonts w:ascii="Times New Roman" w:eastAsia="Times New Roman" w:hAnsi="Times New Roman" w:cs="Times New Roman"/>
          <w:sz w:val="16"/>
          <w:szCs w:val="16"/>
          <w:lang w:eastAsia="pt-BR"/>
        </w:rPr>
        <w:t xml:space="preserve">Investimento Externo líquido </w:t>
      </w:r>
      <w:r>
        <w:rPr>
          <w:rFonts w:ascii="Times New Roman" w:eastAsia="Times New Roman" w:hAnsi="Times New Roman" w:cs="Times New Roman"/>
          <w:sz w:val="16"/>
          <w:szCs w:val="16"/>
          <w:lang w:eastAsia="pt-BR"/>
        </w:rPr>
        <w:t xml:space="preserve">IEL </w:t>
      </w:r>
      <w:r w:rsidRPr="00EB1A55">
        <w:rPr>
          <w:rFonts w:ascii="Times New Roman" w:eastAsia="Times New Roman" w:hAnsi="Times New Roman" w:cs="Times New Roman"/>
          <w:sz w:val="16"/>
          <w:szCs w:val="16"/>
          <w:lang w:eastAsia="pt-BR"/>
        </w:rPr>
        <w:t>= ativos estrang. Comprados por brasileiros – ativos brasileiros comprados por estrangeiros</w:t>
      </w:r>
    </w:p>
    <w:p w14:paraId="5DE3B0B8" w14:textId="1A9985BE" w:rsidR="00EB1A55" w:rsidRPr="00EB1A55" w:rsidRDefault="00EB1A55" w:rsidP="00EB1A55">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Portanto: EL =</w:t>
      </w:r>
      <w:proofErr w:type="spellStart"/>
      <w:r>
        <w:rPr>
          <w:rFonts w:ascii="Times New Roman" w:eastAsia="Times New Roman" w:hAnsi="Times New Roman" w:cs="Times New Roman"/>
          <w:sz w:val="16"/>
          <w:szCs w:val="16"/>
          <w:lang w:eastAsia="pt-BR"/>
        </w:rPr>
        <w:t>mIEL</w:t>
      </w:r>
      <w:proofErr w:type="spellEnd"/>
    </w:p>
    <w:p w14:paraId="67C480A3" w14:textId="77777777" w:rsidR="00EB1A55" w:rsidRDefault="00EB1A55" w:rsidP="00EB1A55">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Vendo um programa de computador no </w:t>
      </w:r>
      <w:proofErr w:type="spellStart"/>
      <w:r>
        <w:rPr>
          <w:rFonts w:ascii="Times New Roman" w:eastAsia="Times New Roman" w:hAnsi="Times New Roman" w:cs="Times New Roman"/>
          <w:sz w:val="16"/>
          <w:szCs w:val="16"/>
          <w:lang w:eastAsia="pt-BR"/>
        </w:rPr>
        <w:t>japao</w:t>
      </w:r>
      <w:proofErr w:type="spellEnd"/>
      <w:r>
        <w:rPr>
          <w:rFonts w:ascii="Times New Roman" w:eastAsia="Times New Roman" w:hAnsi="Times New Roman" w:cs="Times New Roman"/>
          <w:sz w:val="16"/>
          <w:szCs w:val="16"/>
          <w:lang w:eastAsia="pt-BR"/>
        </w:rPr>
        <w:t xml:space="preserve"> por 10 mil ienes</w:t>
      </w:r>
    </w:p>
    <w:p w14:paraId="052E7055" w14:textId="558ABC45" w:rsidR="00EB1A55" w:rsidRDefault="00EB1A55" w:rsidP="00EB1A55">
      <w:pPr>
        <w:spacing w:after="0" w:line="240" w:lineRule="auto"/>
        <w:rPr>
          <w:rFonts w:ascii="Times New Roman" w:eastAsia="Times New Roman" w:hAnsi="Times New Roman" w:cs="Times New Roman"/>
          <w:sz w:val="16"/>
          <w:szCs w:val="16"/>
          <w:lang w:eastAsia="pt-BR"/>
        </w:rPr>
      </w:pPr>
      <w:r w:rsidRPr="00EB1A55">
        <w:rPr>
          <w:rFonts w:ascii="Times New Roman" w:eastAsia="Times New Roman" w:hAnsi="Times New Roman" w:cs="Times New Roman"/>
          <w:sz w:val="16"/>
          <w:szCs w:val="16"/>
          <w:lang w:eastAsia="pt-BR"/>
        </w:rPr>
        <w:t xml:space="preserve"> </w:t>
      </w:r>
      <w:r>
        <w:rPr>
          <w:rFonts w:ascii="Times New Roman" w:eastAsia="Times New Roman" w:hAnsi="Times New Roman" w:cs="Times New Roman"/>
          <w:sz w:val="16"/>
          <w:szCs w:val="16"/>
          <w:lang w:eastAsia="pt-BR"/>
        </w:rPr>
        <w:t xml:space="preserve">Exportação do </w:t>
      </w:r>
      <w:proofErr w:type="spellStart"/>
      <w:r>
        <w:rPr>
          <w:rFonts w:ascii="Times New Roman" w:eastAsia="Times New Roman" w:hAnsi="Times New Roman" w:cs="Times New Roman"/>
          <w:sz w:val="16"/>
          <w:szCs w:val="16"/>
          <w:lang w:eastAsia="pt-BR"/>
        </w:rPr>
        <w:t>Brasi</w:t>
      </w:r>
      <w:proofErr w:type="spellEnd"/>
      <w:r>
        <w:rPr>
          <w:rFonts w:ascii="Times New Roman" w:eastAsia="Times New Roman" w:hAnsi="Times New Roman" w:cs="Times New Roman"/>
          <w:sz w:val="16"/>
          <w:szCs w:val="16"/>
          <w:lang w:eastAsia="pt-BR"/>
        </w:rPr>
        <w:tab/>
      </w:r>
      <w:r>
        <w:rPr>
          <w:rFonts w:ascii="Times New Roman" w:eastAsia="Times New Roman" w:hAnsi="Times New Roman" w:cs="Times New Roman"/>
          <w:sz w:val="16"/>
          <w:szCs w:val="16"/>
          <w:lang w:eastAsia="pt-BR"/>
        </w:rPr>
        <w:tab/>
      </w:r>
      <w:r>
        <w:rPr>
          <w:rFonts w:ascii="Times New Roman" w:eastAsia="Times New Roman" w:hAnsi="Times New Roman" w:cs="Times New Roman"/>
          <w:sz w:val="16"/>
          <w:szCs w:val="16"/>
          <w:lang w:eastAsia="pt-BR"/>
        </w:rPr>
        <w:tab/>
        <w:t xml:space="preserve">importação do </w:t>
      </w:r>
      <w:proofErr w:type="spellStart"/>
      <w:r>
        <w:rPr>
          <w:rFonts w:ascii="Times New Roman" w:eastAsia="Times New Roman" w:hAnsi="Times New Roman" w:cs="Times New Roman"/>
          <w:sz w:val="16"/>
          <w:szCs w:val="16"/>
          <w:lang w:eastAsia="pt-BR"/>
        </w:rPr>
        <w:t>Japao</w:t>
      </w:r>
      <w:proofErr w:type="spellEnd"/>
    </w:p>
    <w:p w14:paraId="46659495" w14:textId="6E32D917" w:rsidR="00EB1A55" w:rsidRDefault="00EB1A55" w:rsidP="00EB1A55">
      <w:pPr>
        <w:pStyle w:val="ListParagraph"/>
        <w:numPr>
          <w:ilvl w:val="0"/>
          <w:numId w:val="1"/>
        </w:num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Coloco os 10 mil ienes no colchão – investindo em ienes</w:t>
      </w:r>
      <w:r w:rsidR="00474CD4">
        <w:rPr>
          <w:rFonts w:ascii="Times New Roman" w:eastAsia="Times New Roman" w:hAnsi="Times New Roman" w:cs="Times New Roman"/>
          <w:sz w:val="16"/>
          <w:szCs w:val="16"/>
          <w:lang w:eastAsia="pt-BR"/>
        </w:rPr>
        <w:t xml:space="preserve"> – IEL = 10 mil ienes</w:t>
      </w:r>
    </w:p>
    <w:p w14:paraId="69492532" w14:textId="77777777" w:rsidR="00474CD4" w:rsidRDefault="00474CD4" w:rsidP="00EB1A55">
      <w:pPr>
        <w:pStyle w:val="ListParagraph"/>
        <w:numPr>
          <w:ilvl w:val="0"/>
          <w:numId w:val="1"/>
        </w:num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Compro com os 10 mil ienes </w:t>
      </w:r>
      <w:proofErr w:type="spellStart"/>
      <w:r>
        <w:rPr>
          <w:rFonts w:ascii="Times New Roman" w:eastAsia="Times New Roman" w:hAnsi="Times New Roman" w:cs="Times New Roman"/>
          <w:sz w:val="16"/>
          <w:szCs w:val="16"/>
          <w:lang w:eastAsia="pt-BR"/>
        </w:rPr>
        <w:t>acoes</w:t>
      </w:r>
      <w:proofErr w:type="spellEnd"/>
      <w:r>
        <w:rPr>
          <w:rFonts w:ascii="Times New Roman" w:eastAsia="Times New Roman" w:hAnsi="Times New Roman" w:cs="Times New Roman"/>
          <w:sz w:val="16"/>
          <w:szCs w:val="16"/>
          <w:lang w:eastAsia="pt-BR"/>
        </w:rPr>
        <w:t xml:space="preserve"> da Toyota – IEL = 10 mil ienes</w:t>
      </w:r>
    </w:p>
    <w:p w14:paraId="448D808F" w14:textId="03612FC5" w:rsidR="00474CD4" w:rsidRPr="00474CD4" w:rsidRDefault="00474CD4" w:rsidP="00474CD4">
      <w:pPr>
        <w:pStyle w:val="ListParagraph"/>
        <w:numPr>
          <w:ilvl w:val="0"/>
          <w:numId w:val="1"/>
        </w:num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Vu ao BB e compro R$ com os 10 mil ienes. O BB vende os ienes para alguém comprar um game no </w:t>
      </w:r>
      <w:proofErr w:type="spellStart"/>
      <w:r>
        <w:rPr>
          <w:rFonts w:ascii="Times New Roman" w:eastAsia="Times New Roman" w:hAnsi="Times New Roman" w:cs="Times New Roman"/>
          <w:sz w:val="16"/>
          <w:szCs w:val="16"/>
          <w:lang w:eastAsia="pt-BR"/>
        </w:rPr>
        <w:t>Japao</w:t>
      </w:r>
      <w:proofErr w:type="spellEnd"/>
      <w:r>
        <w:rPr>
          <w:rFonts w:ascii="Times New Roman" w:eastAsia="Times New Roman" w:hAnsi="Times New Roman" w:cs="Times New Roman"/>
          <w:sz w:val="16"/>
          <w:szCs w:val="16"/>
          <w:lang w:eastAsia="pt-BR"/>
        </w:rPr>
        <w:t xml:space="preserve"> – equilibrou.</w:t>
      </w:r>
      <w:r w:rsidR="00020949">
        <w:rPr>
          <w:rFonts w:ascii="Times New Roman" w:eastAsia="Times New Roman" w:hAnsi="Times New Roman" w:cs="Times New Roman"/>
          <w:sz w:val="16"/>
          <w:szCs w:val="16"/>
          <w:lang w:eastAsia="pt-BR"/>
        </w:rPr>
        <w:t xml:space="preserve"> EL = 0</w:t>
      </w:r>
    </w:p>
    <w:p w14:paraId="158A16B8" w14:textId="77777777" w:rsidR="007A7211" w:rsidRPr="00CA194B" w:rsidRDefault="007A7211" w:rsidP="007A7211">
      <w:pPr>
        <w:spacing w:after="0" w:line="240" w:lineRule="auto"/>
        <w:jc w:val="center"/>
        <w:rPr>
          <w:rFonts w:ascii="Times New Roman" w:eastAsia="Times New Roman" w:hAnsi="Times New Roman" w:cs="Times New Roman"/>
          <w:sz w:val="24"/>
          <w:szCs w:val="24"/>
          <w:lang w:eastAsia="pt-BR"/>
        </w:rPr>
      </w:pPr>
    </w:p>
    <w:p w14:paraId="6D965C72"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Assim, o investimento</w:t>
      </w:r>
      <w:r>
        <w:rPr>
          <w:rFonts w:ascii="Arial" w:eastAsia="Times New Roman" w:hAnsi="Arial" w:cs="Arial"/>
          <w:color w:val="000000"/>
          <w:lang w:eastAsia="pt-BR"/>
        </w:rPr>
        <w:t xml:space="preserve"> externo lí</w:t>
      </w:r>
      <w:r w:rsidRPr="00CA194B">
        <w:rPr>
          <w:rFonts w:ascii="Arial" w:eastAsia="Times New Roman" w:hAnsi="Arial" w:cs="Arial"/>
          <w:color w:val="000000"/>
          <w:lang w:eastAsia="pt-BR"/>
        </w:rPr>
        <w:t>quido representa a quantidade de moeda nacional ofertada para a compra de ativos e</w:t>
      </w:r>
      <w:r>
        <w:rPr>
          <w:rFonts w:ascii="Arial" w:eastAsia="Times New Roman" w:hAnsi="Arial" w:cs="Arial"/>
          <w:color w:val="000000"/>
          <w:lang w:eastAsia="pt-BR"/>
        </w:rPr>
        <w:t>strangeiros, e as exportações lí</w:t>
      </w:r>
      <w:r w:rsidRPr="00CA194B">
        <w:rPr>
          <w:rFonts w:ascii="Arial" w:eastAsia="Times New Roman" w:hAnsi="Arial" w:cs="Arial"/>
          <w:color w:val="000000"/>
          <w:lang w:eastAsia="pt-BR"/>
        </w:rPr>
        <w:t>quidas por sua vez, representa a quantia demandada de moeda nacional para a compra de exportações líquidas de bens e serviços provenientes desse país.</w:t>
      </w:r>
    </w:p>
    <w:p w14:paraId="3C6565D2"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w:t>
      </w:r>
      <w:r>
        <w:rPr>
          <w:rFonts w:ascii="Arial" w:eastAsia="Times New Roman" w:hAnsi="Arial" w:cs="Arial"/>
          <w:color w:val="000000"/>
          <w:lang w:eastAsia="pt-BR"/>
        </w:rPr>
        <w:t xml:space="preserve"> taxa de cambio real refere-se à</w:t>
      </w:r>
      <w:r w:rsidRPr="00CA194B">
        <w:rPr>
          <w:rFonts w:ascii="Arial" w:eastAsia="Times New Roman" w:hAnsi="Arial" w:cs="Arial"/>
          <w:color w:val="000000"/>
          <w:lang w:eastAsia="pt-BR"/>
        </w:rPr>
        <w:t xml:space="preserve"> relação entre os preços de bens internos e de bens estrangeiros, e que por sua vez determina o preço de equilíbrio no mercado de câmbio. Quando há uma apreciação da taxa de cambio, os bens nacionais tornam-se mais caros em relação aos bens estrangeiros, culminando com um aumento das importações e diminuição</w:t>
      </w:r>
      <w:bookmarkStart w:id="0" w:name="_GoBack"/>
      <w:bookmarkEnd w:id="0"/>
      <w:r w:rsidRPr="00CA194B">
        <w:rPr>
          <w:rFonts w:ascii="Arial" w:eastAsia="Times New Roman" w:hAnsi="Arial" w:cs="Arial"/>
          <w:color w:val="000000"/>
          <w:lang w:eastAsia="pt-BR"/>
        </w:rPr>
        <w:t xml:space="preserve"> de exportações por parte deste país. Dessa forma, a taxa de</w:t>
      </w:r>
      <w:r>
        <w:rPr>
          <w:rFonts w:ascii="Arial" w:eastAsia="Times New Roman" w:hAnsi="Arial" w:cs="Arial"/>
          <w:color w:val="000000"/>
          <w:lang w:eastAsia="pt-BR"/>
        </w:rPr>
        <w:t xml:space="preserve"> câ</w:t>
      </w:r>
      <w:r w:rsidRPr="00CA194B">
        <w:rPr>
          <w:rFonts w:ascii="Arial" w:eastAsia="Times New Roman" w:hAnsi="Arial" w:cs="Arial"/>
          <w:color w:val="000000"/>
          <w:lang w:eastAsia="pt-BR"/>
        </w:rPr>
        <w:t>mbio real tem papel determinante nas exportações liquidas.</w:t>
      </w:r>
    </w:p>
    <w:p w14:paraId="18FFEC0E"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2D0F827E" w14:textId="77777777" w:rsidR="00CA194B" w:rsidRDefault="0033626E" w:rsidP="006E54C1">
      <w:pPr>
        <w:spacing w:after="0" w:line="240" w:lineRule="auto"/>
        <w:jc w:val="center"/>
        <w:rPr>
          <w:rFonts w:ascii="Times New Roman" w:eastAsia="Times New Roman" w:hAnsi="Times New Roman" w:cs="Times New Roman"/>
          <w:sz w:val="24"/>
          <w:szCs w:val="24"/>
          <w:lang w:eastAsia="pt-BR"/>
        </w:rPr>
      </w:pPr>
      <w:r w:rsidRPr="0033626E">
        <w:rPr>
          <w:rFonts w:ascii="Times New Roman" w:eastAsia="Times New Roman" w:hAnsi="Times New Roman" w:cs="Times New Roman"/>
          <w:noProof/>
          <w:sz w:val="24"/>
          <w:szCs w:val="24"/>
          <w:lang w:val="en-US"/>
        </w:rPr>
        <w:drawing>
          <wp:inline distT="0" distB="0" distL="0" distR="0" wp14:anchorId="7775E9D1" wp14:editId="0197E227">
            <wp:extent cx="5612130" cy="3348990"/>
            <wp:effectExtent l="19050" t="0" r="26670" b="381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0DF876" w14:textId="77777777" w:rsidR="0033626E" w:rsidRPr="00CA194B" w:rsidRDefault="0033626E" w:rsidP="0033626E">
      <w:pPr>
        <w:spacing w:after="0" w:line="240" w:lineRule="auto"/>
        <w:jc w:val="center"/>
        <w:rPr>
          <w:rFonts w:ascii="Arial" w:eastAsia="Times New Roman" w:hAnsi="Arial" w:cs="Arial"/>
          <w:sz w:val="20"/>
          <w:szCs w:val="20"/>
          <w:lang w:eastAsia="pt-BR"/>
        </w:rPr>
      </w:pPr>
      <w:r w:rsidRPr="0033626E">
        <w:rPr>
          <w:rFonts w:ascii="Arial" w:eastAsia="Times New Roman" w:hAnsi="Arial" w:cs="Arial"/>
          <w:sz w:val="20"/>
          <w:szCs w:val="20"/>
          <w:lang w:eastAsia="pt-BR"/>
        </w:rPr>
        <w:t>Figura 2 – Diagrama de oferta e demanda de um mercado de câmbio de moeda estrangeira.</w:t>
      </w:r>
    </w:p>
    <w:p w14:paraId="7E0194CA"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1DB605FE"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 Figura 2 representa a situação explicada anteriormente. Através da figura, é possível perceber que a curva de oferta é vertical. Isso se deve ao fato de que a quantidade de oferta de moeda dest</w:t>
      </w:r>
      <w:r>
        <w:rPr>
          <w:rFonts w:ascii="Arial" w:eastAsia="Times New Roman" w:hAnsi="Arial" w:cs="Arial"/>
          <w:color w:val="000000"/>
          <w:lang w:eastAsia="pt-BR"/>
        </w:rPr>
        <w:t>inada ao investimento externo lí</w:t>
      </w:r>
      <w:r w:rsidRPr="00CA194B">
        <w:rPr>
          <w:rFonts w:ascii="Arial" w:eastAsia="Times New Roman" w:hAnsi="Arial" w:cs="Arial"/>
          <w:color w:val="000000"/>
          <w:lang w:eastAsia="pt-BR"/>
        </w:rPr>
        <w:t>quido ser independente da tax</w:t>
      </w:r>
      <w:r>
        <w:rPr>
          <w:rFonts w:ascii="Arial" w:eastAsia="Times New Roman" w:hAnsi="Arial" w:cs="Arial"/>
          <w:color w:val="000000"/>
          <w:lang w:eastAsia="pt-BR"/>
        </w:rPr>
        <w:t>a de câ</w:t>
      </w:r>
      <w:r w:rsidRPr="00CA194B">
        <w:rPr>
          <w:rFonts w:ascii="Arial" w:eastAsia="Times New Roman" w:hAnsi="Arial" w:cs="Arial"/>
          <w:color w:val="000000"/>
          <w:lang w:eastAsia="pt-BR"/>
        </w:rPr>
        <w:t>mbio real.</w:t>
      </w:r>
    </w:p>
    <w:p w14:paraId="6B109772"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Dessa forma, a taxa de cambio se ajusta para equilibrar oferta e demanda da moeda, podendo-se assim dizer que a taxa de cambio real de equilíbrio remete a quantidade de oferta demandada de moeda para a compra de exportações liquidas de be</w:t>
      </w:r>
      <w:r>
        <w:rPr>
          <w:rFonts w:ascii="Arial" w:eastAsia="Times New Roman" w:hAnsi="Arial" w:cs="Arial"/>
          <w:color w:val="000000"/>
          <w:lang w:eastAsia="pt-BR"/>
        </w:rPr>
        <w:t>ns e serviço</w:t>
      </w:r>
      <w:r w:rsidRPr="00CA194B">
        <w:rPr>
          <w:rFonts w:ascii="Arial" w:eastAsia="Times New Roman" w:hAnsi="Arial" w:cs="Arial"/>
          <w:color w:val="000000"/>
          <w:lang w:eastAsia="pt-BR"/>
        </w:rPr>
        <w:t>s do país, a qual é exatamente igual a quantidade de moeda ofertada para a compra de ativos no exterior.</w:t>
      </w:r>
    </w:p>
    <w:p w14:paraId="768ED6C3"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0D1FBD6"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92D96">
        <w:rPr>
          <w:rFonts w:ascii="Arial" w:eastAsia="Times New Roman" w:hAnsi="Arial" w:cs="Arial"/>
          <w:b/>
          <w:color w:val="000000"/>
          <w:lang w:eastAsia="pt-BR"/>
        </w:rPr>
        <w:t>Equilíbrio</w:t>
      </w:r>
      <w:r w:rsidRPr="00CA194B">
        <w:rPr>
          <w:rFonts w:ascii="Arial" w:eastAsia="Times New Roman" w:hAnsi="Arial" w:cs="Arial"/>
          <w:b/>
          <w:color w:val="000000"/>
          <w:lang w:eastAsia="pt-BR"/>
        </w:rPr>
        <w:t xml:space="preserve"> na economia aberta</w:t>
      </w:r>
    </w:p>
    <w:p w14:paraId="72B72A77"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77E4FC61"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92D96">
        <w:rPr>
          <w:rFonts w:ascii="Arial" w:eastAsia="Times New Roman" w:hAnsi="Arial" w:cs="Arial"/>
          <w:b/>
          <w:color w:val="000000"/>
          <w:lang w:eastAsia="pt-BR"/>
        </w:rPr>
        <w:t>Investimento externo líquido</w:t>
      </w:r>
      <w:r w:rsidRPr="00CA194B">
        <w:rPr>
          <w:rFonts w:ascii="Arial" w:eastAsia="Times New Roman" w:hAnsi="Arial" w:cs="Arial"/>
          <w:b/>
          <w:color w:val="000000"/>
          <w:lang w:eastAsia="pt-BR"/>
        </w:rPr>
        <w:t>: o elo entre os dois mercados</w:t>
      </w:r>
    </w:p>
    <w:p w14:paraId="26B31DD6"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p>
    <w:p w14:paraId="408C5350"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Analisan</w:t>
      </w:r>
      <w:r w:rsidR="007A7211">
        <w:rPr>
          <w:rFonts w:ascii="Arial" w:eastAsia="Times New Roman" w:hAnsi="Arial" w:cs="Arial"/>
          <w:color w:val="000000"/>
          <w:lang w:eastAsia="pt-BR"/>
        </w:rPr>
        <w:t>do-se as identidades (equações 1</w:t>
      </w:r>
      <w:r w:rsidRPr="00CA194B">
        <w:rPr>
          <w:rFonts w:ascii="Arial" w:eastAsia="Times New Roman" w:hAnsi="Arial" w:cs="Arial"/>
          <w:color w:val="000000"/>
          <w:lang w:eastAsia="pt-BR"/>
        </w:rPr>
        <w:t xml:space="preserve"> e </w:t>
      </w:r>
      <w:r w:rsidR="007A7211">
        <w:rPr>
          <w:rFonts w:ascii="Arial" w:eastAsia="Times New Roman" w:hAnsi="Arial" w:cs="Arial"/>
          <w:color w:val="000000"/>
          <w:lang w:eastAsia="pt-BR"/>
        </w:rPr>
        <w:t>2</w:t>
      </w:r>
      <w:r w:rsidRPr="00CA194B">
        <w:rPr>
          <w:rFonts w:ascii="Arial" w:eastAsia="Times New Roman" w:hAnsi="Arial" w:cs="Arial"/>
          <w:color w:val="000000"/>
          <w:lang w:eastAsia="pt-BR"/>
        </w:rPr>
        <w:t>) referentes aos mercados apresentados anteriormente, é possível perceber que o investimento externo l</w:t>
      </w:r>
      <w:r>
        <w:rPr>
          <w:rFonts w:ascii="Arial" w:eastAsia="Times New Roman" w:hAnsi="Arial" w:cs="Arial"/>
          <w:color w:val="000000"/>
          <w:lang w:eastAsia="pt-BR"/>
        </w:rPr>
        <w:t>í</w:t>
      </w:r>
      <w:r w:rsidRPr="00CA194B">
        <w:rPr>
          <w:rFonts w:ascii="Arial" w:eastAsia="Times New Roman" w:hAnsi="Arial" w:cs="Arial"/>
          <w:color w:val="000000"/>
          <w:lang w:eastAsia="pt-BR"/>
        </w:rPr>
        <w:t xml:space="preserve">quido é a variável que liga ambos os mercados. Dessa forma, uma pessoa que pretende realizar a compra de um ativo estrangeiro deverá financiar tal compra através de recursos obtidos no mercado de fundos de empréstimos. Já no âmbito do mercado de cambio, uma pessoa que </w:t>
      </w:r>
      <w:r w:rsidRPr="00CA194B">
        <w:rPr>
          <w:rFonts w:ascii="Arial" w:eastAsia="Times New Roman" w:hAnsi="Arial" w:cs="Arial"/>
          <w:color w:val="000000"/>
          <w:lang w:eastAsia="pt-BR"/>
        </w:rPr>
        <w:lastRenderedPageBreak/>
        <w:t>pretende comprar ativos em outro país deverá ofertar moeda nacional para que essa possa ser trocada pela moeda do país estrangeiro.</w:t>
      </w:r>
    </w:p>
    <w:p w14:paraId="62650338"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Como explicado anteriormente, a principal determinante do investimento externo liquido é a taxa de juros real. A figura 3 apresenta a relação entre a taxa de j</w:t>
      </w:r>
      <w:r>
        <w:rPr>
          <w:rFonts w:ascii="Arial" w:eastAsia="Times New Roman" w:hAnsi="Arial" w:cs="Arial"/>
          <w:color w:val="000000"/>
          <w:lang w:eastAsia="pt-BR"/>
        </w:rPr>
        <w:t>uros e o investimento externo lí</w:t>
      </w:r>
      <w:r w:rsidRPr="00CA194B">
        <w:rPr>
          <w:rFonts w:ascii="Arial" w:eastAsia="Times New Roman" w:hAnsi="Arial" w:cs="Arial"/>
          <w:color w:val="000000"/>
          <w:lang w:eastAsia="pt-BR"/>
        </w:rPr>
        <w:t>quido.</w:t>
      </w:r>
    </w:p>
    <w:p w14:paraId="58396F68"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2E73D07C" w14:textId="77777777" w:rsidR="00CA194B" w:rsidRDefault="0033626E" w:rsidP="0033626E">
      <w:pPr>
        <w:spacing w:after="0" w:line="240" w:lineRule="auto"/>
        <w:jc w:val="center"/>
        <w:rPr>
          <w:rFonts w:ascii="Times New Roman" w:eastAsia="Times New Roman" w:hAnsi="Times New Roman" w:cs="Times New Roman"/>
          <w:sz w:val="24"/>
          <w:szCs w:val="24"/>
          <w:lang w:eastAsia="pt-BR"/>
        </w:rPr>
      </w:pPr>
      <w:r w:rsidRPr="0033626E">
        <w:rPr>
          <w:rFonts w:ascii="Times New Roman" w:eastAsia="Times New Roman" w:hAnsi="Times New Roman" w:cs="Times New Roman"/>
          <w:noProof/>
          <w:sz w:val="24"/>
          <w:szCs w:val="24"/>
          <w:lang w:val="en-US"/>
        </w:rPr>
        <w:drawing>
          <wp:inline distT="0" distB="0" distL="0" distR="0" wp14:anchorId="3ACBA2F2" wp14:editId="31370145">
            <wp:extent cx="4991100" cy="3514725"/>
            <wp:effectExtent l="19050" t="0" r="19050"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11E783" w14:textId="77777777" w:rsidR="0033626E" w:rsidRPr="00CA194B" w:rsidRDefault="0033626E" w:rsidP="0033626E">
      <w:pPr>
        <w:spacing w:after="0" w:line="240" w:lineRule="auto"/>
        <w:jc w:val="center"/>
        <w:rPr>
          <w:rFonts w:ascii="Arial" w:eastAsia="Times New Roman" w:hAnsi="Arial" w:cs="Arial"/>
          <w:sz w:val="20"/>
          <w:szCs w:val="20"/>
          <w:lang w:eastAsia="pt-BR"/>
        </w:rPr>
      </w:pPr>
      <w:r w:rsidRPr="0033626E">
        <w:rPr>
          <w:rFonts w:ascii="Arial" w:eastAsia="Times New Roman" w:hAnsi="Arial" w:cs="Arial"/>
          <w:sz w:val="20"/>
          <w:szCs w:val="20"/>
          <w:lang w:eastAsia="pt-BR"/>
        </w:rPr>
        <w:t>Figura 3 – Diagrama de investimento externo líquido x taxa de juros real.</w:t>
      </w:r>
    </w:p>
    <w:p w14:paraId="45EB447C"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DAF3637"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92D96">
        <w:rPr>
          <w:rFonts w:ascii="Arial" w:eastAsia="Times New Roman" w:hAnsi="Arial" w:cs="Arial"/>
          <w:b/>
          <w:color w:val="000000"/>
          <w:lang w:eastAsia="pt-BR"/>
        </w:rPr>
        <w:t>Equilíbrio</w:t>
      </w:r>
      <w:r w:rsidRPr="00CA194B">
        <w:rPr>
          <w:rFonts w:ascii="Arial" w:eastAsia="Times New Roman" w:hAnsi="Arial" w:cs="Arial"/>
          <w:b/>
          <w:color w:val="000000"/>
          <w:lang w:eastAsia="pt-BR"/>
        </w:rPr>
        <w:t xml:space="preserve"> </w:t>
      </w:r>
      <w:r w:rsidRPr="00C92D96">
        <w:rPr>
          <w:rFonts w:ascii="Arial" w:eastAsia="Times New Roman" w:hAnsi="Arial" w:cs="Arial"/>
          <w:b/>
          <w:color w:val="000000"/>
          <w:lang w:eastAsia="pt-BR"/>
        </w:rPr>
        <w:t>simultâneo</w:t>
      </w:r>
      <w:r w:rsidRPr="00CA194B">
        <w:rPr>
          <w:rFonts w:ascii="Arial" w:eastAsia="Times New Roman" w:hAnsi="Arial" w:cs="Arial"/>
          <w:b/>
          <w:color w:val="000000"/>
          <w:lang w:eastAsia="pt-BR"/>
        </w:rPr>
        <w:t xml:space="preserve"> nos dois mercados</w:t>
      </w:r>
    </w:p>
    <w:p w14:paraId="75BFCEC5"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5A6C3FE5"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 xml:space="preserve">Reunindo todas as partes do modelo, é </w:t>
      </w:r>
      <w:r w:rsidR="007A7211" w:rsidRPr="00CA194B">
        <w:rPr>
          <w:rFonts w:ascii="Arial" w:eastAsia="Times New Roman" w:hAnsi="Arial" w:cs="Arial"/>
          <w:color w:val="000000"/>
          <w:lang w:eastAsia="pt-BR"/>
        </w:rPr>
        <w:t>possível</w:t>
      </w:r>
      <w:r w:rsidRPr="00CA194B">
        <w:rPr>
          <w:rFonts w:ascii="Arial" w:eastAsia="Times New Roman" w:hAnsi="Arial" w:cs="Arial"/>
          <w:color w:val="000000"/>
          <w:lang w:eastAsia="pt-BR"/>
        </w:rPr>
        <w:t xml:space="preserve"> analisar a interação entre os dois mercados. Dessa forma, pode-se avaliar como o mercado de fundos de empréstimos e o mercado de cambio determinam, de maneira conjunta, as principais variáveis macroeconômicas de uma economia aberta.</w:t>
      </w:r>
    </w:p>
    <w:p w14:paraId="05DC166D"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O painel (a) representa o mercado de fundos de empréstimos (retirado da Figura 1). Neste é possível observar que a taxa de juros real de equilíbrio (r1) indica as quantidades demandadas e ofertadas de fundos de empréstimos no equilíbrio.</w:t>
      </w:r>
    </w:p>
    <w:p w14:paraId="67550C17"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Já no painel (b), está representado o investimento externo liquido (tirado da Figura 3). Assim, pode-se perceber como a taxa de juros (r1) do painel (a) determina o investimento externo liquido.</w:t>
      </w:r>
    </w:p>
    <w:p w14:paraId="44BDCCE9"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Além disso, o painel (c) mostra o mercado de cambio de moeda estrangeira (extraída da Figura 2), nele é possível observar que a oferta da moeda nacional destinada a troca por moedas estrangeiras é determinada pela quantidade de investimento externo liquido do painel (b), já que os ativos estrangeiros devem ser comprados com moeda estrangeira. Assim, a taxa de cambio real de equilíbrio (E1) indica as quantidades ofertadas e demandadas de moeda nacional no mercado de cambio na situação de equilíbrio.</w:t>
      </w:r>
    </w:p>
    <w:p w14:paraId="406AD877" w14:textId="77777777" w:rsidR="00CA194B" w:rsidRDefault="00CA194B" w:rsidP="00C92D96">
      <w:pPr>
        <w:spacing w:after="0" w:line="240" w:lineRule="auto"/>
        <w:ind w:firstLine="708"/>
        <w:rPr>
          <w:rFonts w:ascii="Arial" w:eastAsia="Times New Roman" w:hAnsi="Arial" w:cs="Arial"/>
          <w:color w:val="000000"/>
          <w:lang w:eastAsia="pt-BR"/>
        </w:rPr>
      </w:pPr>
      <w:r w:rsidRPr="00CA194B">
        <w:rPr>
          <w:rFonts w:ascii="Arial" w:eastAsia="Times New Roman" w:hAnsi="Arial" w:cs="Arial"/>
          <w:color w:val="000000"/>
          <w:lang w:eastAsia="pt-BR"/>
        </w:rPr>
        <w:t>Após a analise desses 3 painéis</w:t>
      </w:r>
      <w:r w:rsidR="006E54C1">
        <w:rPr>
          <w:rFonts w:ascii="Arial" w:eastAsia="Times New Roman" w:hAnsi="Arial" w:cs="Arial"/>
          <w:color w:val="000000"/>
          <w:lang w:eastAsia="pt-BR"/>
        </w:rPr>
        <w:t xml:space="preserve"> (Figura 4)</w:t>
      </w:r>
      <w:r w:rsidRPr="00CA194B">
        <w:rPr>
          <w:rFonts w:ascii="Arial" w:eastAsia="Times New Roman" w:hAnsi="Arial" w:cs="Arial"/>
          <w:color w:val="000000"/>
          <w:lang w:eastAsia="pt-BR"/>
        </w:rPr>
        <w:t xml:space="preserve">, pode-se observar que estes determinam dois preços relativos: a taxa de juros real e a taxa de cambio real. A taxa de juros real indicada no painel (a) representa o preço de bens e serviços no presente em relação ao futuro. Já a taxa de cambio real indicada no painel (c) representa o preço de bens e serviços em relação aos preços estrangeiros. Ambos os preços se ajustam simultaneamente para que se obtenha o equilíbrio entre oferta e demanda nesses dois mercados. Dessa forma, </w:t>
      </w:r>
      <w:r w:rsidRPr="00CA194B">
        <w:rPr>
          <w:rFonts w:ascii="Arial" w:eastAsia="Times New Roman" w:hAnsi="Arial" w:cs="Arial"/>
          <w:color w:val="000000"/>
          <w:lang w:eastAsia="pt-BR"/>
        </w:rPr>
        <w:lastRenderedPageBreak/>
        <w:t>estes preços são capazes de determinar a poupança nacional, o investimento interno, as exportações</w:t>
      </w:r>
      <w:r>
        <w:rPr>
          <w:rFonts w:ascii="Arial" w:eastAsia="Times New Roman" w:hAnsi="Arial" w:cs="Arial"/>
          <w:color w:val="000000"/>
          <w:lang w:eastAsia="pt-BR"/>
        </w:rPr>
        <w:t xml:space="preserve"> lí</w:t>
      </w:r>
      <w:r w:rsidRPr="00CA194B">
        <w:rPr>
          <w:rFonts w:ascii="Arial" w:eastAsia="Times New Roman" w:hAnsi="Arial" w:cs="Arial"/>
          <w:color w:val="000000"/>
          <w:lang w:eastAsia="pt-BR"/>
        </w:rPr>
        <w:t>qu</w:t>
      </w:r>
      <w:r>
        <w:rPr>
          <w:rFonts w:ascii="Arial" w:eastAsia="Times New Roman" w:hAnsi="Arial" w:cs="Arial"/>
          <w:color w:val="000000"/>
          <w:lang w:eastAsia="pt-BR"/>
        </w:rPr>
        <w:t>idas e o investimento externo lí</w:t>
      </w:r>
      <w:r w:rsidRPr="00CA194B">
        <w:rPr>
          <w:rFonts w:ascii="Arial" w:eastAsia="Times New Roman" w:hAnsi="Arial" w:cs="Arial"/>
          <w:color w:val="000000"/>
          <w:lang w:eastAsia="pt-BR"/>
        </w:rPr>
        <w:t>quido.</w:t>
      </w:r>
    </w:p>
    <w:p w14:paraId="5DFF348E" w14:textId="77777777" w:rsidR="001F56C7" w:rsidRDefault="001F56C7" w:rsidP="00C92D96">
      <w:pPr>
        <w:spacing w:after="0" w:line="240" w:lineRule="auto"/>
        <w:ind w:firstLine="708"/>
        <w:rPr>
          <w:rFonts w:ascii="Arial" w:eastAsia="Times New Roman" w:hAnsi="Arial" w:cs="Arial"/>
          <w:color w:val="000000"/>
          <w:lang w:eastAsia="pt-BR"/>
        </w:rPr>
      </w:pPr>
    </w:p>
    <w:p w14:paraId="229017EF" w14:textId="77777777" w:rsidR="001F56C7" w:rsidRPr="00CA194B" w:rsidRDefault="001F56C7" w:rsidP="001F56C7">
      <w:pPr>
        <w:spacing w:after="0" w:line="240" w:lineRule="auto"/>
        <w:ind w:firstLine="708"/>
        <w:jc w:val="center"/>
        <w:rPr>
          <w:rFonts w:ascii="Times New Roman" w:eastAsia="Times New Roman" w:hAnsi="Times New Roman" w:cs="Times New Roman"/>
          <w:sz w:val="24"/>
          <w:szCs w:val="24"/>
          <w:lang w:eastAsia="pt-BR"/>
        </w:rPr>
      </w:pPr>
    </w:p>
    <w:p w14:paraId="0CF2F854"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02D7373" w14:textId="77777777" w:rsidR="001F56C7" w:rsidRDefault="001F56C7" w:rsidP="00CA194B">
      <w:pPr>
        <w:spacing w:after="0" w:line="240" w:lineRule="auto"/>
        <w:rPr>
          <w:rFonts w:ascii="Arial" w:eastAsia="Times New Roman" w:hAnsi="Arial" w:cs="Arial"/>
          <w:b/>
          <w:color w:val="000000"/>
          <w:lang w:eastAsia="pt-BR"/>
        </w:rPr>
      </w:pPr>
    </w:p>
    <w:p w14:paraId="4AB2E0D0" w14:textId="77777777" w:rsidR="001F56C7" w:rsidRDefault="001F56C7" w:rsidP="00CA194B">
      <w:pPr>
        <w:spacing w:after="0" w:line="240" w:lineRule="auto"/>
        <w:rPr>
          <w:rFonts w:ascii="Arial" w:eastAsia="Times New Roman" w:hAnsi="Arial" w:cs="Arial"/>
          <w:b/>
          <w:color w:val="000000"/>
          <w:lang w:eastAsia="pt-BR"/>
        </w:rPr>
      </w:pPr>
    </w:p>
    <w:p w14:paraId="4B6763D4"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A194B">
        <w:rPr>
          <w:rFonts w:ascii="Arial" w:eastAsia="Times New Roman" w:hAnsi="Arial" w:cs="Arial"/>
          <w:b/>
          <w:color w:val="000000"/>
          <w:lang w:eastAsia="pt-BR"/>
        </w:rPr>
        <w:t xml:space="preserve">Como </w:t>
      </w:r>
      <w:r w:rsidRPr="00C92D96">
        <w:rPr>
          <w:rFonts w:ascii="Arial" w:eastAsia="Times New Roman" w:hAnsi="Arial" w:cs="Arial"/>
          <w:b/>
          <w:color w:val="000000"/>
          <w:lang w:eastAsia="pt-BR"/>
        </w:rPr>
        <w:t>políticas</w:t>
      </w:r>
      <w:r w:rsidRPr="00CA194B">
        <w:rPr>
          <w:rFonts w:ascii="Arial" w:eastAsia="Times New Roman" w:hAnsi="Arial" w:cs="Arial"/>
          <w:b/>
          <w:color w:val="000000"/>
          <w:lang w:eastAsia="pt-BR"/>
        </w:rPr>
        <w:t xml:space="preserve"> e eventos afetam uma economia aberta</w:t>
      </w:r>
    </w:p>
    <w:p w14:paraId="586D94CE"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p>
    <w:p w14:paraId="7EF2860A"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92D96">
        <w:rPr>
          <w:rFonts w:ascii="Arial" w:eastAsia="Times New Roman" w:hAnsi="Arial" w:cs="Arial"/>
          <w:b/>
          <w:color w:val="000000"/>
          <w:lang w:eastAsia="pt-BR"/>
        </w:rPr>
        <w:t>Déficits orçamentários</w:t>
      </w:r>
      <w:r w:rsidRPr="00CA194B">
        <w:rPr>
          <w:rFonts w:ascii="Arial" w:eastAsia="Times New Roman" w:hAnsi="Arial" w:cs="Arial"/>
          <w:b/>
          <w:color w:val="000000"/>
          <w:lang w:eastAsia="pt-BR"/>
        </w:rPr>
        <w:t xml:space="preserve"> do governo</w:t>
      </w:r>
    </w:p>
    <w:p w14:paraId="390D1A5B"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46B8DE1D"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Assim como em uma economia fechada, um déficit orçamentário em uma economia aberta representará uma poupança publica negativa, reduzindo a poupança nacional (a soma da poupança publica e privada) e, consequentemente, acarretará em um deslocamento da curva de fundos de empréstimos para a esquerda, com</w:t>
      </w:r>
      <w:r w:rsidR="006E54C1">
        <w:rPr>
          <w:rFonts w:ascii="Arial" w:eastAsia="Times New Roman" w:hAnsi="Arial" w:cs="Arial"/>
          <w:color w:val="000000"/>
          <w:lang w:eastAsia="pt-BR"/>
        </w:rPr>
        <w:t>o pode ser observado no painel (a) da Figura 5</w:t>
      </w:r>
      <w:r w:rsidRPr="00CA194B">
        <w:rPr>
          <w:rFonts w:ascii="Arial" w:eastAsia="Times New Roman" w:hAnsi="Arial" w:cs="Arial"/>
          <w:color w:val="000000"/>
          <w:lang w:eastAsia="pt-BR"/>
        </w:rPr>
        <w:t xml:space="preserve"> (deslocamento de O1 para O2). Assim, a fim de equilibrar oferta e demanda, a taxa de juros se eleva de r1 para r2, devido ao fato de haverem menos recursos disponíveis para os tomadores financeiros. Além disso, as compras de bens de capital são reduzidas por parte das famílias</w:t>
      </w:r>
      <w:r w:rsidR="006E54C1">
        <w:rPr>
          <w:rFonts w:ascii="Arial" w:eastAsia="Times New Roman" w:hAnsi="Arial" w:cs="Arial"/>
          <w:color w:val="000000"/>
          <w:lang w:eastAsia="pt-BR"/>
        </w:rPr>
        <w:t xml:space="preserve"> e empresas, deslocando o</w:t>
      </w:r>
      <w:r w:rsidRPr="00CA194B">
        <w:rPr>
          <w:rFonts w:ascii="Arial" w:eastAsia="Times New Roman" w:hAnsi="Arial" w:cs="Arial"/>
          <w:color w:val="000000"/>
          <w:lang w:eastAsia="pt-BR"/>
        </w:rPr>
        <w:t> investimento interno.</w:t>
      </w:r>
    </w:p>
    <w:p w14:paraId="3D2DDC32"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236545F4"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Uma vez que a poupança interna obtém taxas de retorno mais elevadas, o investimento em países estrangeiros passa a ser menos atrativo. Por outro lado, a elevação nas taxas atraem investidores estrangeiros, os quais desejam obter maiores retornos. Desse mod</w:t>
      </w:r>
      <w:r w:rsidR="006E54C1">
        <w:rPr>
          <w:rFonts w:ascii="Arial" w:eastAsia="Times New Roman" w:hAnsi="Arial" w:cs="Arial"/>
          <w:color w:val="000000"/>
          <w:lang w:eastAsia="pt-BR"/>
        </w:rPr>
        <w:t>o, no painel (b)</w:t>
      </w:r>
      <w:r w:rsidRPr="00CA194B">
        <w:rPr>
          <w:rFonts w:ascii="Arial" w:eastAsia="Times New Roman" w:hAnsi="Arial" w:cs="Arial"/>
          <w:color w:val="000000"/>
          <w:lang w:eastAsia="pt-BR"/>
        </w:rPr>
        <w:t>, é possível observar que em uma economia aberta, o aumento da taxa de juros</w:t>
      </w:r>
      <w:r>
        <w:rPr>
          <w:rFonts w:ascii="Arial" w:eastAsia="Times New Roman" w:hAnsi="Arial" w:cs="Arial"/>
          <w:color w:val="000000"/>
          <w:lang w:eastAsia="pt-BR"/>
        </w:rPr>
        <w:t xml:space="preserve"> reduz o investimento externo lí</w:t>
      </w:r>
      <w:r w:rsidRPr="00CA194B">
        <w:rPr>
          <w:rFonts w:ascii="Arial" w:eastAsia="Times New Roman" w:hAnsi="Arial" w:cs="Arial"/>
          <w:color w:val="000000"/>
          <w:lang w:eastAsia="pt-BR"/>
        </w:rPr>
        <w:t>quido.</w:t>
      </w:r>
    </w:p>
    <w:p w14:paraId="7F3968AB"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 xml:space="preserve">Consequentemente, com a redução do investimento externo liquido, será necessária uma menor quantia de moeda estrangeira para a compra de artigos </w:t>
      </w:r>
      <w:r>
        <w:rPr>
          <w:rFonts w:ascii="Arial" w:eastAsia="Times New Roman" w:hAnsi="Arial" w:cs="Arial"/>
          <w:color w:val="000000"/>
          <w:lang w:eastAsia="pt-BR"/>
        </w:rPr>
        <w:t>estrangeiros, acarretando em um</w:t>
      </w:r>
      <w:r w:rsidRPr="00CA194B">
        <w:rPr>
          <w:rFonts w:ascii="Arial" w:eastAsia="Times New Roman" w:hAnsi="Arial" w:cs="Arial"/>
          <w:color w:val="000000"/>
          <w:lang w:eastAsia="pt-BR"/>
        </w:rPr>
        <w:t xml:space="preserve"> deslocamento da curva de oferta de moeda nacional para a esquerda, de O1 par</w:t>
      </w:r>
      <w:r w:rsidR="006E54C1">
        <w:rPr>
          <w:rFonts w:ascii="Arial" w:eastAsia="Times New Roman" w:hAnsi="Arial" w:cs="Arial"/>
          <w:color w:val="000000"/>
          <w:lang w:eastAsia="pt-BR"/>
        </w:rPr>
        <w:t>a O2, como observado no painel (c)</w:t>
      </w:r>
      <w:r w:rsidRPr="00CA194B">
        <w:rPr>
          <w:rFonts w:ascii="Arial" w:eastAsia="Times New Roman" w:hAnsi="Arial" w:cs="Arial"/>
          <w:color w:val="000000"/>
          <w:lang w:eastAsia="pt-BR"/>
        </w:rPr>
        <w:t>. Tal redução da oferta gera uma apreciação na taxa de cambio de E1 para E2, valorizando a moeda nacional em relação às moedas estrangeiras. Dessa maneira, os bens nacionais se tornam mais caros em comparação com os estrangeiros, diminuindo as exportações e aumentando as importações e, consequentemente, diminuindo as exportações liquidas.</w:t>
      </w:r>
    </w:p>
    <w:p w14:paraId="58716FD1"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12DB7CF8"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92D96">
        <w:rPr>
          <w:rFonts w:ascii="Arial" w:eastAsia="Times New Roman" w:hAnsi="Arial" w:cs="Arial"/>
          <w:b/>
          <w:color w:val="000000"/>
          <w:lang w:eastAsia="pt-BR"/>
        </w:rPr>
        <w:t>Política</w:t>
      </w:r>
      <w:r w:rsidRPr="00CA194B">
        <w:rPr>
          <w:rFonts w:ascii="Arial" w:eastAsia="Times New Roman" w:hAnsi="Arial" w:cs="Arial"/>
          <w:b/>
          <w:color w:val="000000"/>
          <w:lang w:eastAsia="pt-BR"/>
        </w:rPr>
        <w:t xml:space="preserve"> comercial </w:t>
      </w:r>
    </w:p>
    <w:p w14:paraId="0955F9FC"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4263DB64"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 xml:space="preserve">Política comercial é definida pela política do governo capaz de definir a quantia de bens e serviços importados e exportados por um país. Duas políticas comerciais comuns são a tarifa e a cota de importação, ou seja, o imposto cobrado </w:t>
      </w:r>
      <w:r w:rsidR="006E54C1" w:rsidRPr="00CA194B">
        <w:rPr>
          <w:rFonts w:ascii="Arial" w:eastAsia="Times New Roman" w:hAnsi="Arial" w:cs="Arial"/>
          <w:color w:val="000000"/>
          <w:lang w:eastAsia="pt-BR"/>
        </w:rPr>
        <w:t>pelos bens</w:t>
      </w:r>
      <w:r w:rsidRPr="00CA194B">
        <w:rPr>
          <w:rFonts w:ascii="Arial" w:eastAsia="Times New Roman" w:hAnsi="Arial" w:cs="Arial"/>
          <w:color w:val="000000"/>
          <w:lang w:eastAsia="pt-BR"/>
        </w:rPr>
        <w:t xml:space="preserve"> importados e o limite sobre a quantia de um bem produzido no exterior e vendido internamente, respectivamente.</w:t>
      </w:r>
    </w:p>
    <w:p w14:paraId="0BE45091"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Avaliando-se os efeitos da política comercial sobre a economia aberta, é possível observa que a restrição de importações aumenta as exportações liquidas para qualquer taxa de cambio real. Dessa maneira, há um aumento na demanda por moeda nacional por parte dos estrangeiros, ocasionando em um des</w:t>
      </w:r>
      <w:r w:rsidR="006E54C1">
        <w:rPr>
          <w:rFonts w:ascii="Arial" w:eastAsia="Times New Roman" w:hAnsi="Arial" w:cs="Arial"/>
          <w:color w:val="000000"/>
          <w:lang w:eastAsia="pt-BR"/>
        </w:rPr>
        <w:t>locamento de D1 para D2, observado no painel (c) da Figura 6.</w:t>
      </w:r>
    </w:p>
    <w:p w14:paraId="50F377DB" w14:textId="77777777" w:rsidR="00CA194B" w:rsidRPr="00CA194B" w:rsidRDefault="006E54C1" w:rsidP="00C92D96">
      <w:pPr>
        <w:spacing w:after="0" w:line="240" w:lineRule="auto"/>
        <w:ind w:firstLine="708"/>
        <w:rPr>
          <w:rFonts w:ascii="Times New Roman" w:eastAsia="Times New Roman" w:hAnsi="Times New Roman" w:cs="Times New Roman"/>
          <w:sz w:val="24"/>
          <w:szCs w:val="24"/>
          <w:lang w:eastAsia="pt-BR"/>
        </w:rPr>
      </w:pPr>
      <w:r>
        <w:rPr>
          <w:rFonts w:ascii="Arial" w:eastAsia="Times New Roman" w:hAnsi="Arial" w:cs="Arial"/>
          <w:color w:val="000000"/>
          <w:lang w:eastAsia="pt-BR"/>
        </w:rPr>
        <w:t>Também no painel (c)</w:t>
      </w:r>
      <w:r w:rsidR="00CA194B" w:rsidRPr="00CA194B">
        <w:rPr>
          <w:rFonts w:ascii="Arial" w:eastAsia="Times New Roman" w:hAnsi="Arial" w:cs="Arial"/>
          <w:color w:val="000000"/>
          <w:lang w:eastAsia="pt-BR"/>
        </w:rPr>
        <w:t xml:space="preserve">, pode-se perceber que o aumento da demanda por moeda nacional gera uma apreciação da taxa de cambio de E1 para E2. No entanto, como o mercado de fundos de empréstimos permaneceu inalterado, não há alteração na taxa de juros real. Dessa forma, não há alteração no investimento externo liquido e, consequentemente, não podem ocorrer mudanças nas exportações liquidas, mesmo havendo uma redução nas importações. Tal fato pode ser explicado através da variação da </w:t>
      </w:r>
      <w:r w:rsidR="00CA194B" w:rsidRPr="00CA194B">
        <w:rPr>
          <w:rFonts w:ascii="Arial" w:eastAsia="Times New Roman" w:hAnsi="Arial" w:cs="Arial"/>
          <w:color w:val="000000"/>
          <w:lang w:eastAsia="pt-BR"/>
        </w:rPr>
        <w:lastRenderedPageBreak/>
        <w:t>taxa de cambio, já que uma apreciação na taxa de câmbio estimula as importações e desestimula as exportações.</w:t>
      </w:r>
    </w:p>
    <w:p w14:paraId="2749FAB4" w14:textId="77777777" w:rsidR="00CA194B" w:rsidRDefault="00CA194B" w:rsidP="00C92D96">
      <w:pPr>
        <w:spacing w:after="0" w:line="240" w:lineRule="auto"/>
        <w:ind w:firstLine="708"/>
        <w:rPr>
          <w:rFonts w:ascii="Arial" w:eastAsia="Times New Roman" w:hAnsi="Arial" w:cs="Arial"/>
          <w:color w:val="000000"/>
          <w:lang w:eastAsia="pt-BR"/>
        </w:rPr>
      </w:pPr>
      <w:r w:rsidRPr="00CA194B">
        <w:rPr>
          <w:rFonts w:ascii="Arial" w:eastAsia="Times New Roman" w:hAnsi="Arial" w:cs="Arial"/>
          <w:color w:val="000000"/>
          <w:lang w:eastAsia="pt-BR"/>
        </w:rPr>
        <w:t>Recordando-se da identidade contábil:</w:t>
      </w:r>
    </w:p>
    <w:p w14:paraId="5C23A5AE" w14:textId="77777777" w:rsidR="007A7211" w:rsidRPr="00CA194B" w:rsidRDefault="007A7211" w:rsidP="00C92D96">
      <w:pPr>
        <w:spacing w:after="0" w:line="240" w:lineRule="auto"/>
        <w:ind w:firstLine="708"/>
        <w:rPr>
          <w:rFonts w:ascii="Times New Roman" w:eastAsia="Times New Roman" w:hAnsi="Times New Roman" w:cs="Times New Roman"/>
          <w:sz w:val="24"/>
          <w:szCs w:val="24"/>
          <w:lang w:eastAsia="pt-BR"/>
        </w:rPr>
      </w:pPr>
    </w:p>
    <w:p w14:paraId="5E97D954" w14:textId="77777777" w:rsidR="00CA194B" w:rsidRDefault="007A7211" w:rsidP="007A7211">
      <w:pPr>
        <w:spacing w:after="0" w:line="240" w:lineRule="auto"/>
        <w:jc w:val="center"/>
        <w:rPr>
          <w:rFonts w:ascii="Times New Roman" w:eastAsia="Times New Roman" w:hAnsi="Times New Roman" w:cs="Times New Roman"/>
          <w:color w:val="000000"/>
          <w:lang w:eastAsia="pt-BR"/>
        </w:rPr>
      </w:pPr>
      <m:oMath>
        <m:r>
          <w:rPr>
            <w:rFonts w:ascii="Cambria Math" w:eastAsia="Times New Roman" w:hAnsi="Cambria Math" w:cs="Arial"/>
            <w:color w:val="000000"/>
            <w:lang w:eastAsia="pt-BR"/>
          </w:rPr>
          <m:t>EL=IEL=S-I</m:t>
        </m:r>
      </m:oMath>
      <w:r>
        <w:rPr>
          <w:rFonts w:ascii="Times New Roman" w:eastAsia="Times New Roman" w:hAnsi="Times New Roman" w:cs="Times New Roman"/>
          <w:color w:val="000000"/>
          <w:lang w:eastAsia="pt-BR"/>
        </w:rPr>
        <w:t xml:space="preserve">        (3)</w:t>
      </w:r>
    </w:p>
    <w:p w14:paraId="0279528C" w14:textId="77777777" w:rsidR="007A7211" w:rsidRPr="00CA194B" w:rsidRDefault="007A7211" w:rsidP="007A7211">
      <w:pPr>
        <w:spacing w:after="0" w:line="240" w:lineRule="auto"/>
        <w:jc w:val="center"/>
        <w:rPr>
          <w:rFonts w:ascii="Times New Roman" w:eastAsia="Times New Roman" w:hAnsi="Times New Roman" w:cs="Times New Roman"/>
          <w:sz w:val="24"/>
          <w:szCs w:val="24"/>
          <w:lang w:eastAsia="pt-BR"/>
        </w:rPr>
      </w:pPr>
    </w:p>
    <w:p w14:paraId="03606EF9"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 xml:space="preserve">Através da identidade, percebe-se que as políticas comerciais não alteram a poupança nacional e muito menos o investimento interno. Portanto, pode-se concluir que as políticas comerciais não afetam a balança comercial. </w:t>
      </w:r>
    </w:p>
    <w:p w14:paraId="258DFD16"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No entanto, as políticas comerciais atingem empresas, indústrias e países pequenos. Assim a políticas comerciais produzem mais efeitos microeconômicos do que macroeconômicos.</w:t>
      </w:r>
    </w:p>
    <w:p w14:paraId="5332E90F"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6323B841"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r w:rsidRPr="00CA194B">
        <w:rPr>
          <w:rFonts w:ascii="Arial" w:eastAsia="Times New Roman" w:hAnsi="Arial" w:cs="Arial"/>
          <w:b/>
          <w:color w:val="000000"/>
          <w:lang w:eastAsia="pt-BR"/>
        </w:rPr>
        <w:t xml:space="preserve">Instabilidade </w:t>
      </w:r>
      <w:r w:rsidRPr="00C92D96">
        <w:rPr>
          <w:rFonts w:ascii="Arial" w:eastAsia="Times New Roman" w:hAnsi="Arial" w:cs="Arial"/>
          <w:b/>
          <w:color w:val="000000"/>
          <w:lang w:eastAsia="pt-BR"/>
        </w:rPr>
        <w:t>política</w:t>
      </w:r>
      <w:r w:rsidRPr="00CA194B">
        <w:rPr>
          <w:rFonts w:ascii="Arial" w:eastAsia="Times New Roman" w:hAnsi="Arial" w:cs="Arial"/>
          <w:b/>
          <w:color w:val="000000"/>
          <w:lang w:eastAsia="pt-BR"/>
        </w:rPr>
        <w:t xml:space="preserve"> e fuga de capitais</w:t>
      </w:r>
    </w:p>
    <w:p w14:paraId="6C608900"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4E74BAB6"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 xml:space="preserve">A instabilidade política de um país pode levar a retirada de ativos desse mesmo país. Uma grande e repentina redução da demanda pelos ativos de um país é caracterizada como fuga de capitais. </w:t>
      </w:r>
    </w:p>
    <w:p w14:paraId="6F2BBFBE"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Com a venda dos ativos do país, há um aumento no investimento externo liquido, acarretando em uma maior demanda por fundos de empréstimos para que a compra desses ativos no exterior possam ser financiadas. Assim, como pode ser vist</w:t>
      </w:r>
      <w:r w:rsidR="006E54C1">
        <w:rPr>
          <w:rFonts w:ascii="Arial" w:eastAsia="Times New Roman" w:hAnsi="Arial" w:cs="Arial"/>
          <w:color w:val="000000"/>
          <w:lang w:eastAsia="pt-BR"/>
        </w:rPr>
        <w:t>o na Figura 7</w:t>
      </w:r>
      <w:r>
        <w:rPr>
          <w:rFonts w:ascii="Arial" w:eastAsia="Times New Roman" w:hAnsi="Arial" w:cs="Arial"/>
          <w:color w:val="000000"/>
          <w:lang w:eastAsia="pt-BR"/>
        </w:rPr>
        <w:t>, a curva de deman</w:t>
      </w:r>
      <w:r w:rsidRPr="00CA194B">
        <w:rPr>
          <w:rFonts w:ascii="Arial" w:eastAsia="Times New Roman" w:hAnsi="Arial" w:cs="Arial"/>
          <w:color w:val="000000"/>
          <w:lang w:eastAsia="pt-BR"/>
        </w:rPr>
        <w:t>da por fundos de empréstimos se desloca para a direita, de D1 para D2. Além diss</w:t>
      </w:r>
      <w:r>
        <w:rPr>
          <w:rFonts w:ascii="Arial" w:eastAsia="Times New Roman" w:hAnsi="Arial" w:cs="Arial"/>
          <w:color w:val="000000"/>
          <w:lang w:eastAsia="pt-BR"/>
        </w:rPr>
        <w:t>o, como o investimento externo lí</w:t>
      </w:r>
      <w:r w:rsidRPr="00CA194B">
        <w:rPr>
          <w:rFonts w:ascii="Arial" w:eastAsia="Times New Roman" w:hAnsi="Arial" w:cs="Arial"/>
          <w:color w:val="000000"/>
          <w:lang w:eastAsia="pt-BR"/>
        </w:rPr>
        <w:t>quido</w:t>
      </w:r>
      <w:r>
        <w:rPr>
          <w:rFonts w:ascii="Arial" w:eastAsia="Times New Roman" w:hAnsi="Arial" w:cs="Arial"/>
          <w:color w:val="000000"/>
          <w:lang w:eastAsia="pt-BR"/>
        </w:rPr>
        <w:t xml:space="preserve"> </w:t>
      </w:r>
      <w:r w:rsidRPr="00CA194B">
        <w:rPr>
          <w:rFonts w:ascii="Arial" w:eastAsia="Times New Roman" w:hAnsi="Arial" w:cs="Arial"/>
          <w:color w:val="000000"/>
          <w:lang w:eastAsia="pt-BR"/>
        </w:rPr>
        <w:t>é maior que a taxa de juros dada, há um deslocamento da curva para a dire</w:t>
      </w:r>
      <w:r w:rsidR="006E54C1">
        <w:rPr>
          <w:rFonts w:ascii="Arial" w:eastAsia="Times New Roman" w:hAnsi="Arial" w:cs="Arial"/>
          <w:color w:val="000000"/>
          <w:lang w:eastAsia="pt-BR"/>
        </w:rPr>
        <w:t>ita, de IEL1 para IEL2 (painel (b)</w:t>
      </w:r>
      <w:r w:rsidRPr="00CA194B">
        <w:rPr>
          <w:rFonts w:ascii="Arial" w:eastAsia="Times New Roman" w:hAnsi="Arial" w:cs="Arial"/>
          <w:color w:val="000000"/>
          <w:lang w:eastAsia="pt-BR"/>
        </w:rPr>
        <w:t>).</w:t>
      </w:r>
    </w:p>
    <w:p w14:paraId="7C67BDE0"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Comparando-se agora os equilíbrios novo e antigo, pode-se observar que, através</w:t>
      </w:r>
      <w:r w:rsidR="006E54C1">
        <w:rPr>
          <w:rFonts w:ascii="Arial" w:eastAsia="Times New Roman" w:hAnsi="Arial" w:cs="Arial"/>
          <w:color w:val="000000"/>
          <w:lang w:eastAsia="pt-BR"/>
        </w:rPr>
        <w:t xml:space="preserve"> do painel (a)</w:t>
      </w:r>
      <w:r w:rsidRPr="00CA194B">
        <w:rPr>
          <w:rFonts w:ascii="Arial" w:eastAsia="Times New Roman" w:hAnsi="Arial" w:cs="Arial"/>
          <w:color w:val="000000"/>
          <w:lang w:eastAsia="pt-BR"/>
        </w:rPr>
        <w:t>, o deslocamento da curva de demanda por fundos de empréstimos gera uma apreciação das taxas de juros de r1 para r2. Além disso, o au</w:t>
      </w:r>
      <w:r>
        <w:rPr>
          <w:rFonts w:ascii="Arial" w:eastAsia="Times New Roman" w:hAnsi="Arial" w:cs="Arial"/>
          <w:color w:val="000000"/>
          <w:lang w:eastAsia="pt-BR"/>
        </w:rPr>
        <w:t>mento do investimento externo lí</w:t>
      </w:r>
      <w:r w:rsidRPr="00CA194B">
        <w:rPr>
          <w:rFonts w:ascii="Arial" w:eastAsia="Times New Roman" w:hAnsi="Arial" w:cs="Arial"/>
          <w:color w:val="000000"/>
          <w:lang w:eastAsia="pt-BR"/>
        </w:rPr>
        <w:t xml:space="preserve">quido acarreta em um aumento da oferta da moeda nacional no mercado de cambio, deslocando a curva para a </w:t>
      </w:r>
      <w:r w:rsidR="006E54C1">
        <w:rPr>
          <w:rFonts w:ascii="Arial" w:eastAsia="Times New Roman" w:hAnsi="Arial" w:cs="Arial"/>
          <w:color w:val="000000"/>
          <w:lang w:eastAsia="pt-BR"/>
        </w:rPr>
        <w:t>direita, de O1 para O2 (painel (c)</w:t>
      </w:r>
      <w:r w:rsidRPr="00CA194B">
        <w:rPr>
          <w:rFonts w:ascii="Arial" w:eastAsia="Times New Roman" w:hAnsi="Arial" w:cs="Arial"/>
          <w:color w:val="000000"/>
          <w:lang w:eastAsia="pt-BR"/>
        </w:rPr>
        <w:t>). Consequentemente, este aumento na oferta gera uma depreciação na t</w:t>
      </w:r>
      <w:r>
        <w:rPr>
          <w:rFonts w:ascii="Arial" w:eastAsia="Times New Roman" w:hAnsi="Arial" w:cs="Arial"/>
          <w:color w:val="000000"/>
          <w:lang w:eastAsia="pt-BR"/>
        </w:rPr>
        <w:t>axa de cambio de E1 para E2. P</w:t>
      </w:r>
      <w:r w:rsidRPr="00CA194B">
        <w:rPr>
          <w:rFonts w:ascii="Arial" w:eastAsia="Times New Roman" w:hAnsi="Arial" w:cs="Arial"/>
          <w:color w:val="000000"/>
          <w:lang w:eastAsia="pt-BR"/>
        </w:rPr>
        <w:t>ortanto, a fuga de capitais gera um aumento na taxa de juros do país e uma diminuição do valor de sua moeda.</w:t>
      </w:r>
    </w:p>
    <w:p w14:paraId="32EC4345"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As variações do preço ocasionadas pela fuga de capitais resulta</w:t>
      </w:r>
      <w:r>
        <w:rPr>
          <w:rFonts w:ascii="Arial" w:eastAsia="Times New Roman" w:hAnsi="Arial" w:cs="Arial"/>
          <w:color w:val="000000"/>
          <w:lang w:eastAsia="pt-BR"/>
        </w:rPr>
        <w:t>m</w:t>
      </w:r>
      <w:r w:rsidRPr="00CA194B">
        <w:rPr>
          <w:rFonts w:ascii="Arial" w:eastAsia="Times New Roman" w:hAnsi="Arial" w:cs="Arial"/>
          <w:color w:val="000000"/>
          <w:lang w:eastAsia="pt-BR"/>
        </w:rPr>
        <w:t xml:space="preserve"> em variações macroeconômicas importantes. Enquanto a depreciação da moeda favorece as exportações e dificulta as importações, direcionando a balança comercial ao superávit; O aumento da taxa de juros diminui o investimento interno e reduz a acumulação de capital e o crescimento econômico.</w:t>
      </w:r>
    </w:p>
    <w:p w14:paraId="2CDD8283"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48E4AA44" w14:textId="77777777" w:rsidR="00CA194B" w:rsidRPr="00CA194B" w:rsidRDefault="00CA194B" w:rsidP="00CA194B">
      <w:pPr>
        <w:spacing w:after="0" w:line="240" w:lineRule="auto"/>
        <w:rPr>
          <w:rFonts w:ascii="Times New Roman" w:eastAsia="Times New Roman" w:hAnsi="Times New Roman" w:cs="Times New Roman"/>
          <w:b/>
          <w:sz w:val="24"/>
          <w:szCs w:val="24"/>
          <w:lang w:eastAsia="pt-BR"/>
        </w:rPr>
      </w:pPr>
      <w:r w:rsidRPr="00CA194B">
        <w:rPr>
          <w:rFonts w:ascii="Arial" w:eastAsia="Times New Roman" w:hAnsi="Arial" w:cs="Arial"/>
          <w:b/>
          <w:color w:val="000000"/>
          <w:sz w:val="24"/>
          <w:szCs w:val="24"/>
          <w:lang w:eastAsia="pt-BR"/>
        </w:rPr>
        <w:t>Conclusão</w:t>
      </w:r>
    </w:p>
    <w:p w14:paraId="0764C1E8" w14:textId="77777777" w:rsidR="00CA194B" w:rsidRPr="00CA194B" w:rsidRDefault="00CA194B" w:rsidP="00CA194B">
      <w:pPr>
        <w:spacing w:after="0" w:line="240" w:lineRule="auto"/>
        <w:rPr>
          <w:rFonts w:ascii="Times New Roman" w:eastAsia="Times New Roman" w:hAnsi="Times New Roman" w:cs="Times New Roman"/>
          <w:sz w:val="24"/>
          <w:szCs w:val="24"/>
          <w:lang w:eastAsia="pt-BR"/>
        </w:rPr>
      </w:pPr>
    </w:p>
    <w:p w14:paraId="3F6F9488" w14:textId="77777777" w:rsidR="00CA194B" w:rsidRPr="00CA194B" w:rsidRDefault="00CA194B" w:rsidP="00C92D96">
      <w:pPr>
        <w:spacing w:after="0" w:line="240" w:lineRule="auto"/>
        <w:ind w:firstLine="708"/>
        <w:rPr>
          <w:rFonts w:ascii="Times New Roman" w:eastAsia="Times New Roman" w:hAnsi="Times New Roman" w:cs="Times New Roman"/>
          <w:sz w:val="24"/>
          <w:szCs w:val="24"/>
          <w:lang w:eastAsia="pt-BR"/>
        </w:rPr>
      </w:pPr>
      <w:r w:rsidRPr="00CA194B">
        <w:rPr>
          <w:rFonts w:ascii="Arial" w:eastAsia="Times New Roman" w:hAnsi="Arial" w:cs="Arial"/>
          <w:color w:val="000000"/>
          <w:lang w:eastAsia="pt-BR"/>
        </w:rPr>
        <w:t>Cada vez mais é notável a importância da economia internacional. Bens são produzidos e comercializados entre países. Instituições financeiras tomam e concedem empréstimos nos mercados do mundo todo. Dessa forma, esse estudo apresenta um modelo básico para o entendimento da macroeconomia das economias abertas</w:t>
      </w:r>
      <w:r>
        <w:rPr>
          <w:rFonts w:ascii="Arial" w:eastAsia="Times New Roman" w:hAnsi="Arial" w:cs="Arial"/>
          <w:color w:val="000000"/>
          <w:lang w:eastAsia="pt-BR"/>
        </w:rPr>
        <w:t>.</w:t>
      </w:r>
    </w:p>
    <w:p w14:paraId="36A2088A" w14:textId="77777777" w:rsidR="007330A0" w:rsidRDefault="000A1BEF"/>
    <w:p w14:paraId="012E5587" w14:textId="77777777" w:rsidR="00C92D96" w:rsidRDefault="00C92D96">
      <w:pPr>
        <w:rPr>
          <w:rFonts w:ascii="Arial" w:hAnsi="Arial" w:cs="Arial"/>
          <w:b/>
          <w:sz w:val="24"/>
          <w:szCs w:val="24"/>
        </w:rPr>
      </w:pPr>
      <w:r w:rsidRPr="00C92D96">
        <w:rPr>
          <w:rFonts w:ascii="Arial" w:hAnsi="Arial" w:cs="Arial"/>
          <w:b/>
          <w:sz w:val="24"/>
          <w:szCs w:val="24"/>
        </w:rPr>
        <w:t>Referências bibliográficas</w:t>
      </w:r>
    </w:p>
    <w:p w14:paraId="6993C2C7" w14:textId="77777777" w:rsidR="00C92D96" w:rsidRPr="007A7211" w:rsidRDefault="007A7211">
      <w:pPr>
        <w:rPr>
          <w:rFonts w:ascii="Arial" w:hAnsi="Arial" w:cs="Arial"/>
          <w:sz w:val="24"/>
          <w:szCs w:val="24"/>
        </w:rPr>
      </w:pPr>
      <w:r>
        <w:rPr>
          <w:rFonts w:ascii="Arial" w:hAnsi="Arial" w:cs="Arial"/>
          <w:sz w:val="24"/>
          <w:szCs w:val="24"/>
        </w:rPr>
        <w:t xml:space="preserve">Mankiw, N. G.. Teoria Macroeconômica da Economia Aberta. In: Mankiw, N. G.. </w:t>
      </w:r>
      <w:r w:rsidRPr="007A7211">
        <w:rPr>
          <w:rFonts w:ascii="Arial" w:hAnsi="Arial" w:cs="Arial"/>
          <w:i/>
          <w:sz w:val="24"/>
          <w:szCs w:val="24"/>
        </w:rPr>
        <w:t>Introdução à Economia.</w:t>
      </w:r>
      <w:r>
        <w:rPr>
          <w:rFonts w:ascii="Arial" w:hAnsi="Arial" w:cs="Arial"/>
          <w:sz w:val="24"/>
          <w:szCs w:val="24"/>
        </w:rPr>
        <w:t xml:space="preserve"> São Paulo: Cenage Learning, 2005. Pg. 697 – 717.</w:t>
      </w:r>
    </w:p>
    <w:p w14:paraId="64A448F9" w14:textId="77777777" w:rsidR="00C92D96" w:rsidRDefault="00C92D96"/>
    <w:p w14:paraId="0D90675B" w14:textId="77777777" w:rsidR="00541402" w:rsidRDefault="00541402"/>
    <w:p w14:paraId="04115A5D" w14:textId="77777777" w:rsidR="00D31C83" w:rsidRDefault="00D31C83"/>
    <w:p w14:paraId="28C44587" w14:textId="77777777" w:rsidR="00D31C83" w:rsidRDefault="00D31C83"/>
    <w:p w14:paraId="77D9BAF0" w14:textId="77777777" w:rsidR="00541402" w:rsidRDefault="00541402"/>
    <w:p w14:paraId="76E581D2" w14:textId="77777777" w:rsidR="00541402" w:rsidRPr="00541402" w:rsidRDefault="00541402" w:rsidP="00541402">
      <w:pPr>
        <w:shd w:val="clear" w:color="auto" w:fill="FFFFFF"/>
        <w:spacing w:after="0" w:line="297" w:lineRule="atLeast"/>
        <w:textAlignment w:val="top"/>
        <w:outlineLvl w:val="1"/>
        <w:rPr>
          <w:rFonts w:ascii="Arial" w:eastAsia="Times New Roman" w:hAnsi="Arial" w:cs="Arial"/>
          <w:b/>
          <w:bCs/>
          <w:color w:val="333333"/>
          <w:sz w:val="27"/>
          <w:szCs w:val="27"/>
        </w:rPr>
      </w:pPr>
      <w:r w:rsidRPr="00541402">
        <w:rPr>
          <w:rFonts w:ascii="Arial" w:eastAsia="Times New Roman" w:hAnsi="Arial" w:cs="Arial"/>
          <w:b/>
          <w:bCs/>
          <w:color w:val="333333"/>
          <w:sz w:val="27"/>
          <w:szCs w:val="27"/>
        </w:rPr>
        <w:t>Pesquisa </w:t>
      </w:r>
      <w:r w:rsidRPr="00541402">
        <w:rPr>
          <w:rFonts w:ascii="Arial" w:eastAsia="Times New Roman" w:hAnsi="Arial" w:cs="Arial"/>
          <w:b/>
          <w:bCs/>
          <w:color w:val="333333"/>
          <w:sz w:val="27"/>
          <w:szCs w:val="27"/>
          <w:bdr w:val="none" w:sz="0" w:space="0" w:color="auto" w:frame="1"/>
        </w:rPr>
        <w:t>Nacional por Amostra de Domicílios Contínua</w:t>
      </w:r>
    </w:p>
    <w:p w14:paraId="5DB24036"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A Pesquisa Nacional por Amostra de Domicílios Contínua (Pnad) destina-se a produzir informações contínuas sobre a inserção da população brasileira no mercado de trabalho associada a características demográficas e de educação, e, também, para o estudo do desenvolvimento socioeconômico do país.</w:t>
      </w:r>
    </w:p>
    <w:p w14:paraId="1A563940"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A pesquisa também produz resultados anuais sobre temas permanentes como trabalho infantil e outras formas de trabalho, migração, fecundidade e outros aspectos relevantes selecionados de acordo com as necessidades de informação.</w:t>
      </w:r>
    </w:p>
    <w:p w14:paraId="78DF19B9" w14:textId="77777777" w:rsidR="00541402" w:rsidRPr="00541402" w:rsidRDefault="00541402" w:rsidP="00541402">
      <w:pPr>
        <w:shd w:val="clear" w:color="auto" w:fill="FFFFFF"/>
        <w:spacing w:after="0" w:line="360" w:lineRule="atLeast"/>
        <w:jc w:val="both"/>
        <w:textAlignment w:val="top"/>
        <w:rPr>
          <w:rFonts w:ascii="Arial" w:hAnsi="Arial" w:cs="Arial"/>
          <w:color w:val="666666"/>
          <w:sz w:val="21"/>
          <w:szCs w:val="21"/>
        </w:rPr>
      </w:pPr>
      <w:r w:rsidRPr="00541402">
        <w:rPr>
          <w:rFonts w:ascii="Arial" w:hAnsi="Arial" w:cs="Arial"/>
          <w:color w:val="666666"/>
          <w:sz w:val="21"/>
          <w:szCs w:val="21"/>
        </w:rPr>
        <w:t>A Pnad é realizada por meio de uma amostra de domicílios, extraída de uma amostra mestra, de forma a garantir a representatividade dos resultados para os diversos níveis geográficos definidos para sua divulgação. A cada trimestre, são investigados </w:t>
      </w:r>
      <w:r w:rsidRPr="00541402">
        <w:rPr>
          <w:rFonts w:ascii="Arial" w:hAnsi="Arial" w:cs="Arial"/>
          <w:b/>
          <w:bCs/>
          <w:color w:val="666666"/>
          <w:sz w:val="21"/>
          <w:szCs w:val="21"/>
          <w:bdr w:val="none" w:sz="0" w:space="0" w:color="auto" w:frame="1"/>
        </w:rPr>
        <w:t>211.344 domicílios particulares</w:t>
      </w:r>
      <w:r w:rsidRPr="00541402">
        <w:rPr>
          <w:rFonts w:ascii="Arial" w:hAnsi="Arial" w:cs="Arial"/>
          <w:color w:val="666666"/>
          <w:sz w:val="21"/>
          <w:szCs w:val="21"/>
        </w:rPr>
        <w:t> permanentes, em aproximadamente 16.000 setores censitários, distribuídos em cerca de </w:t>
      </w:r>
      <w:r w:rsidRPr="00541402">
        <w:rPr>
          <w:rFonts w:ascii="Arial" w:hAnsi="Arial" w:cs="Arial"/>
          <w:b/>
          <w:bCs/>
          <w:color w:val="666666"/>
          <w:sz w:val="21"/>
          <w:szCs w:val="21"/>
          <w:bdr w:val="none" w:sz="0" w:space="0" w:color="auto" w:frame="1"/>
        </w:rPr>
        <w:t>3.500 municípios</w:t>
      </w:r>
      <w:r w:rsidRPr="00541402">
        <w:rPr>
          <w:rFonts w:ascii="Arial" w:hAnsi="Arial" w:cs="Arial"/>
          <w:color w:val="666666"/>
          <w:sz w:val="21"/>
          <w:szCs w:val="21"/>
        </w:rPr>
        <w:t>.</w:t>
      </w:r>
    </w:p>
    <w:p w14:paraId="21EAC75E" w14:textId="77777777" w:rsidR="00541402" w:rsidRPr="00541402" w:rsidRDefault="00541402" w:rsidP="00541402">
      <w:pPr>
        <w:shd w:val="clear" w:color="auto" w:fill="FFFFFF"/>
        <w:spacing w:after="0" w:line="360" w:lineRule="atLeast"/>
        <w:jc w:val="both"/>
        <w:textAlignment w:val="top"/>
        <w:rPr>
          <w:rFonts w:ascii="Arial" w:hAnsi="Arial" w:cs="Arial"/>
          <w:color w:val="666666"/>
          <w:sz w:val="21"/>
          <w:szCs w:val="21"/>
        </w:rPr>
      </w:pPr>
      <w:r w:rsidRPr="00541402">
        <w:rPr>
          <w:rFonts w:ascii="Arial" w:hAnsi="Arial" w:cs="Arial"/>
          <w:color w:val="666666"/>
          <w:sz w:val="21"/>
          <w:szCs w:val="21"/>
        </w:rPr>
        <w:t>Idealizada desde 2006 e com dados coletados a partir de 2012, a Pnad Contínua foi desenhada para ser uma pesquisa trimestral com informações sobre mercado de trabalho do país todo e substituir a </w:t>
      </w:r>
      <w:hyperlink r:id="rId11" w:history="1">
        <w:r w:rsidRPr="00541402">
          <w:rPr>
            <w:rFonts w:ascii="Arial" w:hAnsi="Arial" w:cs="Arial"/>
            <w:b/>
            <w:bCs/>
            <w:color w:val="2C7597"/>
            <w:sz w:val="21"/>
            <w:szCs w:val="21"/>
            <w:bdr w:val="none" w:sz="0" w:space="0" w:color="auto" w:frame="1"/>
          </w:rPr>
          <w:t>PME (Pesquisa Mensal de Emprego)</w:t>
        </w:r>
      </w:hyperlink>
      <w:r w:rsidRPr="00541402">
        <w:rPr>
          <w:rFonts w:ascii="Arial" w:hAnsi="Arial" w:cs="Arial"/>
          <w:color w:val="666666"/>
          <w:sz w:val="21"/>
          <w:szCs w:val="21"/>
        </w:rPr>
        <w:t>, restrita as seis maiores regiões metropolitanas do país. Após pressão de usuários da pesquisa, o IBGE decidiu que apresentaria dados mensalmente a partir de 2015 – as divulgações a cada três meses começaram em 2014. </w:t>
      </w:r>
    </w:p>
    <w:p w14:paraId="46EF300C"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Atualmente, a periodicidade da pesquisa é: mensal, para um conjunto restrito de indicadores relacionados à força de trabalho e somente para o nível geográfico de Brasil; trimestral, para indicadores relacionados à força de trabalho; e anual, para os demais temas permanentes da pesquisa e indicadores complementares relacionados à força de trabalho; e variável, para outros temas ou tópicos dos temas permanentes a serem pesquisados com maior periodicidade ou ocasionalmente.</w:t>
      </w:r>
    </w:p>
    <w:p w14:paraId="61132076"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 </w:t>
      </w:r>
    </w:p>
    <w:p w14:paraId="35D1427C" w14:textId="77777777" w:rsidR="00541402" w:rsidRPr="00541402" w:rsidRDefault="00541402" w:rsidP="00541402">
      <w:pPr>
        <w:shd w:val="clear" w:color="auto" w:fill="FFFFFF"/>
        <w:spacing w:before="161" w:after="161" w:line="297" w:lineRule="atLeast"/>
        <w:textAlignment w:val="top"/>
        <w:outlineLvl w:val="1"/>
        <w:rPr>
          <w:rFonts w:ascii="Arial" w:eastAsia="Times New Roman" w:hAnsi="Arial" w:cs="Arial"/>
          <w:b/>
          <w:bCs/>
          <w:color w:val="333333"/>
          <w:sz w:val="27"/>
          <w:szCs w:val="27"/>
        </w:rPr>
      </w:pPr>
      <w:r w:rsidRPr="00541402">
        <w:rPr>
          <w:rFonts w:ascii="Arial" w:eastAsia="Times New Roman" w:hAnsi="Arial" w:cs="Arial"/>
          <w:b/>
          <w:bCs/>
          <w:color w:val="333333"/>
          <w:sz w:val="27"/>
          <w:szCs w:val="27"/>
        </w:rPr>
        <w:t>PME x Pnad</w:t>
      </w:r>
    </w:p>
    <w:p w14:paraId="37F04CF0" w14:textId="77777777" w:rsidR="00541402" w:rsidRPr="00541402" w:rsidRDefault="00541402" w:rsidP="00541402">
      <w:pPr>
        <w:shd w:val="clear" w:color="auto" w:fill="FFFFFF"/>
        <w:spacing w:after="0" w:line="360" w:lineRule="atLeast"/>
        <w:jc w:val="both"/>
        <w:textAlignment w:val="top"/>
        <w:rPr>
          <w:rFonts w:ascii="Arial" w:hAnsi="Arial" w:cs="Arial"/>
          <w:color w:val="666666"/>
          <w:sz w:val="21"/>
          <w:szCs w:val="21"/>
        </w:rPr>
      </w:pPr>
      <w:r w:rsidRPr="00541402">
        <w:rPr>
          <w:rFonts w:ascii="Arial" w:hAnsi="Arial" w:cs="Arial"/>
          <w:color w:val="666666"/>
          <w:sz w:val="21"/>
          <w:szCs w:val="21"/>
        </w:rPr>
        <w:t>Uma das principais diferenças entre a </w:t>
      </w:r>
      <w:r w:rsidRPr="00541402">
        <w:rPr>
          <w:rFonts w:ascii="Arial" w:hAnsi="Arial" w:cs="Arial"/>
          <w:b/>
          <w:bCs/>
          <w:color w:val="666666"/>
          <w:sz w:val="21"/>
          <w:szCs w:val="21"/>
          <w:bdr w:val="none" w:sz="0" w:space="0" w:color="auto" w:frame="1"/>
        </w:rPr>
        <w:t>Pesquisa Mensal de Emprego (PME)</w:t>
      </w:r>
      <w:r w:rsidRPr="00541402">
        <w:rPr>
          <w:rFonts w:ascii="Arial" w:hAnsi="Arial" w:cs="Arial"/>
          <w:color w:val="666666"/>
          <w:sz w:val="21"/>
          <w:szCs w:val="21"/>
        </w:rPr>
        <w:t> e a </w:t>
      </w:r>
      <w:r w:rsidRPr="00541402">
        <w:rPr>
          <w:rFonts w:ascii="Arial" w:hAnsi="Arial" w:cs="Arial"/>
          <w:b/>
          <w:bCs/>
          <w:color w:val="666666"/>
          <w:sz w:val="21"/>
          <w:szCs w:val="21"/>
          <w:bdr w:val="none" w:sz="0" w:space="0" w:color="auto" w:frame="1"/>
        </w:rPr>
        <w:t>Pesquisa Nacional por Amostra de Domicílios Contínua (Pnad)</w:t>
      </w:r>
      <w:r w:rsidRPr="00541402">
        <w:rPr>
          <w:rFonts w:ascii="Arial" w:hAnsi="Arial" w:cs="Arial"/>
          <w:color w:val="666666"/>
          <w:sz w:val="21"/>
          <w:szCs w:val="21"/>
        </w:rPr>
        <w:t> é a amplitude. Enquanto a PME entrevista pessoas em 44 mil domicílios localizados em seis regiões metropolitanas (Recife, Salvador, Belo Horizonte, Rio de Janeiro, São Paulo e Porto Alegre), a Pnad tem uma amostra de 211 mil domicílios em mais de 3.500 municípios brasileiros.</w:t>
      </w:r>
    </w:p>
    <w:p w14:paraId="18C46E61"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lastRenderedPageBreak/>
        <w:t>As pesquisas têm diferenças também sobre os conceitos usados. Por exemplo, a PME considera que as pessoas de dez anos ou mais estavam em idade de trabalhar. Na Pnad, esse limite mínimo é de catorze anos. Outra diferença importante é sobre o conceito de desocupação. Na PME, só era considerada desempregada a pessoa que, além de estar sem trabalho e disponível para entrar no mercado, havia procurado emprego nos últimos 30 dias. Já na Pnad, estar sem ocupação e ao mesmo tempo disponível para um emprego é o suficiente para a pessoa ser considerada desocupada.</w:t>
      </w:r>
    </w:p>
    <w:p w14:paraId="42CB34E3"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A criação da Pnad teve por objetivo pôr fim a uma das maiores deficiências da PME, que era considerar como inativo aquele trabalhador que havia desistido de procurar emprego, mas continuava interessado em voltar ao mercado.</w:t>
      </w:r>
    </w:p>
    <w:p w14:paraId="08B8C468" w14:textId="47FD3565" w:rsidR="00541402" w:rsidRPr="00541402" w:rsidRDefault="00541402" w:rsidP="007371C7">
      <w:pPr>
        <w:shd w:val="clear" w:color="auto" w:fill="FFFFFF"/>
        <w:tabs>
          <w:tab w:val="left" w:pos="8224"/>
        </w:tabs>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 </w:t>
      </w:r>
      <w:r w:rsidR="007371C7">
        <w:rPr>
          <w:rFonts w:ascii="Arial" w:hAnsi="Arial" w:cs="Arial"/>
          <w:color w:val="666666"/>
          <w:sz w:val="21"/>
          <w:szCs w:val="21"/>
        </w:rPr>
        <w:tab/>
      </w:r>
    </w:p>
    <w:p w14:paraId="33537863" w14:textId="77777777" w:rsidR="00541402" w:rsidRPr="00541402" w:rsidRDefault="00541402" w:rsidP="00541402">
      <w:pPr>
        <w:shd w:val="clear" w:color="auto" w:fill="FFFFFF"/>
        <w:spacing w:before="161" w:after="161" w:line="297" w:lineRule="atLeast"/>
        <w:textAlignment w:val="top"/>
        <w:outlineLvl w:val="1"/>
        <w:rPr>
          <w:rFonts w:ascii="Arial" w:eastAsia="Times New Roman" w:hAnsi="Arial" w:cs="Arial"/>
          <w:b/>
          <w:bCs/>
          <w:color w:val="333333"/>
          <w:sz w:val="27"/>
          <w:szCs w:val="27"/>
        </w:rPr>
      </w:pPr>
      <w:r w:rsidRPr="00541402">
        <w:rPr>
          <w:rFonts w:ascii="Arial" w:eastAsia="Times New Roman" w:hAnsi="Arial" w:cs="Arial"/>
          <w:b/>
          <w:bCs/>
          <w:color w:val="333333"/>
          <w:sz w:val="27"/>
          <w:szCs w:val="27"/>
        </w:rPr>
        <w:t>Taxa de Desemprego </w:t>
      </w:r>
    </w:p>
    <w:p w14:paraId="243E470E" w14:textId="77777777" w:rsidR="00541402" w:rsidRPr="00541402" w:rsidRDefault="00541402" w:rsidP="00541402">
      <w:pPr>
        <w:shd w:val="clear" w:color="auto" w:fill="FFFFFF"/>
        <w:spacing w:after="0" w:line="360" w:lineRule="atLeast"/>
        <w:jc w:val="both"/>
        <w:textAlignment w:val="top"/>
        <w:rPr>
          <w:rFonts w:ascii="Arial" w:hAnsi="Arial" w:cs="Arial"/>
          <w:color w:val="666666"/>
          <w:sz w:val="21"/>
          <w:szCs w:val="21"/>
        </w:rPr>
      </w:pPr>
      <w:r w:rsidRPr="00541402">
        <w:rPr>
          <w:rFonts w:ascii="Arial" w:hAnsi="Arial" w:cs="Arial"/>
          <w:color w:val="666666"/>
          <w:sz w:val="21"/>
          <w:szCs w:val="21"/>
        </w:rPr>
        <w:t>A taxa de desemprego, de acordo com a Pesquisa Nacional por Amostra de Domicílios Contínua (Pnad), refere-se à proporção entre a População Desempregada e a População Economicamente Ativa. A taxa de desemprego também é conhecida como </w:t>
      </w:r>
      <w:r w:rsidRPr="00541402">
        <w:rPr>
          <w:rFonts w:ascii="Arial" w:hAnsi="Arial" w:cs="Arial"/>
          <w:b/>
          <w:bCs/>
          <w:color w:val="666666"/>
          <w:sz w:val="21"/>
          <w:szCs w:val="21"/>
          <w:bdr w:val="none" w:sz="0" w:space="0" w:color="auto" w:frame="1"/>
        </w:rPr>
        <w:t>taxa de desocupação</w:t>
      </w:r>
      <w:r w:rsidRPr="00541402">
        <w:rPr>
          <w:rFonts w:ascii="Arial" w:hAnsi="Arial" w:cs="Arial"/>
          <w:color w:val="666666"/>
          <w:sz w:val="21"/>
          <w:szCs w:val="21"/>
        </w:rPr>
        <w:t>.</w:t>
      </w:r>
    </w:p>
    <w:p w14:paraId="0438BCCE" w14:textId="0CAC182C" w:rsidR="00541402" w:rsidRPr="00541402" w:rsidRDefault="00541402" w:rsidP="007371C7">
      <w:pPr>
        <w:shd w:val="clear" w:color="auto" w:fill="FFFFFF"/>
        <w:spacing w:after="240" w:line="360" w:lineRule="atLeast"/>
        <w:jc w:val="right"/>
        <w:textAlignment w:val="top"/>
        <w:rPr>
          <w:rFonts w:ascii="Arial" w:hAnsi="Arial" w:cs="Arial"/>
          <w:color w:val="666666"/>
          <w:sz w:val="21"/>
          <w:szCs w:val="21"/>
        </w:rPr>
      </w:pPr>
      <w:r w:rsidRPr="00541402">
        <w:rPr>
          <w:rFonts w:ascii="Arial" w:hAnsi="Arial" w:cs="Arial"/>
          <w:color w:val="666666"/>
          <w:sz w:val="21"/>
          <w:szCs w:val="21"/>
        </w:rPr>
        <w:t>Os dados de desemprego da Pnad Contínua foram os primeiros a serem divulgados segundo a nova metodologia de cálculo da pesquisa, em que os resultados trimestrais são atualizados e apresentados mensalmente. A cada mês, são divulgados números referentes a aquele mês junto com os dois meses imediatamente anteriores.</w:t>
      </w:r>
      <w:r w:rsidR="007371C7" w:rsidRPr="007371C7">
        <w:rPr>
          <w:noProof/>
          <w:lang w:val="en-US"/>
        </w:rPr>
        <w:t xml:space="preserve"> </w:t>
      </w:r>
    </w:p>
    <w:p w14:paraId="0FAFE0B6" w14:textId="77777777" w:rsidR="00541402" w:rsidRPr="00541402" w:rsidRDefault="00541402" w:rsidP="00541402">
      <w:pPr>
        <w:shd w:val="clear" w:color="auto" w:fill="FFFFFF"/>
        <w:spacing w:after="240" w:line="360" w:lineRule="atLeast"/>
        <w:jc w:val="both"/>
        <w:textAlignment w:val="top"/>
        <w:rPr>
          <w:rFonts w:ascii="Arial" w:hAnsi="Arial" w:cs="Arial"/>
          <w:color w:val="666666"/>
          <w:sz w:val="21"/>
          <w:szCs w:val="21"/>
        </w:rPr>
      </w:pPr>
      <w:r w:rsidRPr="00541402">
        <w:rPr>
          <w:rFonts w:ascii="Arial" w:hAnsi="Arial" w:cs="Arial"/>
          <w:color w:val="666666"/>
          <w:sz w:val="21"/>
          <w:szCs w:val="21"/>
        </w:rPr>
        <w:t>O modelo de média trimestral adotado pelo Brasil foi baseado no usado pelo Reino Unido, segundo o IBGE. Outros países fazem pesquisas de emprego trimestrais, mas realizam estimativas mensais com base em estimativas, a partir dos dados já levantados. Espanha, França, México e Chile coletam informações a cada três meses. Canadá e Austrália, com populações menores e mais concentradas em algumas regiões, fazem levantamentos mensais. Os EUA divulgam dados mensais, mas ampliam a sua amostra (relativamente pequena para o tamanho da população do país) por meio de modelos matemáticos.</w:t>
      </w:r>
    </w:p>
    <w:p w14:paraId="694C7098" w14:textId="0F4AC2D0" w:rsidR="00541402" w:rsidRDefault="00541402"/>
    <w:sectPr w:rsidR="00541402" w:rsidSect="00486B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A2925" w14:textId="77777777" w:rsidR="000A1BEF" w:rsidRDefault="000A1BEF" w:rsidP="007371C7">
      <w:pPr>
        <w:spacing w:after="0" w:line="240" w:lineRule="auto"/>
      </w:pPr>
      <w:r>
        <w:separator/>
      </w:r>
    </w:p>
  </w:endnote>
  <w:endnote w:type="continuationSeparator" w:id="0">
    <w:p w14:paraId="25C964D4" w14:textId="77777777" w:rsidR="000A1BEF" w:rsidRDefault="000A1BEF" w:rsidP="00737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8619" w14:textId="77777777" w:rsidR="000A1BEF" w:rsidRDefault="000A1BEF" w:rsidP="007371C7">
      <w:pPr>
        <w:spacing w:after="0" w:line="240" w:lineRule="auto"/>
      </w:pPr>
      <w:r>
        <w:separator/>
      </w:r>
    </w:p>
  </w:footnote>
  <w:footnote w:type="continuationSeparator" w:id="0">
    <w:p w14:paraId="5620C0A3" w14:textId="77777777" w:rsidR="000A1BEF" w:rsidRDefault="000A1BEF" w:rsidP="00737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335D"/>
    <w:multiLevelType w:val="hybridMultilevel"/>
    <w:tmpl w:val="9B6C0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4B"/>
    <w:rsid w:val="00020949"/>
    <w:rsid w:val="00031462"/>
    <w:rsid w:val="000A1BEF"/>
    <w:rsid w:val="000C133D"/>
    <w:rsid w:val="000E3623"/>
    <w:rsid w:val="001F56C7"/>
    <w:rsid w:val="0025044B"/>
    <w:rsid w:val="00295341"/>
    <w:rsid w:val="0033626E"/>
    <w:rsid w:val="00382709"/>
    <w:rsid w:val="00474CD4"/>
    <w:rsid w:val="00486B50"/>
    <w:rsid w:val="00541402"/>
    <w:rsid w:val="00591C72"/>
    <w:rsid w:val="006E54C1"/>
    <w:rsid w:val="007371C7"/>
    <w:rsid w:val="00741263"/>
    <w:rsid w:val="0074780D"/>
    <w:rsid w:val="007A7211"/>
    <w:rsid w:val="00872E31"/>
    <w:rsid w:val="00A86040"/>
    <w:rsid w:val="00C92D96"/>
    <w:rsid w:val="00CA194B"/>
    <w:rsid w:val="00D31C83"/>
    <w:rsid w:val="00DB5C62"/>
    <w:rsid w:val="00EB1A55"/>
    <w:rsid w:val="00EB64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72ADB"/>
  <w15:docId w15:val="{C7F3BFED-0AE1-C841-9A41-C8BA160A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23"/>
  </w:style>
  <w:style w:type="paragraph" w:styleId="Heading2">
    <w:name w:val="heading 2"/>
    <w:basedOn w:val="Normal"/>
    <w:link w:val="Heading2Char"/>
    <w:uiPriority w:val="9"/>
    <w:qFormat/>
    <w:rsid w:val="00541402"/>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9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PlaceholderText">
    <w:name w:val="Placeholder Text"/>
    <w:basedOn w:val="DefaultParagraphFont"/>
    <w:uiPriority w:val="99"/>
    <w:semiHidden/>
    <w:rsid w:val="007A7211"/>
    <w:rPr>
      <w:color w:val="808080"/>
    </w:rPr>
  </w:style>
  <w:style w:type="paragraph" w:styleId="BalloonText">
    <w:name w:val="Balloon Text"/>
    <w:basedOn w:val="Normal"/>
    <w:link w:val="BalloonTextChar"/>
    <w:uiPriority w:val="99"/>
    <w:semiHidden/>
    <w:unhideWhenUsed/>
    <w:rsid w:val="007A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11"/>
    <w:rPr>
      <w:rFonts w:ascii="Tahoma" w:hAnsi="Tahoma" w:cs="Tahoma"/>
      <w:sz w:val="16"/>
      <w:szCs w:val="16"/>
    </w:rPr>
  </w:style>
  <w:style w:type="character" w:customStyle="1" w:styleId="Heading2Char">
    <w:name w:val="Heading 2 Char"/>
    <w:basedOn w:val="DefaultParagraphFont"/>
    <w:link w:val="Heading2"/>
    <w:uiPriority w:val="9"/>
    <w:rsid w:val="00541402"/>
    <w:rPr>
      <w:rFonts w:ascii="Times" w:hAnsi="Times"/>
      <w:b/>
      <w:bCs/>
      <w:sz w:val="36"/>
      <w:szCs w:val="36"/>
    </w:rPr>
  </w:style>
  <w:style w:type="character" w:styleId="Strong">
    <w:name w:val="Strong"/>
    <w:basedOn w:val="DefaultParagraphFont"/>
    <w:uiPriority w:val="22"/>
    <w:qFormat/>
    <w:rsid w:val="00541402"/>
    <w:rPr>
      <w:b/>
      <w:bCs/>
    </w:rPr>
  </w:style>
  <w:style w:type="character" w:styleId="Hyperlink">
    <w:name w:val="Hyperlink"/>
    <w:basedOn w:val="DefaultParagraphFont"/>
    <w:uiPriority w:val="99"/>
    <w:semiHidden/>
    <w:unhideWhenUsed/>
    <w:rsid w:val="00541402"/>
    <w:rPr>
      <w:color w:val="0000FF"/>
      <w:u w:val="single"/>
    </w:rPr>
  </w:style>
  <w:style w:type="paragraph" w:styleId="Header">
    <w:name w:val="header"/>
    <w:basedOn w:val="Normal"/>
    <w:link w:val="HeaderChar"/>
    <w:uiPriority w:val="99"/>
    <w:unhideWhenUsed/>
    <w:rsid w:val="007371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71C7"/>
  </w:style>
  <w:style w:type="paragraph" w:styleId="Footer">
    <w:name w:val="footer"/>
    <w:basedOn w:val="Normal"/>
    <w:link w:val="FooterChar"/>
    <w:uiPriority w:val="99"/>
    <w:unhideWhenUsed/>
    <w:rsid w:val="007371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1C7"/>
  </w:style>
  <w:style w:type="paragraph" w:styleId="ListParagraph">
    <w:name w:val="List Paragraph"/>
    <w:basedOn w:val="Normal"/>
    <w:uiPriority w:val="34"/>
    <w:qFormat/>
    <w:rsid w:val="00E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3890">
      <w:bodyDiv w:val="1"/>
      <w:marLeft w:val="0"/>
      <w:marRight w:val="0"/>
      <w:marTop w:val="0"/>
      <w:marBottom w:val="0"/>
      <w:divBdr>
        <w:top w:val="none" w:sz="0" w:space="0" w:color="auto"/>
        <w:left w:val="none" w:sz="0" w:space="0" w:color="auto"/>
        <w:bottom w:val="none" w:sz="0" w:space="0" w:color="auto"/>
        <w:right w:val="none" w:sz="0" w:space="0" w:color="auto"/>
      </w:divBdr>
      <w:divsChild>
        <w:div w:id="1856192310">
          <w:marLeft w:val="0"/>
          <w:marRight w:val="0"/>
          <w:marTop w:val="0"/>
          <w:marBottom w:val="0"/>
          <w:divBdr>
            <w:top w:val="none" w:sz="0" w:space="0" w:color="auto"/>
            <w:left w:val="none" w:sz="0" w:space="0" w:color="auto"/>
            <w:bottom w:val="none" w:sz="0" w:space="0" w:color="auto"/>
            <w:right w:val="none" w:sz="0" w:space="0" w:color="auto"/>
          </w:divBdr>
          <w:divsChild>
            <w:div w:id="13761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dvfn.com/indicadores/pme"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oncei&#231;&#227;o\Desktop\Graficos%20Economi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Concei&#231;&#227;o\Desktop\Graficos%20Economi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oncei&#231;&#227;o\Desktop\Graficos%20Econom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Mercado de fundos de empréstimos</a:t>
            </a:r>
          </a:p>
        </c:rich>
      </c:tx>
      <c:overlay val="0"/>
    </c:title>
    <c:autoTitleDeleted val="0"/>
    <c:plotArea>
      <c:layout/>
      <c:scatterChart>
        <c:scatterStyle val="lineMarker"/>
        <c:varyColors val="0"/>
        <c:ser>
          <c:idx val="0"/>
          <c:order val="0"/>
          <c:tx>
            <c:strRef>
              <c:f>'Figura 1'!$B$2</c:f>
              <c:strCache>
                <c:ptCount val="1"/>
                <c:pt idx="0">
                  <c:v>Oferta de fundos para empréstimos</c:v>
                </c:pt>
              </c:strCache>
            </c:strRef>
          </c:tx>
          <c:marker>
            <c:symbol val="none"/>
          </c:marker>
          <c:xVal>
            <c:numRef>
              <c:f>'Figura 1'!$A$3:$A$15</c:f>
              <c:numCache>
                <c:formatCode>General</c:formatCode>
                <c:ptCount val="13"/>
                <c:pt idx="0">
                  <c:v>10</c:v>
                </c:pt>
                <c:pt idx="1">
                  <c:v>15</c:v>
                </c:pt>
                <c:pt idx="2">
                  <c:v>20</c:v>
                </c:pt>
                <c:pt idx="3">
                  <c:v>25</c:v>
                </c:pt>
                <c:pt idx="4">
                  <c:v>30</c:v>
                </c:pt>
                <c:pt idx="5">
                  <c:v>35</c:v>
                </c:pt>
                <c:pt idx="6">
                  <c:v>40</c:v>
                </c:pt>
                <c:pt idx="7">
                  <c:v>45</c:v>
                </c:pt>
                <c:pt idx="8">
                  <c:v>50</c:v>
                </c:pt>
                <c:pt idx="9">
                  <c:v>55</c:v>
                </c:pt>
                <c:pt idx="10">
                  <c:v>60</c:v>
                </c:pt>
                <c:pt idx="11">
                  <c:v>65</c:v>
                </c:pt>
                <c:pt idx="12">
                  <c:v>70</c:v>
                </c:pt>
              </c:numCache>
            </c:numRef>
          </c:xVal>
          <c:yVal>
            <c:numRef>
              <c:f>'Figura 1'!$B$3:$B$15</c:f>
              <c:numCache>
                <c:formatCode>General</c:formatCode>
                <c:ptCount val="13"/>
                <c:pt idx="0">
                  <c:v>5</c:v>
                </c:pt>
                <c:pt idx="1">
                  <c:v>10</c:v>
                </c:pt>
                <c:pt idx="2">
                  <c:v>15</c:v>
                </c:pt>
                <c:pt idx="3">
                  <c:v>20</c:v>
                </c:pt>
                <c:pt idx="4">
                  <c:v>25</c:v>
                </c:pt>
                <c:pt idx="5">
                  <c:v>30</c:v>
                </c:pt>
                <c:pt idx="6">
                  <c:v>35</c:v>
                </c:pt>
                <c:pt idx="7">
                  <c:v>40</c:v>
                </c:pt>
                <c:pt idx="8">
                  <c:v>45</c:v>
                </c:pt>
                <c:pt idx="9">
                  <c:v>50</c:v>
                </c:pt>
                <c:pt idx="10">
                  <c:v>55</c:v>
                </c:pt>
                <c:pt idx="11">
                  <c:v>60</c:v>
                </c:pt>
                <c:pt idx="12">
                  <c:v>65</c:v>
                </c:pt>
              </c:numCache>
            </c:numRef>
          </c:yVal>
          <c:smooth val="0"/>
          <c:extLst>
            <c:ext xmlns:c16="http://schemas.microsoft.com/office/drawing/2014/chart" uri="{C3380CC4-5D6E-409C-BE32-E72D297353CC}">
              <c16:uniqueId val="{00000000-E5B8-DA4C-9360-F0608BD9EF3F}"/>
            </c:ext>
          </c:extLst>
        </c:ser>
        <c:ser>
          <c:idx val="1"/>
          <c:order val="1"/>
          <c:tx>
            <c:strRef>
              <c:f>'Figura 1'!$C$2</c:f>
              <c:strCache>
                <c:ptCount val="1"/>
                <c:pt idx="0">
                  <c:v>Demanda por fundos empestáveis</c:v>
                </c:pt>
              </c:strCache>
            </c:strRef>
          </c:tx>
          <c:marker>
            <c:symbol val="none"/>
          </c:marker>
          <c:xVal>
            <c:numRef>
              <c:f>'Figura 1'!$A$3:$A$15</c:f>
              <c:numCache>
                <c:formatCode>General</c:formatCode>
                <c:ptCount val="13"/>
                <c:pt idx="0">
                  <c:v>10</c:v>
                </c:pt>
                <c:pt idx="1">
                  <c:v>15</c:v>
                </c:pt>
                <c:pt idx="2">
                  <c:v>20</c:v>
                </c:pt>
                <c:pt idx="3">
                  <c:v>25</c:v>
                </c:pt>
                <c:pt idx="4">
                  <c:v>30</c:v>
                </c:pt>
                <c:pt idx="5">
                  <c:v>35</c:v>
                </c:pt>
                <c:pt idx="6">
                  <c:v>40</c:v>
                </c:pt>
                <c:pt idx="7">
                  <c:v>45</c:v>
                </c:pt>
                <c:pt idx="8">
                  <c:v>50</c:v>
                </c:pt>
                <c:pt idx="9">
                  <c:v>55</c:v>
                </c:pt>
                <c:pt idx="10">
                  <c:v>60</c:v>
                </c:pt>
                <c:pt idx="11">
                  <c:v>65</c:v>
                </c:pt>
                <c:pt idx="12">
                  <c:v>70</c:v>
                </c:pt>
              </c:numCache>
            </c:numRef>
          </c:xVal>
          <c:yVal>
            <c:numRef>
              <c:f>'Figura 1'!$C$3:$C$15</c:f>
              <c:numCache>
                <c:formatCode>General</c:formatCode>
                <c:ptCount val="13"/>
                <c:pt idx="0">
                  <c:v>65</c:v>
                </c:pt>
                <c:pt idx="1">
                  <c:v>60</c:v>
                </c:pt>
                <c:pt idx="2">
                  <c:v>55</c:v>
                </c:pt>
                <c:pt idx="3">
                  <c:v>50</c:v>
                </c:pt>
                <c:pt idx="4">
                  <c:v>45</c:v>
                </c:pt>
                <c:pt idx="5">
                  <c:v>40</c:v>
                </c:pt>
                <c:pt idx="6">
                  <c:v>35</c:v>
                </c:pt>
                <c:pt idx="7">
                  <c:v>30</c:v>
                </c:pt>
                <c:pt idx="8">
                  <c:v>25</c:v>
                </c:pt>
                <c:pt idx="9">
                  <c:v>20</c:v>
                </c:pt>
                <c:pt idx="10">
                  <c:v>15</c:v>
                </c:pt>
                <c:pt idx="11">
                  <c:v>10</c:v>
                </c:pt>
                <c:pt idx="12">
                  <c:v>5</c:v>
                </c:pt>
              </c:numCache>
            </c:numRef>
          </c:yVal>
          <c:smooth val="0"/>
          <c:extLst>
            <c:ext xmlns:c16="http://schemas.microsoft.com/office/drawing/2014/chart" uri="{C3380CC4-5D6E-409C-BE32-E72D297353CC}">
              <c16:uniqueId val="{00000001-E5B8-DA4C-9360-F0608BD9EF3F}"/>
            </c:ext>
          </c:extLst>
        </c:ser>
        <c:dLbls>
          <c:showLegendKey val="0"/>
          <c:showVal val="0"/>
          <c:showCatName val="0"/>
          <c:showSerName val="0"/>
          <c:showPercent val="0"/>
          <c:showBubbleSize val="0"/>
        </c:dLbls>
        <c:axId val="2086533496"/>
        <c:axId val="2085925624"/>
      </c:scatterChart>
      <c:valAx>
        <c:axId val="2086533496"/>
        <c:scaling>
          <c:orientation val="minMax"/>
        </c:scaling>
        <c:delete val="0"/>
        <c:axPos val="b"/>
        <c:title>
          <c:tx>
            <c:rich>
              <a:bodyPr/>
              <a:lstStyle/>
              <a:p>
                <a:pPr>
                  <a:defRPr/>
                </a:pPr>
                <a:r>
                  <a:rPr lang="pt-BR"/>
                  <a:t>Quantidade</a:t>
                </a:r>
                <a:r>
                  <a:rPr lang="pt-BR" baseline="0"/>
                  <a:t> de fundos para empréstimos</a:t>
                </a:r>
                <a:endParaRPr lang="pt-BR"/>
              </a:p>
            </c:rich>
          </c:tx>
          <c:layout>
            <c:manualLayout>
              <c:xMode val="edge"/>
              <c:yMode val="edge"/>
              <c:x val="0.61457773235166901"/>
              <c:y val="0.90908905400909401"/>
            </c:manualLayout>
          </c:layout>
          <c:overlay val="0"/>
        </c:title>
        <c:numFmt formatCode="General" sourceLinked="1"/>
        <c:majorTickMark val="out"/>
        <c:minorTickMark val="none"/>
        <c:tickLblPos val="nextTo"/>
        <c:crossAx val="2085925624"/>
        <c:crosses val="autoZero"/>
        <c:crossBetween val="midCat"/>
      </c:valAx>
      <c:valAx>
        <c:axId val="2085925624"/>
        <c:scaling>
          <c:orientation val="minMax"/>
        </c:scaling>
        <c:delete val="0"/>
        <c:axPos val="l"/>
        <c:title>
          <c:tx>
            <c:rich>
              <a:bodyPr rot="0" vert="horz"/>
              <a:lstStyle/>
              <a:p>
                <a:pPr>
                  <a:defRPr/>
                </a:pPr>
                <a:r>
                  <a:rPr lang="pt-BR"/>
                  <a:t>Taxade Juros Real</a:t>
                </a:r>
              </a:p>
            </c:rich>
          </c:tx>
          <c:layout>
            <c:manualLayout>
              <c:xMode val="edge"/>
              <c:yMode val="edge"/>
              <c:x val="1.30889697850905E-2"/>
              <c:y val="0.146751750695535"/>
            </c:manualLayout>
          </c:layout>
          <c:overlay val="0"/>
        </c:title>
        <c:numFmt formatCode="General" sourceLinked="1"/>
        <c:majorTickMark val="out"/>
        <c:minorTickMark val="none"/>
        <c:tickLblPos val="nextTo"/>
        <c:crossAx val="2086533496"/>
        <c:crosses val="autoZero"/>
        <c:crossBetween val="midCat"/>
      </c:valAx>
    </c:plotArea>
    <c:legend>
      <c:legendPos val="r"/>
      <c:overlay val="0"/>
    </c:legend>
    <c:plotVisOnly val="0"/>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Mercado de câmbio</a:t>
            </a:r>
            <a:r>
              <a:rPr lang="pt-BR" baseline="0"/>
              <a:t> de moeda estrangeira</a:t>
            </a:r>
            <a:endParaRPr lang="pt-BR"/>
          </a:p>
        </c:rich>
      </c:tx>
      <c:overlay val="0"/>
    </c:title>
    <c:autoTitleDeleted val="0"/>
    <c:plotArea>
      <c:layout/>
      <c:scatterChart>
        <c:scatterStyle val="lineMarker"/>
        <c:varyColors val="0"/>
        <c:ser>
          <c:idx val="0"/>
          <c:order val="0"/>
          <c:tx>
            <c:strRef>
              <c:f>'Fiigura 2'!$B$2</c:f>
              <c:strCache>
                <c:ptCount val="1"/>
                <c:pt idx="0">
                  <c:v>Demanda por moeda nacional</c:v>
                </c:pt>
              </c:strCache>
            </c:strRef>
          </c:tx>
          <c:marker>
            <c:symbol val="none"/>
          </c:marker>
          <c:xVal>
            <c:numRef>
              <c:f>'Fiigura 2'!$A$3:$A$15</c:f>
              <c:numCache>
                <c:formatCode>General</c:formatCode>
                <c:ptCount val="13"/>
                <c:pt idx="0">
                  <c:v>10</c:v>
                </c:pt>
                <c:pt idx="1">
                  <c:v>15</c:v>
                </c:pt>
                <c:pt idx="2">
                  <c:v>20</c:v>
                </c:pt>
                <c:pt idx="3">
                  <c:v>25</c:v>
                </c:pt>
                <c:pt idx="4">
                  <c:v>30</c:v>
                </c:pt>
                <c:pt idx="5">
                  <c:v>35</c:v>
                </c:pt>
                <c:pt idx="6">
                  <c:v>40</c:v>
                </c:pt>
                <c:pt idx="7">
                  <c:v>45</c:v>
                </c:pt>
                <c:pt idx="8">
                  <c:v>50</c:v>
                </c:pt>
                <c:pt idx="9">
                  <c:v>55</c:v>
                </c:pt>
                <c:pt idx="10">
                  <c:v>60</c:v>
                </c:pt>
                <c:pt idx="11">
                  <c:v>65</c:v>
                </c:pt>
                <c:pt idx="12">
                  <c:v>70</c:v>
                </c:pt>
              </c:numCache>
            </c:numRef>
          </c:xVal>
          <c:yVal>
            <c:numRef>
              <c:f>'Fiigura 2'!$B$3:$B$15</c:f>
              <c:numCache>
                <c:formatCode>General</c:formatCode>
                <c:ptCount val="13"/>
                <c:pt idx="0">
                  <c:v>65</c:v>
                </c:pt>
                <c:pt idx="1">
                  <c:v>60</c:v>
                </c:pt>
                <c:pt idx="2">
                  <c:v>55</c:v>
                </c:pt>
                <c:pt idx="3">
                  <c:v>50</c:v>
                </c:pt>
                <c:pt idx="4">
                  <c:v>45</c:v>
                </c:pt>
                <c:pt idx="5">
                  <c:v>40</c:v>
                </c:pt>
                <c:pt idx="6">
                  <c:v>35</c:v>
                </c:pt>
                <c:pt idx="7">
                  <c:v>30</c:v>
                </c:pt>
                <c:pt idx="8">
                  <c:v>25</c:v>
                </c:pt>
                <c:pt idx="9">
                  <c:v>20</c:v>
                </c:pt>
                <c:pt idx="10">
                  <c:v>15</c:v>
                </c:pt>
                <c:pt idx="11">
                  <c:v>10</c:v>
                </c:pt>
                <c:pt idx="12">
                  <c:v>5</c:v>
                </c:pt>
              </c:numCache>
            </c:numRef>
          </c:yVal>
          <c:smooth val="0"/>
          <c:extLst>
            <c:ext xmlns:c16="http://schemas.microsoft.com/office/drawing/2014/chart" uri="{C3380CC4-5D6E-409C-BE32-E72D297353CC}">
              <c16:uniqueId val="{00000000-13CE-D84D-92BD-9E2F41C6D024}"/>
            </c:ext>
          </c:extLst>
        </c:ser>
        <c:ser>
          <c:idx val="1"/>
          <c:order val="1"/>
          <c:tx>
            <c:strRef>
              <c:f>'Fiigura 2'!$D$2</c:f>
              <c:strCache>
                <c:ptCount val="1"/>
                <c:pt idx="0">
                  <c:v>Oferta de moeda nacional</c:v>
                </c:pt>
              </c:strCache>
            </c:strRef>
          </c:tx>
          <c:marker>
            <c:symbol val="none"/>
          </c:marker>
          <c:xVal>
            <c:numRef>
              <c:f>'Fiigura 2'!$C$3:$C$15</c:f>
              <c:numCache>
                <c:formatCode>General</c:formatCode>
                <c:ptCount val="13"/>
                <c:pt idx="0">
                  <c:v>40</c:v>
                </c:pt>
                <c:pt idx="1">
                  <c:v>40</c:v>
                </c:pt>
                <c:pt idx="2">
                  <c:v>40</c:v>
                </c:pt>
                <c:pt idx="3">
                  <c:v>40</c:v>
                </c:pt>
                <c:pt idx="4">
                  <c:v>40</c:v>
                </c:pt>
                <c:pt idx="5">
                  <c:v>40</c:v>
                </c:pt>
                <c:pt idx="6">
                  <c:v>40</c:v>
                </c:pt>
                <c:pt idx="7">
                  <c:v>40</c:v>
                </c:pt>
                <c:pt idx="8">
                  <c:v>40</c:v>
                </c:pt>
                <c:pt idx="9">
                  <c:v>40</c:v>
                </c:pt>
                <c:pt idx="10">
                  <c:v>40</c:v>
                </c:pt>
                <c:pt idx="11">
                  <c:v>40</c:v>
                </c:pt>
                <c:pt idx="12">
                  <c:v>40</c:v>
                </c:pt>
              </c:numCache>
            </c:numRef>
          </c:xVal>
          <c:yVal>
            <c:numRef>
              <c:f>'Fiigura 2'!$D$3:$D$15</c:f>
              <c:numCache>
                <c:formatCode>General</c:formatCode>
                <c:ptCount val="13"/>
                <c:pt idx="0">
                  <c:v>5</c:v>
                </c:pt>
                <c:pt idx="1">
                  <c:v>10</c:v>
                </c:pt>
                <c:pt idx="2">
                  <c:v>15</c:v>
                </c:pt>
                <c:pt idx="3">
                  <c:v>20</c:v>
                </c:pt>
                <c:pt idx="4">
                  <c:v>25</c:v>
                </c:pt>
                <c:pt idx="5">
                  <c:v>30</c:v>
                </c:pt>
                <c:pt idx="6">
                  <c:v>35</c:v>
                </c:pt>
                <c:pt idx="7">
                  <c:v>40</c:v>
                </c:pt>
                <c:pt idx="8">
                  <c:v>45</c:v>
                </c:pt>
                <c:pt idx="9">
                  <c:v>50</c:v>
                </c:pt>
                <c:pt idx="10">
                  <c:v>55</c:v>
                </c:pt>
                <c:pt idx="11">
                  <c:v>60</c:v>
                </c:pt>
                <c:pt idx="12">
                  <c:v>65</c:v>
                </c:pt>
              </c:numCache>
            </c:numRef>
          </c:yVal>
          <c:smooth val="0"/>
          <c:extLst>
            <c:ext xmlns:c16="http://schemas.microsoft.com/office/drawing/2014/chart" uri="{C3380CC4-5D6E-409C-BE32-E72D297353CC}">
              <c16:uniqueId val="{00000001-13CE-D84D-92BD-9E2F41C6D024}"/>
            </c:ext>
          </c:extLst>
        </c:ser>
        <c:dLbls>
          <c:showLegendKey val="0"/>
          <c:showVal val="0"/>
          <c:showCatName val="0"/>
          <c:showSerName val="0"/>
          <c:showPercent val="0"/>
          <c:showBubbleSize val="0"/>
        </c:dLbls>
        <c:axId val="2036384040"/>
        <c:axId val="2036378360"/>
      </c:scatterChart>
      <c:valAx>
        <c:axId val="2036384040"/>
        <c:scaling>
          <c:orientation val="minMax"/>
        </c:scaling>
        <c:delete val="0"/>
        <c:axPos val="b"/>
        <c:title>
          <c:tx>
            <c:rich>
              <a:bodyPr/>
              <a:lstStyle/>
              <a:p>
                <a:pPr>
                  <a:defRPr/>
                </a:pPr>
                <a:r>
                  <a:rPr lang="en-US"/>
                  <a:t>Quantidade de moeda nacional </a:t>
                </a:r>
              </a:p>
              <a:p>
                <a:pPr>
                  <a:defRPr/>
                </a:pPr>
                <a:r>
                  <a:rPr lang="en-US"/>
                  <a:t>trocadas por moeda estrangeira</a:t>
                </a:r>
              </a:p>
            </c:rich>
          </c:tx>
          <c:layout>
            <c:manualLayout>
              <c:xMode val="edge"/>
              <c:yMode val="edge"/>
              <c:x val="0.61762106659744598"/>
              <c:y val="0.85675553167130103"/>
            </c:manualLayout>
          </c:layout>
          <c:overlay val="0"/>
        </c:title>
        <c:numFmt formatCode="General" sourceLinked="1"/>
        <c:majorTickMark val="out"/>
        <c:minorTickMark val="none"/>
        <c:tickLblPos val="nextTo"/>
        <c:crossAx val="2036378360"/>
        <c:crosses val="autoZero"/>
        <c:crossBetween val="midCat"/>
      </c:valAx>
      <c:valAx>
        <c:axId val="2036378360"/>
        <c:scaling>
          <c:orientation val="minMax"/>
        </c:scaling>
        <c:delete val="0"/>
        <c:axPos val="l"/>
        <c:title>
          <c:tx>
            <c:rich>
              <a:bodyPr rot="0" vert="horz"/>
              <a:lstStyle/>
              <a:p>
                <a:pPr>
                  <a:defRPr/>
                </a:pPr>
                <a:r>
                  <a:rPr lang="en-US"/>
                  <a:t>Taxa de câmbio real</a:t>
                </a:r>
              </a:p>
            </c:rich>
          </c:tx>
          <c:layout>
            <c:manualLayout>
              <c:xMode val="edge"/>
              <c:yMode val="edge"/>
              <c:x val="1.9536019536019501E-2"/>
              <c:y val="0.14036776560200001"/>
            </c:manualLayout>
          </c:layout>
          <c:overlay val="0"/>
        </c:title>
        <c:numFmt formatCode="General" sourceLinked="1"/>
        <c:majorTickMark val="out"/>
        <c:minorTickMark val="none"/>
        <c:tickLblPos val="nextTo"/>
        <c:crossAx val="2036384040"/>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Investimento</a:t>
            </a:r>
            <a:r>
              <a:rPr lang="en-US" baseline="0"/>
              <a:t> externo líquido x Taxa de juros real</a:t>
            </a:r>
            <a:endParaRPr lang="en-US"/>
          </a:p>
        </c:rich>
      </c:tx>
      <c:layout>
        <c:manualLayout>
          <c:xMode val="edge"/>
          <c:yMode val="edge"/>
          <c:x val="0.125368956743003"/>
          <c:y val="2.1680216802168001E-2"/>
        </c:manualLayout>
      </c:layout>
      <c:overlay val="0"/>
    </c:title>
    <c:autoTitleDeleted val="0"/>
    <c:plotArea>
      <c:layout>
        <c:manualLayout>
          <c:layoutTarget val="inner"/>
          <c:xMode val="edge"/>
          <c:yMode val="edge"/>
          <c:x val="4.0788804071246798E-2"/>
          <c:y val="7.40715134185463E-2"/>
          <c:w val="0.90647922134733105"/>
          <c:h val="0.68969123651210396"/>
        </c:manualLayout>
      </c:layout>
      <c:scatterChart>
        <c:scatterStyle val="lineMarker"/>
        <c:varyColors val="0"/>
        <c:ser>
          <c:idx val="0"/>
          <c:order val="0"/>
          <c:tx>
            <c:strRef>
              <c:f>'Figura 3'!$B$1</c:f>
              <c:strCache>
                <c:ptCount val="1"/>
                <c:pt idx="0">
                  <c:v>Taxa de juros real</c:v>
                </c:pt>
              </c:strCache>
            </c:strRef>
          </c:tx>
          <c:marker>
            <c:symbol val="none"/>
          </c:marker>
          <c:xVal>
            <c:numRef>
              <c:f>'Figura 3'!$A$2:$A$14</c:f>
              <c:numCache>
                <c:formatCode>General</c:formatCode>
                <c:ptCount val="13"/>
                <c:pt idx="0">
                  <c:v>-30</c:v>
                </c:pt>
                <c:pt idx="1">
                  <c:v>-25</c:v>
                </c:pt>
                <c:pt idx="2">
                  <c:v>-20</c:v>
                </c:pt>
                <c:pt idx="3">
                  <c:v>-15</c:v>
                </c:pt>
                <c:pt idx="4">
                  <c:v>-10</c:v>
                </c:pt>
                <c:pt idx="5">
                  <c:v>-5</c:v>
                </c:pt>
                <c:pt idx="6">
                  <c:v>0</c:v>
                </c:pt>
                <c:pt idx="7">
                  <c:v>5</c:v>
                </c:pt>
                <c:pt idx="8">
                  <c:v>10</c:v>
                </c:pt>
                <c:pt idx="9">
                  <c:v>15</c:v>
                </c:pt>
                <c:pt idx="10">
                  <c:v>20</c:v>
                </c:pt>
                <c:pt idx="11">
                  <c:v>25</c:v>
                </c:pt>
                <c:pt idx="12">
                  <c:v>30</c:v>
                </c:pt>
              </c:numCache>
            </c:numRef>
          </c:xVal>
          <c:yVal>
            <c:numRef>
              <c:f>'Figura 3'!$B$2:$B$14</c:f>
              <c:numCache>
                <c:formatCode>General</c:formatCode>
                <c:ptCount val="13"/>
                <c:pt idx="3">
                  <c:v>65</c:v>
                </c:pt>
                <c:pt idx="4">
                  <c:v>55</c:v>
                </c:pt>
                <c:pt idx="5">
                  <c:v>45</c:v>
                </c:pt>
                <c:pt idx="6">
                  <c:v>35</c:v>
                </c:pt>
                <c:pt idx="7">
                  <c:v>25</c:v>
                </c:pt>
                <c:pt idx="8">
                  <c:v>15</c:v>
                </c:pt>
                <c:pt idx="9">
                  <c:v>5</c:v>
                </c:pt>
              </c:numCache>
            </c:numRef>
          </c:yVal>
          <c:smooth val="0"/>
          <c:extLst>
            <c:ext xmlns:c16="http://schemas.microsoft.com/office/drawing/2014/chart" uri="{C3380CC4-5D6E-409C-BE32-E72D297353CC}">
              <c16:uniqueId val="{00000000-940E-274B-B127-99A3FBA5587C}"/>
            </c:ext>
          </c:extLst>
        </c:ser>
        <c:dLbls>
          <c:showLegendKey val="0"/>
          <c:showVal val="0"/>
          <c:showCatName val="0"/>
          <c:showSerName val="0"/>
          <c:showPercent val="0"/>
          <c:showBubbleSize val="0"/>
        </c:dLbls>
        <c:axId val="2036345352"/>
        <c:axId val="2036339800"/>
      </c:scatterChart>
      <c:valAx>
        <c:axId val="2036345352"/>
        <c:scaling>
          <c:orientation val="minMax"/>
        </c:scaling>
        <c:delete val="0"/>
        <c:axPos val="b"/>
        <c:title>
          <c:tx>
            <c:rich>
              <a:bodyPr/>
              <a:lstStyle/>
              <a:p>
                <a:pPr>
                  <a:defRPr/>
                </a:pPr>
                <a:r>
                  <a:rPr lang="en-US"/>
                  <a:t>Investimento externo</a:t>
                </a:r>
              </a:p>
              <a:p>
                <a:pPr>
                  <a:defRPr/>
                </a:pPr>
                <a:r>
                  <a:rPr lang="en-US"/>
                  <a:t> líquido</a:t>
                </a:r>
              </a:p>
            </c:rich>
          </c:tx>
          <c:layout>
            <c:manualLayout>
              <c:xMode val="edge"/>
              <c:yMode val="edge"/>
              <c:x val="0.74738714912544302"/>
              <c:y val="0.63356820234869105"/>
            </c:manualLayout>
          </c:layout>
          <c:overlay val="0"/>
        </c:title>
        <c:numFmt formatCode="General" sourceLinked="1"/>
        <c:majorTickMark val="out"/>
        <c:minorTickMark val="none"/>
        <c:tickLblPos val="nextTo"/>
        <c:crossAx val="2036339800"/>
        <c:crosses val="autoZero"/>
        <c:crossBetween val="midCat"/>
      </c:valAx>
      <c:valAx>
        <c:axId val="2036339800"/>
        <c:scaling>
          <c:orientation val="minMax"/>
        </c:scaling>
        <c:delete val="1"/>
        <c:axPos val="l"/>
        <c:title>
          <c:tx>
            <c:rich>
              <a:bodyPr rot="0" vert="horz"/>
              <a:lstStyle/>
              <a:p>
                <a:pPr>
                  <a:defRPr/>
                </a:pPr>
                <a:r>
                  <a:rPr lang="en-US"/>
                  <a:t>Taxa de juros real</a:t>
                </a:r>
              </a:p>
            </c:rich>
          </c:tx>
          <c:layout>
            <c:manualLayout>
              <c:xMode val="edge"/>
              <c:yMode val="edge"/>
              <c:x val="1.27226463104326E-2"/>
              <c:y val="0.17992335313914001"/>
            </c:manualLayout>
          </c:layout>
          <c:overlay val="0"/>
        </c:title>
        <c:numFmt formatCode="General" sourceLinked="1"/>
        <c:majorTickMark val="out"/>
        <c:minorTickMark val="none"/>
        <c:tickLblPos val="none"/>
        <c:crossAx val="203634535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0.31444</cdr:x>
      <cdr:y>0.88856</cdr:y>
    </cdr:from>
    <cdr:to>
      <cdr:x>0.53306</cdr:x>
      <cdr:y>0.9912</cdr:y>
    </cdr:to>
    <cdr:sp macro="" textlink="">
      <cdr:nvSpPr>
        <cdr:cNvPr id="16" name="CaixaDeTexto 15"/>
        <cdr:cNvSpPr txBox="1"/>
      </cdr:nvSpPr>
      <cdr:spPr>
        <a:xfrm xmlns:a="http://schemas.openxmlformats.org/drawingml/2006/main">
          <a:off x="2219326" y="2886074"/>
          <a:ext cx="154305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Quantidade de equilíbrio</a:t>
          </a:r>
        </a:p>
      </cdr:txBody>
    </cdr:sp>
  </cdr:relSizeAnchor>
  <cdr:relSizeAnchor xmlns:cdr="http://schemas.openxmlformats.org/drawingml/2006/chartDrawing">
    <cdr:from>
      <cdr:x>0.03644</cdr:x>
      <cdr:y>0.39003</cdr:y>
    </cdr:from>
    <cdr:to>
      <cdr:x>0.1525</cdr:x>
      <cdr:y>0.59531</cdr:y>
    </cdr:to>
    <cdr:sp macro="" textlink="">
      <cdr:nvSpPr>
        <cdr:cNvPr id="17" name="CaixaDeTexto 16"/>
        <cdr:cNvSpPr txBox="1"/>
      </cdr:nvSpPr>
      <cdr:spPr>
        <a:xfrm xmlns:a="http://schemas.openxmlformats.org/drawingml/2006/main">
          <a:off x="257176" y="1266824"/>
          <a:ext cx="819150" cy="666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Taxa de juros</a:t>
          </a:r>
        </a:p>
        <a:p xmlns:a="http://schemas.openxmlformats.org/drawingml/2006/main">
          <a:r>
            <a:rPr lang="pt-BR" sz="1100"/>
            <a:t> real de</a:t>
          </a:r>
          <a:r>
            <a:rPr lang="pt-BR" sz="1100" baseline="0"/>
            <a:t> </a:t>
          </a:r>
        </a:p>
        <a:p xmlns:a="http://schemas.openxmlformats.org/drawingml/2006/main">
          <a:r>
            <a:rPr lang="pt-BR" sz="1100" baseline="0"/>
            <a:t>equilíbrio</a:t>
          </a:r>
          <a:endParaRPr lang="pt-BR" sz="1100"/>
        </a:p>
      </cdr:txBody>
    </cdr:sp>
  </cdr:relSizeAnchor>
  <cdr:relSizeAnchor xmlns:cdr="http://schemas.openxmlformats.org/drawingml/2006/chartDrawing">
    <cdr:from>
      <cdr:x>0.25458</cdr:x>
      <cdr:y>0.48684</cdr:y>
    </cdr:from>
    <cdr:to>
      <cdr:x>0.46843</cdr:x>
      <cdr:y>0.48685</cdr:y>
    </cdr:to>
    <cdr:sp macro="" textlink="">
      <cdr:nvSpPr>
        <cdr:cNvPr id="19" name="Conector reto 18"/>
        <cdr:cNvSpPr/>
      </cdr:nvSpPr>
      <cdr:spPr>
        <a:xfrm xmlns:a="http://schemas.openxmlformats.org/drawingml/2006/main" flipH="1" flipV="1">
          <a:off x="1428748" y="1257299"/>
          <a:ext cx="1200151" cy="1"/>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0.46483</cdr:x>
      <cdr:y>0.49049</cdr:y>
    </cdr:from>
    <cdr:to>
      <cdr:x>0.46504</cdr:x>
      <cdr:y>0.77821</cdr:y>
    </cdr:to>
    <cdr:sp macro="" textlink="">
      <cdr:nvSpPr>
        <cdr:cNvPr id="21" name="Conector reto 20"/>
        <cdr:cNvSpPr/>
      </cdr:nvSpPr>
      <cdr:spPr>
        <a:xfrm xmlns:a="http://schemas.openxmlformats.org/drawingml/2006/main">
          <a:off x="2608688" y="1266708"/>
          <a:ext cx="1161" cy="743067"/>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userShapes>
</file>

<file path=word/drawings/drawing2.xml><?xml version="1.0" encoding="utf-8"?>
<c:userShapes xmlns:c="http://schemas.openxmlformats.org/drawingml/2006/chart">
  <cdr:relSizeAnchor xmlns:cdr="http://schemas.openxmlformats.org/drawingml/2006/chartDrawing">
    <cdr:from>
      <cdr:x>0.0102</cdr:x>
      <cdr:y>0.39312</cdr:y>
    </cdr:from>
    <cdr:to>
      <cdr:x>0.15096</cdr:x>
      <cdr:y>0.5774</cdr:y>
    </cdr:to>
    <cdr:sp macro="" textlink="">
      <cdr:nvSpPr>
        <cdr:cNvPr id="2" name="CaixaDeTexto 1"/>
        <cdr:cNvSpPr txBox="1"/>
      </cdr:nvSpPr>
      <cdr:spPr>
        <a:xfrm xmlns:a="http://schemas.openxmlformats.org/drawingml/2006/main">
          <a:off x="57222" y="1316555"/>
          <a:ext cx="789964" cy="6171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Taxa</a:t>
          </a:r>
          <a:r>
            <a:rPr lang="pt-BR" sz="1100" baseline="0"/>
            <a:t> de câmbio</a:t>
          </a:r>
        </a:p>
        <a:p xmlns:a="http://schemas.openxmlformats.org/drawingml/2006/main">
          <a:r>
            <a:rPr lang="pt-BR" sz="1100" baseline="0"/>
            <a:t>real de </a:t>
          </a:r>
        </a:p>
        <a:p xmlns:a="http://schemas.openxmlformats.org/drawingml/2006/main">
          <a:r>
            <a:rPr lang="pt-BR" sz="1100" baseline="0"/>
            <a:t>equilíbrio</a:t>
          </a:r>
        </a:p>
        <a:p xmlns:a="http://schemas.openxmlformats.org/drawingml/2006/main">
          <a:endParaRPr lang="pt-BR" sz="1100"/>
        </a:p>
      </cdr:txBody>
    </cdr:sp>
  </cdr:relSizeAnchor>
  <cdr:relSizeAnchor xmlns:cdr="http://schemas.openxmlformats.org/drawingml/2006/chartDrawing">
    <cdr:from>
      <cdr:x>0.3827</cdr:x>
      <cdr:y>0.86732</cdr:y>
    </cdr:from>
    <cdr:to>
      <cdr:x>0.51906</cdr:x>
      <cdr:y>1</cdr:y>
    </cdr:to>
    <cdr:sp macro="" textlink="">
      <cdr:nvSpPr>
        <cdr:cNvPr id="3" name="CaixaDeTexto 2"/>
        <cdr:cNvSpPr txBox="1"/>
      </cdr:nvSpPr>
      <cdr:spPr>
        <a:xfrm xmlns:a="http://schemas.openxmlformats.org/drawingml/2006/main">
          <a:off x="2486025" y="3362325"/>
          <a:ext cx="88582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Quantidade</a:t>
          </a:r>
          <a:r>
            <a:rPr lang="pt-BR" sz="1100" baseline="0"/>
            <a:t> de </a:t>
          </a:r>
        </a:p>
        <a:p xmlns:a="http://schemas.openxmlformats.org/drawingml/2006/main">
          <a:r>
            <a:rPr lang="pt-BR" sz="1100" baseline="0"/>
            <a:t>equilíbrio</a:t>
          </a:r>
          <a:endParaRPr lang="pt-BR" sz="1100"/>
        </a:p>
      </cdr:txBody>
    </cdr:sp>
  </cdr:relSizeAnchor>
  <cdr:relSizeAnchor xmlns:cdr="http://schemas.openxmlformats.org/drawingml/2006/chartDrawing">
    <cdr:from>
      <cdr:x>0.23082</cdr:x>
      <cdr:y>0.46928</cdr:y>
    </cdr:from>
    <cdr:to>
      <cdr:x>0.43788</cdr:x>
      <cdr:y>0.47213</cdr:y>
    </cdr:to>
    <cdr:sp macro="" textlink="">
      <cdr:nvSpPr>
        <cdr:cNvPr id="5" name="Conector reto 4"/>
        <cdr:cNvSpPr/>
      </cdr:nvSpPr>
      <cdr:spPr>
        <a:xfrm xmlns:a="http://schemas.openxmlformats.org/drawingml/2006/main" flipH="1">
          <a:off x="1295400" y="1571624"/>
          <a:ext cx="1162050" cy="9525"/>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0.43618</cdr:x>
      <cdr:y>0.48027</cdr:y>
    </cdr:from>
    <cdr:to>
      <cdr:x>0.43827</cdr:x>
      <cdr:y>0.77929</cdr:y>
    </cdr:to>
    <cdr:sp macro="" textlink="">
      <cdr:nvSpPr>
        <cdr:cNvPr id="7" name="Conector reto 6"/>
        <cdr:cNvSpPr/>
      </cdr:nvSpPr>
      <cdr:spPr>
        <a:xfrm xmlns:a="http://schemas.openxmlformats.org/drawingml/2006/main" flipH="1">
          <a:off x="2447925" y="1608428"/>
          <a:ext cx="11700" cy="1001422"/>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userShapes>
</file>

<file path=word/drawings/drawing3.xml><?xml version="1.0" encoding="utf-8"?>
<c:userShapes xmlns:c="http://schemas.openxmlformats.org/drawingml/2006/chart">
  <cdr:relSizeAnchor xmlns:cdr="http://schemas.openxmlformats.org/drawingml/2006/chartDrawing">
    <cdr:from>
      <cdr:x>0.49427</cdr:x>
      <cdr:y>0.22493</cdr:y>
    </cdr:from>
    <cdr:to>
      <cdr:x>0.49427</cdr:x>
      <cdr:y>0.81843</cdr:y>
    </cdr:to>
    <cdr:sp macro="" textlink="">
      <cdr:nvSpPr>
        <cdr:cNvPr id="3" name="Conector reto 2"/>
        <cdr:cNvSpPr/>
      </cdr:nvSpPr>
      <cdr:spPr>
        <a:xfrm xmlns:a="http://schemas.openxmlformats.org/drawingml/2006/main" flipV="1">
          <a:off x="2466975" y="790576"/>
          <a:ext cx="0" cy="2085975"/>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0.12786</cdr:x>
      <cdr:y>0.85908</cdr:y>
    </cdr:from>
    <cdr:to>
      <cdr:x>0.48282</cdr:x>
      <cdr:y>1</cdr:y>
    </cdr:to>
    <cdr:sp macro="" textlink="">
      <cdr:nvSpPr>
        <cdr:cNvPr id="4" name="CaixaDeTexto 3"/>
        <cdr:cNvSpPr txBox="1"/>
      </cdr:nvSpPr>
      <cdr:spPr>
        <a:xfrm xmlns:a="http://schemas.openxmlformats.org/drawingml/2006/main">
          <a:off x="638173" y="3019426"/>
          <a:ext cx="1771652" cy="4952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t>Investimento externo </a:t>
          </a:r>
        </a:p>
        <a:p xmlns:a="http://schemas.openxmlformats.org/drawingml/2006/main">
          <a:r>
            <a:rPr lang="pt-BR" sz="1100"/>
            <a:t>liquido negativo</a:t>
          </a:r>
        </a:p>
      </cdr:txBody>
    </cdr:sp>
  </cdr:relSizeAnchor>
  <cdr:relSizeAnchor xmlns:cdr="http://schemas.openxmlformats.org/drawingml/2006/chartDrawing">
    <cdr:from>
      <cdr:x>0.53817</cdr:x>
      <cdr:y>0.85637</cdr:y>
    </cdr:from>
    <cdr:to>
      <cdr:x>0.79198</cdr:x>
      <cdr:y>0.99729</cdr:y>
    </cdr:to>
    <cdr:sp macro="" textlink="">
      <cdr:nvSpPr>
        <cdr:cNvPr id="5" name="CaixaDeTexto 4"/>
        <cdr:cNvSpPr txBox="1"/>
      </cdr:nvSpPr>
      <cdr:spPr>
        <a:xfrm xmlns:a="http://schemas.openxmlformats.org/drawingml/2006/main">
          <a:off x="2686049" y="3009901"/>
          <a:ext cx="1266826" cy="4953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1100">
              <a:latin typeface="+mn-lt"/>
              <a:ea typeface="+mn-ea"/>
              <a:cs typeface="+mn-cs"/>
            </a:rPr>
            <a:t>Investimento </a:t>
          </a:r>
        </a:p>
        <a:p xmlns:a="http://schemas.openxmlformats.org/drawingml/2006/main">
          <a:r>
            <a:rPr lang="pt-BR" sz="1100">
              <a:latin typeface="+mn-lt"/>
              <a:ea typeface="+mn-ea"/>
              <a:cs typeface="+mn-cs"/>
            </a:rPr>
            <a:t>externo liquido positivo</a:t>
          </a:r>
          <a:endParaRPr lang="pt-BR"/>
        </a:p>
        <a:p xmlns:a="http://schemas.openxmlformats.org/drawingml/2006/main">
          <a:endParaRPr lang="pt-BR" sz="1100"/>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17CC0-D45B-B74B-9C20-70AA76E0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2847</Words>
  <Characters>16229</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dc:creator>
  <cp:lastModifiedBy>Reinaldo Pacheco da Costa</cp:lastModifiedBy>
  <cp:revision>3</cp:revision>
  <dcterms:created xsi:type="dcterms:W3CDTF">2018-11-13T18:46:00Z</dcterms:created>
  <dcterms:modified xsi:type="dcterms:W3CDTF">2018-11-13T18:47:00Z</dcterms:modified>
</cp:coreProperties>
</file>