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C" w:rsidRDefault="00C9389C" w:rsidP="00E9731E">
      <w:pPr>
        <w:shd w:val="clear" w:color="auto" w:fill="F7E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DEPARTAMENTO DE MEDICINA SOCIAL – FMRP – USP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DISCIPLINA SAÚDE PÚBLICA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ROTEIRO 3</w:t>
      </w:r>
    </w:p>
    <w:p w:rsidR="00E9731E" w:rsidRPr="00E9731E" w:rsidRDefault="00E9731E" w:rsidP="008A134F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FINANCIAMENTO E CUSTOS DA ASSISTÊNCIA À SAÚDE NO BRASIL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1- </w:t>
      </w: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Leia o texto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Gestão Financeira do Sistema Único de Saúde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disponível em “Leituras”. </w:t>
      </w:r>
      <w:r w:rsidRPr="00E9731E">
        <w:rPr>
          <w:rFonts w:ascii="Arial" w:eastAsia="MS Mincho" w:hAnsi="Arial" w:cs="Arial"/>
          <w:sz w:val="24"/>
          <w:szCs w:val="24"/>
          <w:lang w:eastAsia="pt-BR"/>
        </w:rPr>
        <w:t xml:space="preserve">Veja as Fontes do financiamento da saúde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segundo as três esferas de governo.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2- Entre em:</w:t>
      </w:r>
    </w:p>
    <w:p w:rsidR="005C03E8" w:rsidRDefault="008A134F" w:rsidP="00E9731E">
      <w:pPr>
        <w:shd w:val="clear" w:color="auto" w:fill="F7EFFF"/>
        <w:spacing w:before="100" w:beforeAutospacing="1" w:after="0" w:line="240" w:lineRule="auto"/>
        <w:jc w:val="both"/>
        <w:rPr>
          <w:rFonts w:ascii="Arial" w:eastAsia="MS Mincho" w:hAnsi="Arial" w:cs="Arial"/>
          <w:sz w:val="24"/>
          <w:szCs w:val="20"/>
          <w:lang w:eastAsia="pt-BR"/>
        </w:rPr>
      </w:pPr>
      <w:hyperlink r:id="rId4" w:history="1">
        <w:r>
          <w:rPr>
            <w:rStyle w:val="Hyperlink"/>
          </w:rPr>
          <w:t>https://www.scielosp.org/article/csc/2016.v21n2/411-422/</w:t>
        </w:r>
      </w:hyperlink>
      <w:r>
        <w:t xml:space="preserve"> 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e entenda um pouco sobre a Emenda Constitucional 29.</w:t>
      </w:r>
      <w:r w:rsidR="00E9731E" w:rsidRPr="00E9731E">
        <w:rPr>
          <w:rFonts w:ascii="Arial" w:eastAsia="MS Mincho" w:hAnsi="Arial" w:cs="Arial"/>
          <w:sz w:val="24"/>
          <w:szCs w:val="20"/>
          <w:lang w:eastAsia="pt-BR"/>
        </w:rPr>
        <w:t xml:space="preserve">     </w:t>
      </w:r>
    </w:p>
    <w:p w:rsidR="002A779D" w:rsidRDefault="005C03E8" w:rsidP="00E9731E">
      <w:pPr>
        <w:shd w:val="clear" w:color="auto" w:fill="F7EFFF"/>
        <w:spacing w:before="100" w:beforeAutospacing="1" w:after="0" w:line="240" w:lineRule="auto"/>
        <w:jc w:val="both"/>
        <w:rPr>
          <w:rFonts w:ascii="Arial" w:eastAsia="MS Mincho" w:hAnsi="Arial" w:cs="Arial"/>
          <w:sz w:val="24"/>
          <w:szCs w:val="20"/>
          <w:lang w:eastAsia="pt-BR"/>
        </w:rPr>
      </w:pPr>
      <w:r>
        <w:rPr>
          <w:rFonts w:ascii="Arial" w:eastAsia="MS Mincho" w:hAnsi="Arial" w:cs="Arial"/>
          <w:sz w:val="24"/>
          <w:szCs w:val="20"/>
          <w:lang w:eastAsia="pt-BR"/>
        </w:rPr>
        <w:t>3- O que é a EC-95?</w:t>
      </w:r>
      <w:r w:rsidR="002A779D">
        <w:rPr>
          <w:rFonts w:ascii="Arial" w:eastAsia="MS Mincho" w:hAnsi="Arial" w:cs="Arial"/>
          <w:sz w:val="24"/>
          <w:szCs w:val="20"/>
          <w:lang w:eastAsia="pt-BR"/>
        </w:rPr>
        <w:t xml:space="preserve"> Quais são suas consequências para o SUS?</w:t>
      </w:r>
      <w:r w:rsidR="006F0C23">
        <w:rPr>
          <w:rFonts w:ascii="Arial" w:eastAsia="MS Mincho" w:hAnsi="Arial" w:cs="Arial"/>
          <w:sz w:val="24"/>
          <w:szCs w:val="20"/>
          <w:lang w:eastAsia="pt-BR"/>
        </w:rPr>
        <w:t xml:space="preserve"> Veja esse fragmento do texto de Lenir Santos e </w:t>
      </w:r>
      <w:proofErr w:type="spellStart"/>
      <w:r w:rsidR="006F0C23">
        <w:rPr>
          <w:rFonts w:ascii="Arial" w:eastAsia="MS Mincho" w:hAnsi="Arial" w:cs="Arial"/>
          <w:sz w:val="24"/>
          <w:szCs w:val="20"/>
          <w:lang w:eastAsia="pt-BR"/>
        </w:rPr>
        <w:t>Franscisco</w:t>
      </w:r>
      <w:proofErr w:type="spellEnd"/>
      <w:r w:rsidR="006F0C23">
        <w:rPr>
          <w:rFonts w:ascii="Arial" w:eastAsia="MS Mincho" w:hAnsi="Arial" w:cs="Arial"/>
          <w:sz w:val="24"/>
          <w:szCs w:val="20"/>
          <w:lang w:eastAsia="pt-BR"/>
        </w:rPr>
        <w:t xml:space="preserve"> </w:t>
      </w:r>
      <w:proofErr w:type="spellStart"/>
      <w:r w:rsidR="006F0C23">
        <w:rPr>
          <w:rFonts w:ascii="Arial" w:eastAsia="MS Mincho" w:hAnsi="Arial" w:cs="Arial"/>
          <w:sz w:val="24"/>
          <w:szCs w:val="20"/>
          <w:lang w:eastAsia="pt-BR"/>
        </w:rPr>
        <w:t>Fúncia</w:t>
      </w:r>
      <w:proofErr w:type="spellEnd"/>
      <w:r w:rsidR="006F0C23">
        <w:rPr>
          <w:rFonts w:ascii="Arial" w:eastAsia="MS Mincho" w:hAnsi="Arial" w:cs="Arial"/>
          <w:sz w:val="24"/>
          <w:szCs w:val="20"/>
          <w:lang w:eastAsia="pt-BR"/>
        </w:rPr>
        <w:t xml:space="preserve">  </w:t>
      </w:r>
    </w:p>
    <w:p w:rsidR="006F0C23" w:rsidRDefault="006F0C23" w:rsidP="00E9731E">
      <w:pPr>
        <w:shd w:val="clear" w:color="auto" w:fill="F7EFFF"/>
        <w:spacing w:before="100" w:beforeAutospacing="1" w:after="0" w:line="240" w:lineRule="auto"/>
        <w:jc w:val="both"/>
        <w:rPr>
          <w:rFonts w:ascii="Arial" w:eastAsia="MS Mincho" w:hAnsi="Arial" w:cs="Arial"/>
          <w:sz w:val="24"/>
          <w:szCs w:val="20"/>
          <w:lang w:eastAsia="pt-BR"/>
        </w:rPr>
      </w:pPr>
    </w:p>
    <w:p w:rsidR="002A779D" w:rsidRPr="006F0C23" w:rsidRDefault="006F0C23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“</w:t>
      </w:r>
      <w:r w:rsidR="002A779D" w:rsidRPr="006F0C23">
        <w:rPr>
          <w:rFonts w:ascii="Arial" w:hAnsi="Arial" w:cs="Arial"/>
          <w:i/>
          <w:color w:val="3F3F3F"/>
          <w:sz w:val="23"/>
          <w:szCs w:val="23"/>
        </w:rPr>
        <w:t>Com a EC 95, a saúde deixará de ser</w:t>
      </w:r>
      <w:r w:rsidR="002A779D" w:rsidRPr="006F0C23">
        <w:rPr>
          <w:rStyle w:val="nfase"/>
          <w:rFonts w:ascii="Arial" w:hAnsi="Arial" w:cs="Arial"/>
          <w:i w:val="0"/>
          <w:color w:val="3F3F3F"/>
          <w:sz w:val="23"/>
          <w:szCs w:val="23"/>
        </w:rPr>
        <w:t> subfinanciada</w:t>
      </w:r>
      <w:r w:rsidR="002A779D" w:rsidRPr="006F0C23">
        <w:rPr>
          <w:rFonts w:ascii="Arial" w:hAnsi="Arial" w:cs="Arial"/>
          <w:i/>
          <w:color w:val="3F3F3F"/>
          <w:sz w:val="23"/>
          <w:szCs w:val="23"/>
        </w:rPr>
        <w:t> para ser</w:t>
      </w:r>
      <w:r w:rsidR="002A779D" w:rsidRPr="006F0C23">
        <w:rPr>
          <w:rStyle w:val="nfase"/>
          <w:rFonts w:ascii="Arial" w:hAnsi="Arial" w:cs="Arial"/>
          <w:i w:val="0"/>
          <w:color w:val="3F3F3F"/>
          <w:sz w:val="23"/>
          <w:szCs w:val="23"/>
        </w:rPr>
        <w:t> </w:t>
      </w:r>
      <w:proofErr w:type="spellStart"/>
      <w:r w:rsidR="002A779D" w:rsidRPr="006F0C23">
        <w:rPr>
          <w:rStyle w:val="nfase"/>
          <w:rFonts w:ascii="Arial" w:hAnsi="Arial" w:cs="Arial"/>
          <w:i w:val="0"/>
          <w:color w:val="3F3F3F"/>
          <w:sz w:val="23"/>
          <w:szCs w:val="23"/>
        </w:rPr>
        <w:t>desfinanciada</w:t>
      </w:r>
      <w:proofErr w:type="spellEnd"/>
      <w:r w:rsidR="002A779D" w:rsidRPr="006F0C23">
        <w:rPr>
          <w:rFonts w:ascii="Arial" w:hAnsi="Arial" w:cs="Arial"/>
          <w:i/>
          <w:color w:val="3F3F3F"/>
          <w:sz w:val="23"/>
          <w:szCs w:val="23"/>
        </w:rPr>
        <w:t>, ou seja, perderá recursos anualmente para enfrentar as demandas da sociedade. Como se financiará a incorporação de novos medicamentos e de novas tecnologias que surgem de modo veloz, pois a biotecnologia e a tecnologia da informação não param de evoluir? Elas serão congeladas? E as necessárias e que ainda nem mesmo foram incorporadas?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O sistema de saúde não está consolidado do ponto de vista de sua sustentabilidade financeira, pois ainda faltam medicamentos, atendimentos, consultas, exames na qualidade e suficiência necessárias para a população brasileira. Os tratamentos de câncer são demorados, impondo ao doente prazos de espera incompatíveis com as suas necessidades, violando-se a lei que exige tratamento a partir de 60 dias da confirmação do diagnóstico. Congela-se um sistema </w:t>
      </w:r>
      <w:r w:rsidRPr="006F0C23">
        <w:rPr>
          <w:rStyle w:val="nfase"/>
          <w:rFonts w:ascii="Arial" w:hAnsi="Arial" w:cs="Arial"/>
          <w:i w:val="0"/>
          <w:color w:val="3F3F3F"/>
          <w:sz w:val="23"/>
          <w:szCs w:val="23"/>
        </w:rPr>
        <w:t>insuficiente</w:t>
      </w:r>
      <w:r w:rsidRPr="006F0C23">
        <w:rPr>
          <w:rFonts w:ascii="Arial" w:hAnsi="Arial" w:cs="Arial"/>
          <w:i/>
          <w:color w:val="3F3F3F"/>
          <w:sz w:val="23"/>
          <w:szCs w:val="23"/>
        </w:rPr>
        <w:t>, que ainda não cumpriu o mandamento constitucional de garantia do direito, dando origem a um sistema que poderá ser inoperante.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A tabela[</w:t>
      </w:r>
      <w:bookmarkStart w:id="0" w:name="sdfootnote2anc"/>
      <w:r w:rsidRPr="006F0C23">
        <w:rPr>
          <w:rFonts w:ascii="Arial" w:hAnsi="Arial" w:cs="Arial"/>
          <w:i/>
          <w:color w:val="3F3F3F"/>
          <w:sz w:val="23"/>
          <w:szCs w:val="23"/>
        </w:rPr>
        <w:fldChar w:fldCharType="begin"/>
      </w:r>
      <w:r w:rsidRPr="006F0C23">
        <w:rPr>
          <w:rFonts w:ascii="Arial" w:hAnsi="Arial" w:cs="Arial"/>
          <w:i/>
          <w:color w:val="3F3F3F"/>
          <w:sz w:val="23"/>
          <w:szCs w:val="23"/>
        </w:rPr>
        <w:instrText xml:space="preserve"> HYPERLINK "https://www.conjur.com.br/2019-jan-21/opiniao-ec-95-fere-nucleo-essencial-direito-saude?fbclid=IwAR2RkQJmZxa7oSdFq996JnfXtO01iB_AvQEheazpsVgpE6LhzipoCowNsHE" \l "sdfootnote2sym" </w:instrText>
      </w:r>
      <w:r w:rsidRPr="006F0C23">
        <w:rPr>
          <w:rFonts w:ascii="Arial" w:hAnsi="Arial" w:cs="Arial"/>
          <w:i/>
          <w:color w:val="3F3F3F"/>
          <w:sz w:val="23"/>
          <w:szCs w:val="23"/>
        </w:rPr>
        <w:fldChar w:fldCharType="separate"/>
      </w:r>
      <w:r w:rsidRPr="006F0C23">
        <w:rPr>
          <w:rStyle w:val="Hyperlink"/>
          <w:rFonts w:ascii="Arial" w:hAnsi="Arial" w:cs="Arial"/>
          <w:i/>
          <w:color w:val="E96E00"/>
          <w:sz w:val="23"/>
          <w:szCs w:val="23"/>
        </w:rPr>
        <w:t>2</w:t>
      </w:r>
      <w:r w:rsidRPr="006F0C23">
        <w:rPr>
          <w:rFonts w:ascii="Arial" w:hAnsi="Arial" w:cs="Arial"/>
          <w:i/>
          <w:color w:val="3F3F3F"/>
          <w:sz w:val="23"/>
          <w:szCs w:val="23"/>
        </w:rPr>
        <w:fldChar w:fldCharType="end"/>
      </w:r>
      <w:bookmarkEnd w:id="0"/>
      <w:r w:rsidRPr="006F0C23">
        <w:rPr>
          <w:rFonts w:ascii="Arial" w:hAnsi="Arial" w:cs="Arial"/>
          <w:i/>
          <w:color w:val="3F3F3F"/>
          <w:sz w:val="23"/>
          <w:szCs w:val="23"/>
        </w:rPr>
        <w:t>] abaixo ilustra a queda do piso federal do SUS em relação à receita corrente líquida, consequência direta da nova regra estabelecida pela EC 95/2016[</w:t>
      </w:r>
      <w:hyperlink r:id="rId5" w:history="1">
        <w:r w:rsidRPr="006F0C23">
          <w:rPr>
            <w:rStyle w:val="Hyperlink"/>
            <w:rFonts w:ascii="Arial" w:hAnsi="Arial" w:cs="Arial"/>
            <w:i/>
            <w:color w:val="E96E00"/>
            <w:sz w:val="23"/>
            <w:szCs w:val="23"/>
          </w:rPr>
          <w:t>3</w:t>
        </w:r>
      </w:hyperlink>
      <w:r w:rsidRPr="006F0C23">
        <w:rPr>
          <w:rFonts w:ascii="Arial" w:hAnsi="Arial" w:cs="Arial"/>
          <w:i/>
          <w:color w:val="3F3F3F"/>
          <w:sz w:val="23"/>
          <w:szCs w:val="23"/>
        </w:rPr>
        <w:t>].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noProof/>
          <w:color w:val="3F3F3F"/>
          <w:sz w:val="23"/>
          <w:szCs w:val="23"/>
        </w:rPr>
        <w:lastRenderedPageBreak/>
        <w:drawing>
          <wp:inline distT="0" distB="0" distL="0" distR="0">
            <wp:extent cx="4762500" cy="2457450"/>
            <wp:effectExtent l="0" t="0" r="0" b="0"/>
            <wp:docPr id="1" name="Imagem 1" descr="https://www.conjur.com.br/img/b/tabela-artigo-ec-95-fere-nucleo-essenci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jur.com.br/img/b/tabela-artigo-ec-95-fere-nucleo-essencia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Nenhum centavo de crescimento da receita da União será destinado para o financiamento do SUS e das demais políticas públicas como a educação, transporte, habitação, saneamento, assistência social etc. nesse período de 20 anos de vigência da EC 95/2016, porque será alocado para o pagamento de juros e amortização da dívida pública.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A EC 95, ao congelar o piso da saúde por 20 anos, estará diminuindo gradualmente o percentual que deve incidir sobre as receitas correntes líquidas pelo fato de a mesma não mais corresponder à arrecadação anual das receitas. Nesse sentido, o piso da saúde foi alterado pela EC 95, ainda que sem alteração nominal, na medida em que não irá acompanhar o crescimento anual da receita líquida conforme determina a EC 86, diferentemente do que afirma a decisão da PGR em relação à ADI 5.658.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Por fim, congelar recursos é o mesmo que congelar serviços: todos acham que o SUS pode congelar seus serviços nos níveis de 2017, sem nenhum acréscimo real sem gravíssimos danos ao sistema e à saúde das pessoas? Ou teremos que esperar pelo aumento de doenças e mortes para então comprovar que a EC 95 é inconstitucional e faz mal à saúde?</w:t>
      </w:r>
    </w:p>
    <w:p w:rsidR="006F0C23" w:rsidRDefault="006F0C23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2A779D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*Francisco </w:t>
      </w:r>
      <w:proofErr w:type="spellStart"/>
      <w:r>
        <w:rPr>
          <w:rFonts w:ascii="Arial" w:hAnsi="Arial" w:cs="Arial"/>
          <w:color w:val="3F3F3F"/>
          <w:sz w:val="23"/>
          <w:szCs w:val="23"/>
        </w:rPr>
        <w:t>Funcia</w:t>
      </w:r>
      <w:proofErr w:type="spellEnd"/>
      <w:r>
        <w:rPr>
          <w:rFonts w:ascii="Arial" w:hAnsi="Arial" w:cs="Arial"/>
          <w:color w:val="3F3F3F"/>
          <w:sz w:val="23"/>
          <w:szCs w:val="23"/>
        </w:rPr>
        <w:t> é economista e mestre em Economia Política pela PUC-SP.</w:t>
      </w:r>
    </w:p>
    <w:p w:rsidR="002A779D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*Lenir Santos é advogada, especialista em Direito Sanitário pela USP, doutora em Saúde Pública pela Unicamp e coordenadora dos cursos de especialização do </w:t>
      </w:r>
      <w:proofErr w:type="spellStart"/>
      <w:r>
        <w:rPr>
          <w:rFonts w:ascii="Arial" w:hAnsi="Arial" w:cs="Arial"/>
          <w:color w:val="3F3F3F"/>
          <w:sz w:val="23"/>
          <w:szCs w:val="23"/>
        </w:rPr>
        <w:t>Idisa</w:t>
      </w:r>
      <w:proofErr w:type="spellEnd"/>
      <w:r>
        <w:rPr>
          <w:rFonts w:ascii="Arial" w:hAnsi="Arial" w:cs="Arial"/>
          <w:color w:val="3F3F3F"/>
          <w:sz w:val="23"/>
          <w:szCs w:val="23"/>
        </w:rPr>
        <w:t xml:space="preserve"> — Instituto de Direito Sanitário Aplicado</w:t>
      </w:r>
    </w:p>
    <w:p w:rsidR="00E9731E" w:rsidRPr="00E9731E" w:rsidRDefault="00E9731E" w:rsidP="006F0C23">
      <w:pPr>
        <w:shd w:val="clear" w:color="auto" w:fill="E5DFEC" w:themeFill="accent4" w:themeFillTint="3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MS Mincho" w:hAnsi="Arial" w:cs="Arial"/>
          <w:sz w:val="24"/>
          <w:szCs w:val="20"/>
          <w:lang w:eastAsia="pt-BR"/>
        </w:rPr>
        <w:t xml:space="preserve">           </w:t>
      </w:r>
      <w:r w:rsidRPr="00E9731E">
        <w:rPr>
          <w:rFonts w:ascii="Arial" w:eastAsia="MS Mincho" w:hAnsi="Arial" w:cs="Arial"/>
          <w:sz w:val="24"/>
          <w:szCs w:val="20"/>
          <w:lang w:eastAsia="pt-BR"/>
        </w:rPr>
        <w:tab/>
      </w:r>
      <w:r w:rsidRPr="00E9731E">
        <w:rPr>
          <w:rFonts w:ascii="Arial" w:eastAsia="MS Mincho" w:hAnsi="Arial" w:cs="Arial"/>
          <w:sz w:val="24"/>
          <w:szCs w:val="20"/>
          <w:lang w:eastAsia="pt-BR"/>
        </w:rPr>
        <w:tab/>
      </w:r>
    </w:p>
    <w:p w:rsidR="00E9731E" w:rsidRPr="00E9731E" w:rsidRDefault="00C9389C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3- Acesse seu aplicativo “Onde está o dinheiro da Saúde”, desenvolvido pela FIOCRUZ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os recursos destinados à Saúde do município de sua escolha. Compare com outros. Veja o percentual destinado à Atenção Básica. </w:t>
      </w:r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>V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eja o gasto por habitante ano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o percentual gasto de acordo com a EC29. Entre no ícone “sobre” e leia sobre o SIOPS. Entre no site pelo próprio aplicativo e explore os recursos que o SIOPS pode lhe oferecer.</w:t>
      </w:r>
    </w:p>
    <w:p w:rsidR="00E9731E" w:rsidRPr="00E9731E" w:rsidRDefault="00C9389C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4</w:t>
      </w:r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>- Leia os comentários de Gilson de Carvalho postados em Leituras</w:t>
      </w:r>
    </w:p>
    <w:p w:rsidR="00E9731E" w:rsidRPr="00E9731E" w:rsidRDefault="00C9389C" w:rsidP="006F0C23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5</w:t>
      </w:r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>-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 Salve os aspectos mais relevantes do roteiro 3, pensando em seu trabalho final sobre o município de sua escolha.</w:t>
      </w:r>
      <w:bookmarkStart w:id="1" w:name="_GoBack"/>
      <w:bookmarkEnd w:id="1"/>
    </w:p>
    <w:sectPr w:rsidR="00E9731E" w:rsidRPr="00E97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E"/>
    <w:rsid w:val="002A779D"/>
    <w:rsid w:val="00324E3E"/>
    <w:rsid w:val="005C03E8"/>
    <w:rsid w:val="006F0C23"/>
    <w:rsid w:val="008A134F"/>
    <w:rsid w:val="00A90C19"/>
    <w:rsid w:val="00C9389C"/>
    <w:rsid w:val="00E5576E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0C3A-EBCF-4B70-B865-1EB3F6FE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E9731E"/>
  </w:style>
  <w:style w:type="character" w:styleId="Hyperlink">
    <w:name w:val="Hyperlink"/>
    <w:basedOn w:val="Fontepargpadro"/>
    <w:uiPriority w:val="99"/>
    <w:semiHidden/>
    <w:unhideWhenUsed/>
    <w:rsid w:val="00E9731E"/>
    <w:rPr>
      <w:color w:val="0000FF"/>
      <w:u w:val="single"/>
    </w:rPr>
  </w:style>
  <w:style w:type="character" w:customStyle="1" w:styleId="spelle">
    <w:name w:val="spelle"/>
    <w:basedOn w:val="Fontepargpadro"/>
    <w:rsid w:val="00E9731E"/>
  </w:style>
  <w:style w:type="paragraph" w:styleId="PargrafodaLista">
    <w:name w:val="List Paragraph"/>
    <w:basedOn w:val="Normal"/>
    <w:uiPriority w:val="34"/>
    <w:qFormat/>
    <w:rsid w:val="00E973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7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njur.com.br/2019-jan-21/opiniao-ec-95-fere-nucleo-essencial-direito-saude?fbclid=IwAR2RkQJmZxa7oSdFq996JnfXtO01iB_AvQEheazpsVgpE6LhzipoCowNsHE" TargetMode="External"/><Relationship Id="rId4" Type="http://schemas.openxmlformats.org/officeDocument/2006/relationships/hyperlink" Target="https://www.scielosp.org/article/csc/2016.v21n2/411-42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USER-PC</cp:lastModifiedBy>
  <cp:revision>2</cp:revision>
  <dcterms:created xsi:type="dcterms:W3CDTF">2019-09-06T13:32:00Z</dcterms:created>
  <dcterms:modified xsi:type="dcterms:W3CDTF">2019-09-06T13:32:00Z</dcterms:modified>
</cp:coreProperties>
</file>