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F5" w:rsidRDefault="003742F5" w:rsidP="00B17704">
      <w:pPr>
        <w:pStyle w:val="Simples"/>
        <w:spacing w:after="120" w:line="320" w:lineRule="atLeast"/>
      </w:pPr>
    </w:p>
    <w:p w:rsidR="003742F5" w:rsidRDefault="003742F5" w:rsidP="003742F5">
      <w:pPr>
        <w:pStyle w:val="Titulo"/>
      </w:pPr>
      <w:r>
        <w:rPr>
          <w:color w:val="808080"/>
        </w:rPr>
        <w:t>1.</w:t>
      </w:r>
      <w:r>
        <w:rPr>
          <w:rFonts w:ascii="Times New Roman" w:hAnsi="Times New Roman"/>
        </w:rPr>
        <w:tab/>
      </w:r>
      <w:r>
        <w:t>Princípios</w:t>
      </w:r>
    </w:p>
    <w:p w:rsidR="003742F5" w:rsidRDefault="003742F5" w:rsidP="003742F5">
      <w:pPr>
        <w:pStyle w:val="normaP"/>
        <w:rPr>
          <w:rFonts w:ascii="Times New Roman" w:hAnsi="Times New Roman"/>
        </w:rPr>
      </w:pPr>
    </w:p>
    <w:p w:rsidR="0066423B" w:rsidRPr="00A20778" w:rsidRDefault="0066423B" w:rsidP="003D02ED">
      <w:pPr>
        <w:pStyle w:val="Simples"/>
        <w:spacing w:after="60" w:line="280" w:lineRule="atLeast"/>
        <w:ind w:left="709"/>
      </w:pPr>
      <w:r>
        <w:t>Das disciplinas do 4º.ano</w:t>
      </w:r>
      <w:r w:rsidR="003D02ED">
        <w:t xml:space="preserve"> </w:t>
      </w:r>
      <w:r>
        <w:t xml:space="preserve">-  PCC 3411 </w:t>
      </w:r>
      <w:r w:rsidR="003D02ED">
        <w:t xml:space="preserve">Real Estate – Economia Setorial </w:t>
      </w:r>
      <w:r>
        <w:t xml:space="preserve">e PCC 3412 - </w:t>
      </w:r>
      <w:r w:rsidR="003D02ED">
        <w:t xml:space="preserve"> Real Estate – Análise de Investimentos - </w:t>
      </w:r>
      <w:r>
        <w:t xml:space="preserve">os alunos trazem os conceitos básicos que permitem </w:t>
      </w:r>
      <w:r w:rsidR="003D02ED">
        <w:t xml:space="preserve">entender o ambiente </w:t>
      </w:r>
      <w:r w:rsidR="006B614E">
        <w:t xml:space="preserve">econômico </w:t>
      </w:r>
      <w:r w:rsidR="003D02ED">
        <w:t xml:space="preserve">do real estate e </w:t>
      </w:r>
      <w:r>
        <w:t xml:space="preserve">construir indicadores para </w:t>
      </w:r>
      <w:r w:rsidR="003D02ED">
        <w:t>uso n</w:t>
      </w:r>
      <w:r>
        <w:t xml:space="preserve">as decisões de investimento. Já do módulo de Real Estate e Ambiente Construído, a disciplina de PCC 3521 </w:t>
      </w:r>
      <w:r w:rsidR="006B614E">
        <w:t xml:space="preserve">- </w:t>
      </w:r>
      <w:r>
        <w:t xml:space="preserve">Laboratório de Modelagem para análise de investimentos em real estate </w:t>
      </w:r>
      <w:r w:rsidR="006B614E">
        <w:t xml:space="preserve">- </w:t>
      </w:r>
      <w:r w:rsidR="003D02ED">
        <w:t>permitiu que os alunos desenvolvessem modelos complexos capazes de produzir com qualidade indicadores para</w:t>
      </w:r>
      <w:r w:rsidR="006B614E">
        <w:t xml:space="preserve"> orientar </w:t>
      </w:r>
      <w:r w:rsidR="003D02ED">
        <w:t>a decisão</w:t>
      </w:r>
      <w:r w:rsidR="006B614E">
        <w:t xml:space="preserve"> e investimento</w:t>
      </w:r>
      <w:r w:rsidR="003D02ED">
        <w:t>.</w:t>
      </w:r>
    </w:p>
    <w:p w:rsidR="003D02ED" w:rsidRDefault="003D02ED" w:rsidP="003D02ED">
      <w:pPr>
        <w:pStyle w:val="Simples"/>
        <w:spacing w:after="60" w:line="280" w:lineRule="atLeast"/>
        <w:ind w:left="709"/>
      </w:pPr>
      <w:r>
        <w:t>A presente disciplina tem por objetivo p</w:t>
      </w:r>
      <w:r w:rsidRPr="00A20778">
        <w:t>ermitir aos alunos o convívio com problemas reais de investimento sob risco</w:t>
      </w:r>
      <w:r>
        <w:t>,</w:t>
      </w:r>
      <w:r w:rsidRPr="00A20778">
        <w:t xml:space="preserve"> no ambiente do real estate. </w:t>
      </w:r>
    </w:p>
    <w:p w:rsidR="00A20778" w:rsidRDefault="003D02ED" w:rsidP="0066423B">
      <w:pPr>
        <w:pStyle w:val="Simples"/>
        <w:spacing w:after="60" w:line="280" w:lineRule="atLeast"/>
        <w:ind w:left="709"/>
      </w:pPr>
      <w:r>
        <w:t xml:space="preserve">Para tal, ela será desenvolvida </w:t>
      </w:r>
      <w:r w:rsidR="00A20778" w:rsidRPr="00A20778">
        <w:t>sob o regime de Jogo de Empresas (JE), no qual grupos de três alunos compõem uma administradora de Fundo de Investimento Imobiliário que, em uma economia desenhada para o JE, deve construir um portfolio de imóveis de escritórios corporativos para renda.  O ciclo de investimento é de oito anos e o portfolio pode ser reciclado a cada dois anos.</w:t>
      </w:r>
    </w:p>
    <w:p w:rsidR="00C60490" w:rsidRPr="00A20778" w:rsidRDefault="00C60490" w:rsidP="0066423B">
      <w:pPr>
        <w:pStyle w:val="Simples"/>
        <w:spacing w:after="60" w:line="280" w:lineRule="atLeast"/>
        <w:ind w:left="709"/>
      </w:pPr>
    </w:p>
    <w:p w:rsidR="00E255F2" w:rsidRPr="00C60490" w:rsidRDefault="00E255F2" w:rsidP="00E255F2">
      <w:pPr>
        <w:pStyle w:val="Simples"/>
        <w:spacing w:after="120" w:line="320" w:lineRule="atLeast"/>
      </w:pPr>
    </w:p>
    <w:p w:rsidR="00E255F2" w:rsidRDefault="00E255F2" w:rsidP="00E255F2">
      <w:pPr>
        <w:pStyle w:val="Titulo"/>
      </w:pPr>
      <w:r>
        <w:rPr>
          <w:color w:val="808080"/>
        </w:rPr>
        <w:t>2.</w:t>
      </w:r>
      <w:r>
        <w:rPr>
          <w:rFonts w:ascii="Times New Roman" w:hAnsi="Times New Roman"/>
        </w:rPr>
        <w:tab/>
      </w:r>
      <w:r>
        <w:t>Temas das Aulas</w:t>
      </w:r>
    </w:p>
    <w:p w:rsidR="006B614E" w:rsidRPr="00C60490" w:rsidRDefault="006B614E" w:rsidP="006B614E">
      <w:pPr>
        <w:pStyle w:val="Heading1"/>
        <w:spacing w:before="240"/>
        <w:ind w:left="2160" w:hanging="1440"/>
      </w:pPr>
      <w:r w:rsidRPr="00C60490">
        <w:t>Aula</w:t>
      </w:r>
      <w:r w:rsidR="007D52BA" w:rsidRPr="00C60490">
        <w:t>s</w:t>
      </w:r>
      <w:r w:rsidRPr="00C60490">
        <w:t xml:space="preserve"> 1 </w:t>
      </w:r>
      <w:r w:rsidR="007D52BA" w:rsidRPr="00C60490">
        <w:t>e 2</w:t>
      </w:r>
      <w:r w:rsidRPr="00C60490">
        <w:tab/>
        <w:t>|</w:t>
      </w:r>
      <w:r w:rsidRPr="00C60490">
        <w:tab/>
        <w:t>0</w:t>
      </w:r>
      <w:r w:rsidR="00C60490">
        <w:t>7 e 14</w:t>
      </w:r>
      <w:r w:rsidRPr="00C60490">
        <w:t xml:space="preserve"> Ago</w:t>
      </w:r>
    </w:p>
    <w:p w:rsidR="000759CA" w:rsidRDefault="000759CA" w:rsidP="000759CA">
      <w:pPr>
        <w:pStyle w:val="BodyTextIndent2"/>
        <w:ind w:left="2268"/>
        <w:rPr>
          <w:rStyle w:val="DefFS"/>
        </w:rPr>
      </w:pPr>
      <w:r>
        <w:t xml:space="preserve">Valuation de investimento em empreendimentos destinados à renda (empreendimentos de base imobiliária).  Determinação de </w:t>
      </w:r>
      <w:r w:rsidRPr="00297B65">
        <w:rPr>
          <w:smallCaps/>
        </w:rPr>
        <w:t>Voi</w:t>
      </w:r>
      <w:r>
        <w:t xml:space="preserve"> em intervalos, a partir do desenho de cenários com imposição de prognóstico de comportamento em intervalos.  Desvios de </w:t>
      </w:r>
      <w:r w:rsidRPr="00297B65">
        <w:rPr>
          <w:smallCaps/>
        </w:rPr>
        <w:t>Voi</w:t>
      </w:r>
      <w:r>
        <w:t xml:space="preserve"> provocados por stress de comportamento </w:t>
      </w:r>
      <w:r>
        <w:noBreakHyphen/>
        <w:t> perturbações contra a expectativa do cenário referencial.  As questões de mercado e dos múltiplos, como viés simplificador na valuation.  </w:t>
      </w:r>
      <w:r w:rsidRPr="00297B65">
        <w:rPr>
          <w:smallCaps/>
        </w:rPr>
        <w:t>Voi</w:t>
      </w:r>
      <w:r>
        <w:t xml:space="preserve"> dentro das ondas de mercado, particularizando as rotinas para edifícios corporativos para locação.  Prognósticos fundamentados em arbitragem de variáveis econômicas e indicadores do mercado de </w:t>
      </w:r>
      <w:r>
        <w:lastRenderedPageBreak/>
        <w:t xml:space="preserve">real estate.  Caso de investimento em edifício corporativo, com imagens sobre </w:t>
      </w:r>
      <w:r w:rsidRPr="00297B65">
        <w:rPr>
          <w:smallCaps/>
        </w:rPr>
        <w:t>Voi</w:t>
      </w:r>
      <w:r>
        <w:t xml:space="preserve"> em diferentes cenários arbitrados para o ciclo operacional.</w:t>
      </w:r>
    </w:p>
    <w:p w:rsidR="00E860C6" w:rsidRDefault="00E860C6" w:rsidP="00562A24">
      <w:pPr>
        <w:pStyle w:val="Heading1"/>
        <w:spacing w:before="240"/>
        <w:ind w:left="2160" w:hanging="1440"/>
      </w:pPr>
      <w:r w:rsidRPr="007D6CBF">
        <w:t xml:space="preserve">Aula </w:t>
      </w:r>
      <w:r w:rsidR="007D52BA">
        <w:t>3</w:t>
      </w:r>
      <w:r>
        <w:t xml:space="preserve"> </w:t>
      </w:r>
      <w:r>
        <w:tab/>
        <w:t>|</w:t>
      </w:r>
      <w:r w:rsidRPr="007D6CBF">
        <w:tab/>
      </w:r>
      <w:r w:rsidR="00C60490">
        <w:t>21</w:t>
      </w:r>
      <w:r w:rsidR="004E7126">
        <w:t xml:space="preserve"> Ago</w:t>
      </w:r>
    </w:p>
    <w:p w:rsidR="000759CA" w:rsidRPr="003E19A7" w:rsidRDefault="000759CA" w:rsidP="000759CA">
      <w:pPr>
        <w:tabs>
          <w:tab w:val="left" w:pos="3240"/>
        </w:tabs>
        <w:ind w:left="2268"/>
      </w:pPr>
      <w:r>
        <w:rPr>
          <w:rStyle w:val="DefFS"/>
          <w:szCs w:val="28"/>
        </w:rPr>
        <w:t>Fundos de Investimento Imobiliário </w:t>
      </w:r>
      <w:r>
        <w:rPr>
          <w:rStyle w:val="DefFS"/>
          <w:szCs w:val="28"/>
        </w:rPr>
        <w:noBreakHyphen/>
        <w:t> </w:t>
      </w:r>
      <w:r w:rsidRPr="001F0F0B">
        <w:rPr>
          <w:rStyle w:val="DefFS"/>
          <w:szCs w:val="28"/>
        </w:rPr>
        <w:t>F</w:t>
      </w:r>
      <w:r w:rsidRPr="001F0F0B">
        <w:rPr>
          <w:rStyle w:val="DefFS"/>
          <w:sz w:val="22"/>
          <w:szCs w:val="28"/>
        </w:rPr>
        <w:t>II</w:t>
      </w:r>
      <w:r>
        <w:rPr>
          <w:rStyle w:val="DefFS"/>
          <w:szCs w:val="28"/>
        </w:rPr>
        <w:t xml:space="preserve"> ou </w:t>
      </w:r>
      <w:r w:rsidRPr="001F0F0B">
        <w:rPr>
          <w:rStyle w:val="DefFS"/>
          <w:smallCaps/>
          <w:szCs w:val="28"/>
        </w:rPr>
        <w:t>Reit</w:t>
      </w:r>
      <w:r>
        <w:rPr>
          <w:rStyle w:val="DefFS"/>
          <w:szCs w:val="28"/>
        </w:rPr>
        <w:t>s para abrigar portfolios de investimento em imóveis destinados à locação. </w:t>
      </w:r>
      <w:r>
        <w:t>Regras e estratégias.</w:t>
      </w:r>
    </w:p>
    <w:p w:rsidR="00B05B2A" w:rsidRDefault="00B05B2A" w:rsidP="00B05B2A">
      <w:pPr>
        <w:pStyle w:val="Heading1"/>
        <w:spacing w:before="240"/>
        <w:ind w:left="2160" w:hanging="1440"/>
      </w:pPr>
      <w:r w:rsidRPr="007D6CBF">
        <w:t xml:space="preserve">Aula </w:t>
      </w:r>
      <w:r>
        <w:t xml:space="preserve">4 </w:t>
      </w:r>
      <w:r>
        <w:tab/>
        <w:t>|</w:t>
      </w:r>
      <w:r w:rsidRPr="007D6CBF">
        <w:tab/>
      </w:r>
      <w:r>
        <w:t>28 Ago</w:t>
      </w:r>
    </w:p>
    <w:p w:rsidR="000759CA" w:rsidRDefault="000759CA" w:rsidP="000759CA">
      <w:pPr>
        <w:tabs>
          <w:tab w:val="left" w:pos="3240"/>
        </w:tabs>
        <w:ind w:left="2268"/>
        <w:rPr>
          <w:rStyle w:val="DefFS"/>
          <w:szCs w:val="28"/>
        </w:rPr>
      </w:pPr>
      <w:r>
        <w:rPr>
          <w:rStyle w:val="DefFS"/>
          <w:szCs w:val="28"/>
        </w:rPr>
        <w:t xml:space="preserve">Informações sobre a estrutura do JE e os diferentes lances previstos.  Informações sobre as simplificações na estrutura dos </w:t>
      </w:r>
      <w:r w:rsidRPr="003E19A7">
        <w:rPr>
          <w:rStyle w:val="DefFS"/>
          <w:szCs w:val="28"/>
        </w:rPr>
        <w:t>F</w:t>
      </w:r>
      <w:r w:rsidRPr="003E19A7">
        <w:rPr>
          <w:rStyle w:val="DefFS"/>
          <w:sz w:val="22"/>
          <w:szCs w:val="28"/>
        </w:rPr>
        <w:t>II</w:t>
      </w:r>
      <w:r w:rsidRPr="003E19A7">
        <w:rPr>
          <w:rStyle w:val="DefFS"/>
          <w:szCs w:val="28"/>
        </w:rPr>
        <w:t xml:space="preserve"> </w:t>
      </w:r>
      <w:r>
        <w:rPr>
          <w:rStyle w:val="DefFS"/>
          <w:szCs w:val="28"/>
        </w:rPr>
        <w:t>do JE em relação às normas do mercado local.</w:t>
      </w:r>
    </w:p>
    <w:p w:rsidR="00E860C6" w:rsidRDefault="00E860C6" w:rsidP="00562A24">
      <w:pPr>
        <w:pStyle w:val="Heading1"/>
        <w:spacing w:before="240"/>
        <w:ind w:left="2160" w:hanging="1440"/>
      </w:pPr>
      <w:r w:rsidRPr="007D6CBF">
        <w:t>Aula</w:t>
      </w:r>
      <w:r w:rsidR="008C2F88">
        <w:t>s</w:t>
      </w:r>
      <w:r w:rsidRPr="007D6CBF">
        <w:t xml:space="preserve"> </w:t>
      </w:r>
      <w:r w:rsidR="008C2F88">
        <w:t>5</w:t>
      </w:r>
      <w:r>
        <w:tab/>
        <w:t>|</w:t>
      </w:r>
      <w:r w:rsidR="004E7126">
        <w:tab/>
      </w:r>
      <w:r w:rsidR="008C2F88">
        <w:t>11 Set</w:t>
      </w:r>
    </w:p>
    <w:p w:rsidR="002F6AC9" w:rsidRDefault="002F6AC9" w:rsidP="002F6AC9">
      <w:pPr>
        <w:tabs>
          <w:tab w:val="left" w:pos="3240"/>
        </w:tabs>
        <w:ind w:left="2268"/>
        <w:rPr>
          <w:rStyle w:val="DefFS"/>
          <w:szCs w:val="28"/>
        </w:rPr>
      </w:pPr>
      <w:r>
        <w:rPr>
          <w:rStyle w:val="DefFS"/>
          <w:szCs w:val="28"/>
        </w:rPr>
        <w:t>Identificação dos modelos de análise de investimento de cada grupo e assistência dos professores no refinamento da rotina de preparo de prognósticos para o JE.</w:t>
      </w:r>
    </w:p>
    <w:p w:rsidR="00AE3F1C" w:rsidRDefault="00AE3F1C" w:rsidP="00562A24">
      <w:pPr>
        <w:pStyle w:val="Heading1"/>
        <w:spacing w:before="240"/>
        <w:ind w:left="2160" w:hanging="1440"/>
      </w:pPr>
      <w:r w:rsidRPr="007D6CBF">
        <w:t>Aula</w:t>
      </w:r>
      <w:r>
        <w:t>s</w:t>
      </w:r>
      <w:r w:rsidRPr="007D6CBF">
        <w:t xml:space="preserve"> </w:t>
      </w:r>
      <w:r w:rsidR="008C2F88">
        <w:t>6</w:t>
      </w:r>
      <w:r>
        <w:tab/>
        <w:t>|</w:t>
      </w:r>
      <w:r w:rsidRPr="007D6CBF">
        <w:tab/>
      </w:r>
      <w:r w:rsidR="00C60490">
        <w:t>1</w:t>
      </w:r>
      <w:r w:rsidR="008C2F88">
        <w:t>8</w:t>
      </w:r>
      <w:r w:rsidR="00C60490">
        <w:t xml:space="preserve"> Set</w:t>
      </w:r>
      <w:r w:rsidR="004E7126">
        <w:t xml:space="preserve"> </w:t>
      </w:r>
    </w:p>
    <w:p w:rsidR="00B05B2A" w:rsidRDefault="00B05B2A" w:rsidP="002F6AC9">
      <w:pPr>
        <w:tabs>
          <w:tab w:val="left" w:pos="3240"/>
        </w:tabs>
        <w:ind w:left="2268"/>
        <w:rPr>
          <w:rStyle w:val="DefFS"/>
          <w:szCs w:val="28"/>
        </w:rPr>
      </w:pPr>
      <w:r w:rsidRPr="00BE41C5">
        <w:rPr>
          <w:rStyle w:val="DefFS"/>
          <w:b/>
          <w:szCs w:val="28"/>
        </w:rPr>
        <w:t>Etapa 1</w:t>
      </w:r>
      <w:r>
        <w:rPr>
          <w:rStyle w:val="DefFS"/>
          <w:szCs w:val="28"/>
        </w:rPr>
        <w:t xml:space="preserve"> do JE.  </w:t>
      </w:r>
    </w:p>
    <w:p w:rsidR="002F6AC9" w:rsidRDefault="002F6AC9" w:rsidP="002F6AC9">
      <w:pPr>
        <w:tabs>
          <w:tab w:val="left" w:pos="3240"/>
        </w:tabs>
        <w:ind w:left="2268"/>
        <w:rPr>
          <w:rStyle w:val="DefFS"/>
          <w:szCs w:val="28"/>
        </w:rPr>
      </w:pPr>
      <w:r>
        <w:rPr>
          <w:rStyle w:val="DefFS"/>
          <w:szCs w:val="28"/>
        </w:rPr>
        <w:t xml:space="preserve">Descrição da estratégia de cada grupo para os [ anos 1 e 2 ] do JE.  Grupos mostram como e sob quais fundamentos fizeram a montagem do portfolio do seu </w:t>
      </w:r>
      <w:r w:rsidRPr="003E19A7">
        <w:rPr>
          <w:rStyle w:val="DefFS"/>
          <w:szCs w:val="28"/>
        </w:rPr>
        <w:t>F</w:t>
      </w:r>
      <w:r w:rsidRPr="003E19A7">
        <w:rPr>
          <w:rStyle w:val="DefFS"/>
          <w:sz w:val="22"/>
          <w:szCs w:val="28"/>
        </w:rPr>
        <w:t>II</w:t>
      </w:r>
      <w:r>
        <w:rPr>
          <w:rStyle w:val="DefFS"/>
          <w:szCs w:val="28"/>
        </w:rPr>
        <w:t>.  As estratégias devem ser sustentadas e, na aula, serão debatidos prognósticos e arbitragens divergentes.</w:t>
      </w:r>
    </w:p>
    <w:p w:rsidR="00562A24" w:rsidRDefault="00562A24" w:rsidP="00562A24">
      <w:pPr>
        <w:pStyle w:val="Heading1"/>
        <w:spacing w:before="240"/>
        <w:ind w:left="2160" w:hanging="1440"/>
      </w:pPr>
      <w:r w:rsidRPr="007D6CBF">
        <w:t xml:space="preserve">Aula </w:t>
      </w:r>
      <w:r w:rsidR="008C2F88">
        <w:t>7</w:t>
      </w:r>
      <w:r>
        <w:t xml:space="preserve"> </w:t>
      </w:r>
      <w:r>
        <w:tab/>
        <w:t>|</w:t>
      </w:r>
      <w:r w:rsidR="00B05B2A">
        <w:t>25</w:t>
      </w:r>
      <w:r w:rsidR="00C60490">
        <w:t xml:space="preserve"> </w:t>
      </w:r>
      <w:r w:rsidR="004E7126">
        <w:t>Set</w:t>
      </w:r>
    </w:p>
    <w:p w:rsidR="00B05B2A" w:rsidRDefault="00B05B2A" w:rsidP="002F6AC9">
      <w:pPr>
        <w:tabs>
          <w:tab w:val="left" w:pos="3240"/>
        </w:tabs>
        <w:ind w:left="2268"/>
        <w:rPr>
          <w:rStyle w:val="DefFS"/>
          <w:szCs w:val="28"/>
        </w:rPr>
      </w:pPr>
      <w:r w:rsidRPr="00BE41C5">
        <w:rPr>
          <w:rStyle w:val="DefFS"/>
          <w:b/>
          <w:szCs w:val="28"/>
        </w:rPr>
        <w:t>Etapa 2</w:t>
      </w:r>
      <w:r>
        <w:rPr>
          <w:rStyle w:val="DefFS"/>
          <w:szCs w:val="28"/>
        </w:rPr>
        <w:t xml:space="preserve"> do JE.  </w:t>
      </w:r>
    </w:p>
    <w:p w:rsidR="002F6AC9" w:rsidRDefault="002F6AC9" w:rsidP="002F6AC9">
      <w:pPr>
        <w:tabs>
          <w:tab w:val="left" w:pos="3240"/>
        </w:tabs>
        <w:ind w:left="2268"/>
        <w:rPr>
          <w:rStyle w:val="DefFS"/>
          <w:szCs w:val="28"/>
        </w:rPr>
      </w:pPr>
      <w:r>
        <w:rPr>
          <w:rStyle w:val="DefFS"/>
          <w:szCs w:val="28"/>
        </w:rPr>
        <w:t xml:space="preserve">Grupos conhecem como o ambiente econômico e o mercado se comportaram nos [ anos 1 e 2 ] do JE.  O estado de cada </w:t>
      </w:r>
      <w:r w:rsidRPr="00947C99">
        <w:rPr>
          <w:rStyle w:val="DefFS"/>
          <w:szCs w:val="28"/>
        </w:rPr>
        <w:t>F</w:t>
      </w:r>
      <w:r w:rsidRPr="00947C99">
        <w:rPr>
          <w:rStyle w:val="DefFS"/>
          <w:sz w:val="22"/>
          <w:szCs w:val="28"/>
        </w:rPr>
        <w:t>II</w:t>
      </w:r>
      <w:r w:rsidRPr="00947C99">
        <w:rPr>
          <w:rStyle w:val="DefFS"/>
          <w:szCs w:val="28"/>
        </w:rPr>
        <w:t xml:space="preserve"> </w:t>
      </w:r>
      <w:r>
        <w:rPr>
          <w:rStyle w:val="DefFS"/>
          <w:szCs w:val="28"/>
        </w:rPr>
        <w:t>é mostrado e os resultados são comparados.</w:t>
      </w:r>
    </w:p>
    <w:p w:rsidR="00AE3F1C" w:rsidRDefault="00AE3F1C" w:rsidP="00562A24">
      <w:pPr>
        <w:pStyle w:val="Heading1"/>
        <w:spacing w:before="240"/>
        <w:ind w:left="2160" w:hanging="1440"/>
      </w:pPr>
      <w:r w:rsidRPr="007D6CBF">
        <w:lastRenderedPageBreak/>
        <w:t>Aula</w:t>
      </w:r>
      <w:r w:rsidR="00562A24">
        <w:t xml:space="preserve"> </w:t>
      </w:r>
      <w:r w:rsidR="002F6AC9">
        <w:t>8</w:t>
      </w:r>
      <w:r>
        <w:tab/>
        <w:t>|</w:t>
      </w:r>
      <w:r w:rsidRPr="007D6CBF">
        <w:tab/>
      </w:r>
      <w:r w:rsidR="002F6AC9">
        <w:t>2 Out</w:t>
      </w:r>
    </w:p>
    <w:p w:rsidR="00B05B2A" w:rsidRDefault="00B05B2A" w:rsidP="002F6AC9">
      <w:pPr>
        <w:tabs>
          <w:tab w:val="left" w:pos="3240"/>
        </w:tabs>
        <w:ind w:left="2268"/>
        <w:rPr>
          <w:rStyle w:val="DefFS"/>
          <w:szCs w:val="28"/>
        </w:rPr>
      </w:pPr>
      <w:r w:rsidRPr="00BE41C5">
        <w:rPr>
          <w:rStyle w:val="DefFS"/>
          <w:b/>
          <w:szCs w:val="28"/>
        </w:rPr>
        <w:t>Etapa 3</w:t>
      </w:r>
      <w:r>
        <w:rPr>
          <w:rStyle w:val="DefFS"/>
          <w:szCs w:val="28"/>
        </w:rPr>
        <w:t xml:space="preserve"> do JE.  </w:t>
      </w:r>
    </w:p>
    <w:p w:rsidR="002F6AC9" w:rsidRDefault="007B6F63" w:rsidP="002F6AC9">
      <w:pPr>
        <w:tabs>
          <w:tab w:val="left" w:pos="3240"/>
        </w:tabs>
        <w:ind w:left="2268"/>
        <w:rPr>
          <w:rStyle w:val="DefFS"/>
          <w:szCs w:val="28"/>
        </w:rPr>
      </w:pPr>
      <w:r>
        <w:rPr>
          <w:rStyle w:val="DefFS"/>
          <w:szCs w:val="28"/>
        </w:rPr>
        <w:t>Idem Etapa 1 para os [ anos 3 e 4]</w:t>
      </w:r>
    </w:p>
    <w:p w:rsidR="00562A24" w:rsidRDefault="00562A24" w:rsidP="00562A24">
      <w:pPr>
        <w:pStyle w:val="Heading1"/>
        <w:spacing w:before="240"/>
        <w:ind w:left="2160" w:hanging="1440"/>
      </w:pPr>
      <w:r w:rsidRPr="007D6CBF">
        <w:t>Aula</w:t>
      </w:r>
      <w:r>
        <w:t xml:space="preserve"> </w:t>
      </w:r>
      <w:r w:rsidR="00C60490">
        <w:t>9</w:t>
      </w:r>
      <w:r>
        <w:tab/>
        <w:t>|</w:t>
      </w:r>
      <w:r w:rsidRPr="007D6CBF">
        <w:tab/>
      </w:r>
      <w:r w:rsidR="00C60490">
        <w:t>09</w:t>
      </w:r>
      <w:r w:rsidR="002F6AC9">
        <w:t xml:space="preserve"> Out</w:t>
      </w:r>
    </w:p>
    <w:p w:rsidR="00B05B2A" w:rsidRDefault="00B05B2A" w:rsidP="005B74CB">
      <w:pPr>
        <w:tabs>
          <w:tab w:val="left" w:pos="3240"/>
        </w:tabs>
        <w:ind w:left="2268"/>
        <w:rPr>
          <w:rStyle w:val="DefFS"/>
          <w:szCs w:val="28"/>
        </w:rPr>
      </w:pPr>
      <w:r w:rsidRPr="00BE41C5">
        <w:rPr>
          <w:rStyle w:val="DefFS"/>
          <w:b/>
          <w:szCs w:val="28"/>
        </w:rPr>
        <w:t>Etapa 4</w:t>
      </w:r>
      <w:r>
        <w:rPr>
          <w:rStyle w:val="DefFS"/>
          <w:szCs w:val="28"/>
        </w:rPr>
        <w:t xml:space="preserve"> do JE.  </w:t>
      </w:r>
    </w:p>
    <w:p w:rsidR="00B05B2A" w:rsidRPr="00640561" w:rsidRDefault="00B05B2A" w:rsidP="00B05B2A">
      <w:pPr>
        <w:pStyle w:val="Heading1"/>
        <w:spacing w:before="240"/>
        <w:ind w:left="2160" w:hanging="1440"/>
      </w:pPr>
      <w:r w:rsidRPr="00640561">
        <w:t>Aula 10</w:t>
      </w:r>
      <w:r w:rsidRPr="00640561">
        <w:tab/>
        <w:t>|</w:t>
      </w:r>
      <w:r w:rsidRPr="00640561">
        <w:tab/>
        <w:t>16 Out</w:t>
      </w:r>
    </w:p>
    <w:p w:rsidR="00B05B2A" w:rsidRDefault="00B05B2A" w:rsidP="00B05B2A">
      <w:pPr>
        <w:tabs>
          <w:tab w:val="left" w:pos="3240"/>
        </w:tabs>
        <w:ind w:left="2268"/>
        <w:rPr>
          <w:rStyle w:val="DefFS"/>
          <w:szCs w:val="28"/>
        </w:rPr>
      </w:pPr>
      <w:r w:rsidRPr="00BE41C5">
        <w:rPr>
          <w:rStyle w:val="DefFS"/>
          <w:b/>
          <w:szCs w:val="28"/>
        </w:rPr>
        <w:t>Etapa 5</w:t>
      </w:r>
      <w:r>
        <w:rPr>
          <w:rStyle w:val="DefFS"/>
          <w:szCs w:val="28"/>
        </w:rPr>
        <w:t xml:space="preserve"> do JE.  </w:t>
      </w:r>
    </w:p>
    <w:p w:rsidR="00C60490" w:rsidRPr="007B6F63" w:rsidRDefault="00C60490" w:rsidP="00C60490">
      <w:pPr>
        <w:pStyle w:val="Heading1"/>
        <w:spacing w:before="240"/>
        <w:ind w:left="2160" w:hanging="1440"/>
      </w:pPr>
      <w:r w:rsidRPr="007B6F63">
        <w:t xml:space="preserve">Aula 11 </w:t>
      </w:r>
      <w:r w:rsidRPr="007B6F63">
        <w:tab/>
        <w:t>|</w:t>
      </w:r>
      <w:r w:rsidRPr="007B6F63">
        <w:tab/>
        <w:t>23 Out</w:t>
      </w:r>
    </w:p>
    <w:p w:rsidR="00B05B2A" w:rsidRDefault="00B05B2A" w:rsidP="00B05B2A">
      <w:pPr>
        <w:tabs>
          <w:tab w:val="left" w:pos="3240"/>
        </w:tabs>
        <w:ind w:left="2268"/>
        <w:rPr>
          <w:rStyle w:val="DefFS"/>
          <w:szCs w:val="28"/>
        </w:rPr>
      </w:pPr>
      <w:r w:rsidRPr="00BE41C5">
        <w:rPr>
          <w:rStyle w:val="DefFS"/>
          <w:b/>
          <w:szCs w:val="28"/>
        </w:rPr>
        <w:t>Etapa 6</w:t>
      </w:r>
      <w:r>
        <w:rPr>
          <w:rStyle w:val="DefFS"/>
          <w:szCs w:val="28"/>
        </w:rPr>
        <w:t xml:space="preserve"> do JE.  </w:t>
      </w:r>
    </w:p>
    <w:p w:rsidR="00AE3F1C" w:rsidRPr="00B05B2A" w:rsidRDefault="00AE3F1C" w:rsidP="00562A24">
      <w:pPr>
        <w:pStyle w:val="Heading1"/>
        <w:spacing w:before="240"/>
        <w:ind w:left="2160" w:hanging="1440"/>
      </w:pPr>
      <w:r w:rsidRPr="00B05B2A">
        <w:t>Aula 1</w:t>
      </w:r>
      <w:r w:rsidR="00C60490" w:rsidRPr="00B05B2A">
        <w:t>2</w:t>
      </w:r>
      <w:r w:rsidRPr="00B05B2A">
        <w:tab/>
        <w:t>|</w:t>
      </w:r>
      <w:r w:rsidR="00C60490" w:rsidRPr="00B05B2A">
        <w:t>30 Out</w:t>
      </w:r>
    </w:p>
    <w:p w:rsidR="00B05B2A" w:rsidRDefault="00B05B2A" w:rsidP="00B05B2A">
      <w:pPr>
        <w:tabs>
          <w:tab w:val="left" w:pos="3240"/>
        </w:tabs>
        <w:ind w:left="2268"/>
        <w:rPr>
          <w:rStyle w:val="DefFS"/>
          <w:szCs w:val="28"/>
        </w:rPr>
      </w:pPr>
      <w:r w:rsidRPr="00BE41C5">
        <w:rPr>
          <w:rStyle w:val="DefFS"/>
          <w:b/>
          <w:szCs w:val="28"/>
        </w:rPr>
        <w:t>Etapa 7</w:t>
      </w:r>
      <w:r>
        <w:rPr>
          <w:rStyle w:val="DefFS"/>
          <w:szCs w:val="28"/>
        </w:rPr>
        <w:t xml:space="preserve"> do JE.  </w:t>
      </w:r>
    </w:p>
    <w:p w:rsidR="00562A24" w:rsidRDefault="00562A24" w:rsidP="00562A24">
      <w:pPr>
        <w:pStyle w:val="Heading1"/>
        <w:spacing w:before="240"/>
        <w:ind w:left="2160" w:hanging="1440"/>
      </w:pPr>
      <w:r w:rsidRPr="007D6CBF">
        <w:t xml:space="preserve">Aula </w:t>
      </w:r>
      <w:r w:rsidR="000759CA">
        <w:t>13</w:t>
      </w:r>
      <w:r w:rsidR="000759CA">
        <w:tab/>
      </w:r>
      <w:r>
        <w:t>|</w:t>
      </w:r>
      <w:r w:rsidR="006703B9">
        <w:t>6</w:t>
      </w:r>
      <w:r>
        <w:t xml:space="preserve"> Nov</w:t>
      </w:r>
      <w:r w:rsidR="00B05B2A">
        <w:t xml:space="preserve"> </w:t>
      </w:r>
    </w:p>
    <w:p w:rsidR="00B05B2A" w:rsidRDefault="00B05B2A" w:rsidP="00B05B2A">
      <w:pPr>
        <w:tabs>
          <w:tab w:val="left" w:pos="3240"/>
        </w:tabs>
        <w:ind w:left="2268"/>
        <w:rPr>
          <w:rStyle w:val="DefFS"/>
          <w:szCs w:val="28"/>
        </w:rPr>
      </w:pPr>
      <w:r w:rsidRPr="00BE41C5">
        <w:rPr>
          <w:rStyle w:val="DefFS"/>
          <w:b/>
          <w:szCs w:val="28"/>
        </w:rPr>
        <w:t>Etapa 8</w:t>
      </w:r>
      <w:r>
        <w:rPr>
          <w:rStyle w:val="DefFS"/>
          <w:szCs w:val="28"/>
        </w:rPr>
        <w:t xml:space="preserve"> do JE.  </w:t>
      </w:r>
    </w:p>
    <w:p w:rsidR="007B6F63" w:rsidRDefault="007B6F63" w:rsidP="00B05B2A">
      <w:pPr>
        <w:tabs>
          <w:tab w:val="left" w:pos="3240"/>
        </w:tabs>
        <w:ind w:left="2268"/>
        <w:rPr>
          <w:rStyle w:val="DefFS"/>
          <w:szCs w:val="28"/>
        </w:rPr>
      </w:pPr>
    </w:p>
    <w:p w:rsidR="00562A24" w:rsidRDefault="00562A24" w:rsidP="00562A24">
      <w:pPr>
        <w:pStyle w:val="Heading1"/>
        <w:ind w:left="2160" w:hanging="1440"/>
      </w:pPr>
      <w:r w:rsidRPr="007D6CBF">
        <w:t xml:space="preserve">Aula </w:t>
      </w:r>
      <w:r>
        <w:t>1</w:t>
      </w:r>
      <w:r w:rsidR="000759CA">
        <w:t>4</w:t>
      </w:r>
      <w:r w:rsidR="000759CA">
        <w:tab/>
      </w:r>
      <w:r>
        <w:t>|</w:t>
      </w:r>
      <w:r w:rsidR="000759CA">
        <w:t>1</w:t>
      </w:r>
      <w:r w:rsidR="00640561">
        <w:t>3</w:t>
      </w:r>
      <w:r w:rsidR="000759CA">
        <w:t xml:space="preserve"> Nov</w:t>
      </w:r>
      <w:r w:rsidR="00B05B2A">
        <w:t xml:space="preserve"> </w:t>
      </w:r>
    </w:p>
    <w:p w:rsidR="008C2F88" w:rsidRDefault="008C2F88" w:rsidP="008C2F88">
      <w:pPr>
        <w:tabs>
          <w:tab w:val="left" w:pos="3240"/>
        </w:tabs>
        <w:ind w:left="2268"/>
        <w:rPr>
          <w:rStyle w:val="DefFS"/>
          <w:szCs w:val="28"/>
        </w:rPr>
      </w:pPr>
      <w:r>
        <w:rPr>
          <w:rStyle w:val="DefFS"/>
          <w:szCs w:val="28"/>
        </w:rPr>
        <w:t xml:space="preserve">Grupos conhecem o resultado final do desempenho do seu </w:t>
      </w:r>
      <w:r w:rsidRPr="008C118D">
        <w:rPr>
          <w:rStyle w:val="DefFS"/>
          <w:szCs w:val="28"/>
        </w:rPr>
        <w:t>F</w:t>
      </w:r>
      <w:r w:rsidRPr="008C118D">
        <w:rPr>
          <w:rStyle w:val="DefFS"/>
          <w:sz w:val="22"/>
          <w:szCs w:val="28"/>
        </w:rPr>
        <w:t>II</w:t>
      </w:r>
      <w:r w:rsidRPr="008C118D">
        <w:rPr>
          <w:rStyle w:val="DefFS"/>
          <w:szCs w:val="28"/>
        </w:rPr>
        <w:t xml:space="preserve"> </w:t>
      </w:r>
      <w:r>
        <w:rPr>
          <w:rStyle w:val="DefFS"/>
          <w:szCs w:val="28"/>
        </w:rPr>
        <w:t xml:space="preserve">no ano 8.  Os grupos serão hierarquizados por patrimônio.  Os </w:t>
      </w:r>
      <w:r w:rsidRPr="00790554">
        <w:rPr>
          <w:rStyle w:val="DefFS"/>
          <w:szCs w:val="28"/>
        </w:rPr>
        <w:t>F</w:t>
      </w:r>
      <w:r w:rsidRPr="00790554">
        <w:rPr>
          <w:rStyle w:val="DefFS"/>
          <w:sz w:val="22"/>
          <w:szCs w:val="28"/>
        </w:rPr>
        <w:t>II</w:t>
      </w:r>
      <w:r w:rsidRPr="00790554">
        <w:rPr>
          <w:rStyle w:val="DefFS"/>
          <w:szCs w:val="28"/>
        </w:rPr>
        <w:t xml:space="preserve"> </w:t>
      </w:r>
      <w:r>
        <w:rPr>
          <w:rStyle w:val="DefFS"/>
          <w:szCs w:val="28"/>
        </w:rPr>
        <w:t>são liquidados no final do ano 8.</w:t>
      </w:r>
    </w:p>
    <w:p w:rsidR="008C2F88" w:rsidRDefault="008C2F88" w:rsidP="008C2F88">
      <w:pPr>
        <w:tabs>
          <w:tab w:val="left" w:pos="3240"/>
        </w:tabs>
        <w:ind w:left="2268"/>
        <w:rPr>
          <w:rStyle w:val="DefFS"/>
          <w:szCs w:val="28"/>
        </w:rPr>
      </w:pPr>
    </w:p>
    <w:p w:rsidR="000759CA" w:rsidRDefault="000759CA" w:rsidP="000759CA">
      <w:pPr>
        <w:pStyle w:val="Heading1"/>
        <w:ind w:left="2160" w:hanging="1440"/>
      </w:pPr>
      <w:r w:rsidRPr="007D6CBF">
        <w:t xml:space="preserve">Aula </w:t>
      </w:r>
      <w:r>
        <w:t>15</w:t>
      </w:r>
      <w:r>
        <w:tab/>
        <w:t>|2</w:t>
      </w:r>
      <w:r w:rsidR="00D14CA3">
        <w:t>7</w:t>
      </w:r>
      <w:r>
        <w:t xml:space="preserve"> Nov</w:t>
      </w:r>
    </w:p>
    <w:p w:rsidR="000759CA" w:rsidRDefault="000759CA" w:rsidP="007D450A">
      <w:pPr>
        <w:pStyle w:val="item"/>
        <w:ind w:left="2268"/>
        <w:rPr>
          <w:b/>
        </w:rPr>
      </w:pPr>
      <w:r>
        <w:rPr>
          <w:b/>
        </w:rPr>
        <w:t xml:space="preserve">PROVA </w:t>
      </w:r>
    </w:p>
    <w:p w:rsidR="007D450A" w:rsidRPr="00AE3F1C" w:rsidRDefault="007D450A" w:rsidP="007D450A">
      <w:pPr>
        <w:pStyle w:val="item"/>
        <w:ind w:left="2268"/>
        <w:rPr>
          <w:rFonts w:eastAsia="Times New Roman"/>
          <w:b/>
          <w:lang w:eastAsia="en-US"/>
        </w:rPr>
      </w:pPr>
    </w:p>
    <w:p w:rsidR="000759CA" w:rsidRDefault="000759CA" w:rsidP="000759CA">
      <w:pPr>
        <w:pStyle w:val="Heading1"/>
        <w:ind w:left="2160" w:hanging="1440"/>
      </w:pPr>
      <w:r>
        <w:tab/>
        <w:t>|</w:t>
      </w:r>
      <w:r w:rsidR="00D14CA3">
        <w:t>04</w:t>
      </w:r>
      <w:r>
        <w:t xml:space="preserve"> </w:t>
      </w:r>
      <w:r w:rsidR="00D14CA3">
        <w:t>Dez</w:t>
      </w:r>
      <w:bookmarkStart w:id="0" w:name="_GoBack"/>
      <w:bookmarkEnd w:id="0"/>
    </w:p>
    <w:p w:rsidR="000759CA" w:rsidRPr="00AE3F1C" w:rsidRDefault="000759CA" w:rsidP="007D450A">
      <w:pPr>
        <w:pStyle w:val="item"/>
        <w:ind w:left="2268"/>
        <w:rPr>
          <w:rFonts w:eastAsia="Times New Roman"/>
          <w:b/>
          <w:lang w:eastAsia="en-US"/>
        </w:rPr>
      </w:pPr>
      <w:r>
        <w:rPr>
          <w:b/>
        </w:rPr>
        <w:t>PROVA SUBSTITUTIVA</w:t>
      </w:r>
    </w:p>
    <w:p w:rsidR="004E7126" w:rsidRDefault="004E7126" w:rsidP="004E7126">
      <w:pPr>
        <w:pStyle w:val="Titulo"/>
        <w:rPr>
          <w:color w:val="808080"/>
        </w:rPr>
      </w:pPr>
    </w:p>
    <w:p w:rsidR="004E7126" w:rsidRDefault="004E7126" w:rsidP="004E7126">
      <w:pPr>
        <w:pStyle w:val="Titulo"/>
        <w:rPr>
          <w:color w:val="808080"/>
        </w:rPr>
      </w:pPr>
    </w:p>
    <w:p w:rsidR="004E7126" w:rsidRDefault="004E7126" w:rsidP="004E7126">
      <w:pPr>
        <w:pStyle w:val="Titulo"/>
      </w:pPr>
      <w:r>
        <w:rPr>
          <w:color w:val="808080"/>
        </w:rPr>
        <w:t>3.</w:t>
      </w:r>
      <w:r>
        <w:rPr>
          <w:rFonts w:ascii="Times New Roman" w:hAnsi="Times New Roman"/>
        </w:rPr>
        <w:tab/>
      </w:r>
      <w:r>
        <w:t>Aproveitamento</w:t>
      </w:r>
    </w:p>
    <w:p w:rsidR="004E7126" w:rsidRDefault="004E7126" w:rsidP="004E7126">
      <w:pPr>
        <w:pStyle w:val="normaP"/>
        <w:rPr>
          <w:rFonts w:ascii="Times New Roman" w:hAnsi="Times New Roman"/>
        </w:rPr>
      </w:pPr>
    </w:p>
    <w:p w:rsidR="007D450A" w:rsidRPr="00AA4553" w:rsidRDefault="007D450A" w:rsidP="007D450A">
      <w:pPr>
        <w:pStyle w:val="item"/>
        <w:rPr>
          <w:rFonts w:eastAsia="Times New Roman"/>
          <w:lang w:eastAsia="en-US"/>
        </w:rPr>
      </w:pPr>
      <w:r w:rsidRPr="00AA4553">
        <w:rPr>
          <w:rFonts w:eastAsia="Times New Roman"/>
          <w:lang w:eastAsia="en-US"/>
        </w:rPr>
        <w:t>A nota de aproveitamento se</w:t>
      </w:r>
      <w:r>
        <w:rPr>
          <w:rFonts w:eastAsia="Times New Roman"/>
          <w:lang w:eastAsia="en-US"/>
        </w:rPr>
        <w:t>rá calculada segundo o critério</w:t>
      </w:r>
      <w:r w:rsidRPr="00AA4553">
        <w:rPr>
          <w:rFonts w:eastAsia="Times New Roman"/>
          <w:lang w:eastAsia="en-US"/>
        </w:rPr>
        <w:t>:</w:t>
      </w:r>
    </w:p>
    <w:p w:rsidR="007D450A" w:rsidRDefault="007D450A" w:rsidP="007D450A">
      <w:pPr>
        <w:spacing w:after="144"/>
        <w:ind w:left="720"/>
        <w:jc w:val="center"/>
        <w:rPr>
          <w:color w:val="000000"/>
        </w:rPr>
      </w:pPr>
      <m:oMathPara>
        <m:oMath>
          <m:r>
            <m:rPr>
              <m:sty m:val="p"/>
            </m:rPr>
            <w:rPr>
              <w:rFonts w:ascii="Cambria Math"/>
              <w:sz w:val="22"/>
            </w:rPr>
            <m:t>A</m:t>
          </m:r>
          <m:r>
            <m:rPr>
              <m:sty m:val="p"/>
            </m:rP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P+4∙EC+</m:t>
              </m:r>
              <m:r>
                <m:rPr>
                  <m:sty m:val="p"/>
                </m:rPr>
                <w:rPr>
                  <w:rFonts w:ascii="Cambria Math"/>
                  <w:sz w:val="22"/>
                </w:rPr>
                <m:t>JE+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2∙Par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8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:rsidR="007D450A" w:rsidRDefault="007D450A" w:rsidP="007D450A">
      <w:pPr>
        <w:pStyle w:val="item"/>
        <w:rPr>
          <w:rFonts w:eastAsia="Times New Roman"/>
          <w:lang w:eastAsia="en-US"/>
        </w:rPr>
      </w:pPr>
      <w:r w:rsidRPr="00790554">
        <w:t>em que</w:t>
      </w:r>
      <w:r>
        <w:rPr>
          <w:rFonts w:ascii="Cambria Math" w:eastAsia="Times New Roman" w:hAnsi="Cambria Math"/>
          <w:lang w:eastAsia="en-US"/>
        </w:rPr>
        <w:t xml:space="preserve"> </w:t>
      </w:r>
      <w:r w:rsidRPr="00D2588A">
        <w:rPr>
          <w:rFonts w:ascii="Cambria Math" w:eastAsia="Times New Roman" w:hAnsi="Cambria Math"/>
          <w:lang w:eastAsia="en-US"/>
        </w:rPr>
        <w:t>P</w:t>
      </w:r>
      <w:r>
        <w:rPr>
          <w:rFonts w:eastAsia="Times New Roman"/>
          <w:lang w:eastAsia="en-US"/>
        </w:rPr>
        <w:t xml:space="preserve"> é a nota da prova;</w:t>
      </w:r>
    </w:p>
    <w:p w:rsidR="007D450A" w:rsidRDefault="007D450A" w:rsidP="007D450A">
      <w:pPr>
        <w:pStyle w:val="item"/>
        <w:rPr>
          <w:rFonts w:eastAsia="Times New Roman"/>
          <w:lang w:eastAsia="en-US"/>
        </w:rPr>
      </w:pPr>
      <w:r w:rsidRPr="00D2588A">
        <w:rPr>
          <w:rFonts w:ascii="Cambria Math" w:eastAsia="Times New Roman" w:hAnsi="Cambria Math"/>
          <w:lang w:eastAsia="en-US"/>
        </w:rPr>
        <w:t>EC</w:t>
      </w:r>
      <w:r w:rsidRPr="00AA4553">
        <w:rPr>
          <w:rFonts w:eastAsia="Times New Roman"/>
          <w:lang w:eastAsia="en-US"/>
        </w:rPr>
        <w:t xml:space="preserve"> é a média </w:t>
      </w:r>
      <w:r>
        <w:rPr>
          <w:rFonts w:eastAsia="Times New Roman"/>
          <w:lang w:eastAsia="en-US"/>
        </w:rPr>
        <w:t xml:space="preserve">das notas conferidas aos documentos apresentados nos lances do </w:t>
      </w:r>
      <w:r w:rsidRPr="00790554">
        <w:t>JE</w:t>
      </w:r>
      <w:r>
        <w:rPr>
          <w:rFonts w:eastAsia="Times New Roman"/>
          <w:lang w:eastAsia="en-US"/>
        </w:rPr>
        <w:t>;</w:t>
      </w:r>
    </w:p>
    <w:p w:rsidR="007D450A" w:rsidRDefault="007D450A" w:rsidP="007D450A">
      <w:pPr>
        <w:pStyle w:val="item"/>
        <w:rPr>
          <w:rFonts w:eastAsia="Times New Roman"/>
          <w:lang w:eastAsia="en-US"/>
        </w:rPr>
      </w:pPr>
      <w:r w:rsidRPr="00790554">
        <w:rPr>
          <w:rFonts w:ascii="Cambria Math" w:eastAsia="Times New Roman" w:hAnsi="Cambria Math"/>
          <w:lang w:eastAsia="en-US"/>
        </w:rPr>
        <w:t>JE</w:t>
      </w:r>
      <w:r>
        <w:rPr>
          <w:rFonts w:eastAsia="Times New Roman"/>
          <w:lang w:eastAsia="en-US"/>
        </w:rPr>
        <w:t xml:space="preserve"> uma nota entre 1 e 10, resultante da hierarquia dos grupos pelo patrimônio alcançado ao final de 8 anos no JE;</w:t>
      </w:r>
    </w:p>
    <w:p w:rsidR="007D450A" w:rsidRDefault="007D450A" w:rsidP="007D450A">
      <w:pPr>
        <w:pStyle w:val="item"/>
      </w:pPr>
      <w:r w:rsidRPr="00790554">
        <w:t xml:space="preserve">e </w:t>
      </w:r>
      <w:r w:rsidRPr="00790554">
        <w:rPr>
          <w:rFonts w:ascii="Cambria Math" w:eastAsia="Times New Roman" w:hAnsi="Cambria Math"/>
          <w:lang w:eastAsia="en-US"/>
        </w:rPr>
        <w:t>Par</w:t>
      </w:r>
      <w:r>
        <w:rPr>
          <w:rFonts w:eastAsia="Times New Roman"/>
          <w:lang w:eastAsia="en-US"/>
        </w:rPr>
        <w:t xml:space="preserve"> uma nota qualitativa, pela participação do aluno nos debates em aula</w:t>
      </w:r>
      <w:r>
        <w:t>.</w:t>
      </w:r>
    </w:p>
    <w:p w:rsidR="004E7126" w:rsidRDefault="004E7126" w:rsidP="004E7126">
      <w:pPr>
        <w:tabs>
          <w:tab w:val="left" w:pos="1080"/>
        </w:tabs>
        <w:spacing w:after="144"/>
        <w:ind w:left="993" w:hanging="360"/>
        <w:rPr>
          <w:rFonts w:ascii="Times New Roman" w:hAnsi="Times New Roman"/>
        </w:rPr>
      </w:pPr>
    </w:p>
    <w:p w:rsidR="004E7126" w:rsidRDefault="004E7126" w:rsidP="004E7126">
      <w:pPr>
        <w:spacing w:after="60"/>
        <w:ind w:left="720"/>
        <w:rPr>
          <w:color w:val="000000"/>
        </w:rPr>
      </w:pPr>
      <w:r>
        <w:rPr>
          <w:color w:val="000000"/>
        </w:rPr>
        <w:t xml:space="preserve">A </w:t>
      </w:r>
      <w:r>
        <w:rPr>
          <w:color w:val="000000"/>
          <w:sz w:val="22"/>
          <w:szCs w:val="22"/>
        </w:rPr>
        <w:t>PROVA SUBSTITUTIVA</w:t>
      </w:r>
      <w:r>
        <w:rPr>
          <w:color w:val="000000"/>
        </w:rPr>
        <w:t xml:space="preserve"> é destinada </w:t>
      </w:r>
      <w:r>
        <w:rPr>
          <w:b/>
          <w:color w:val="000000"/>
        </w:rPr>
        <w:t>exclusivamente</w:t>
      </w:r>
      <w:r>
        <w:rPr>
          <w:color w:val="000000"/>
        </w:rPr>
        <w:t xml:space="preserve"> aos alunos que perderem </w:t>
      </w:r>
      <w:r w:rsidR="007D450A">
        <w:rPr>
          <w:color w:val="000000"/>
        </w:rPr>
        <w:t>a Prova.</w:t>
      </w:r>
    </w:p>
    <w:p w:rsidR="007D450A" w:rsidRDefault="007D450A" w:rsidP="004E7126">
      <w:pPr>
        <w:spacing w:after="60"/>
        <w:ind w:left="720"/>
        <w:rPr>
          <w:color w:val="000000"/>
        </w:rPr>
      </w:pPr>
    </w:p>
    <w:p w:rsidR="004E7126" w:rsidRDefault="004E7126" w:rsidP="004E7126">
      <w:pPr>
        <w:pStyle w:val="Titulo"/>
      </w:pPr>
      <w:r>
        <w:rPr>
          <w:color w:val="808080"/>
        </w:rPr>
        <w:t>4.</w:t>
      </w:r>
      <w:r>
        <w:rPr>
          <w:rFonts w:ascii="Times New Roman" w:hAnsi="Times New Roman"/>
        </w:rPr>
        <w:tab/>
      </w:r>
      <w:r>
        <w:t>Bibliografia</w:t>
      </w:r>
    </w:p>
    <w:p w:rsidR="004E7126" w:rsidRDefault="004E7126" w:rsidP="004E7126">
      <w:pPr>
        <w:pStyle w:val="normaP"/>
        <w:rPr>
          <w:rFonts w:ascii="Times New Roman" w:hAnsi="Times New Roman"/>
        </w:rPr>
      </w:pPr>
    </w:p>
    <w:p w:rsidR="001B5D89" w:rsidRDefault="001B5D89" w:rsidP="001B5D89">
      <w:pPr>
        <w:spacing w:after="60"/>
        <w:ind w:left="720"/>
      </w:pPr>
      <w:r>
        <w:t>A bibliografia específica para planejamento econômico e financeiro no Real Estate é escassa e, em sua maioria, voltada para temas especializados, já em nível superior ao da graduação.</w:t>
      </w:r>
    </w:p>
    <w:p w:rsidR="001B5D89" w:rsidRDefault="001B5D89" w:rsidP="001B5D89">
      <w:pPr>
        <w:spacing w:after="60"/>
        <w:ind w:left="720"/>
      </w:pPr>
    </w:p>
    <w:p w:rsidR="001B5D89" w:rsidRDefault="001B5D89" w:rsidP="001B5D89">
      <w:pPr>
        <w:spacing w:after="60"/>
        <w:ind w:left="720"/>
        <w:rPr>
          <w:rFonts w:ascii="Times New Roman" w:hAnsi="Times New Roman"/>
          <w:color w:val="000000"/>
        </w:rPr>
      </w:pPr>
      <w:r>
        <w:rPr>
          <w:color w:val="000000"/>
        </w:rPr>
        <w:t>4.1.</w:t>
      </w:r>
      <w:r>
        <w:rPr>
          <w:color w:val="000000"/>
        </w:rPr>
        <w:tab/>
        <w:t>O livro texto "Real Estate: Fundamentos para Análise de Investimentos" de autoria dos professores João da Rocha Lima Jr., Eliane Monetti e Claudio Tavares de Alencar contém todos os temas da disciplina e outros complementares.</w:t>
      </w:r>
      <w:bookmarkStart w:id="1" w:name="B_GoBack"/>
      <w:bookmarkEnd w:id="1"/>
    </w:p>
    <w:p w:rsidR="001B5D89" w:rsidRDefault="001B5D89" w:rsidP="004E7126">
      <w:pPr>
        <w:spacing w:after="60"/>
        <w:ind w:left="720"/>
      </w:pPr>
    </w:p>
    <w:p w:rsidR="004E7126" w:rsidRDefault="001B5D89" w:rsidP="004E7126">
      <w:pPr>
        <w:spacing w:after="60"/>
        <w:ind w:left="720"/>
      </w:pPr>
      <w:r>
        <w:t>4.2.</w:t>
      </w:r>
      <w:r>
        <w:tab/>
      </w:r>
      <w:r w:rsidR="004E7126">
        <w:t>Os Textos Técnicos</w:t>
      </w:r>
      <w:r>
        <w:t xml:space="preserve"> seguintes podem auxiliar em temas particulares.</w:t>
      </w:r>
    </w:p>
    <w:p w:rsidR="004E7126" w:rsidRDefault="004E7126" w:rsidP="004E7126">
      <w:pPr>
        <w:spacing w:after="60"/>
        <w:ind w:left="720"/>
      </w:pPr>
      <w:r>
        <w:rPr>
          <w:caps/>
          <w:sz w:val="22"/>
          <w:szCs w:val="22"/>
        </w:rPr>
        <w:t>TT/PCC/25</w:t>
      </w:r>
      <w:r>
        <w:rPr>
          <w:rFonts w:ascii="Times New Roman" w:hAnsi="Times New Roman"/>
        </w:rPr>
        <w:tab/>
      </w:r>
      <w:r>
        <w:t>Decisão e Planejamento: Fundamentos para a Empresa e Empreendimentos na Construção Civil,</w:t>
      </w:r>
    </w:p>
    <w:p w:rsidR="004E7126" w:rsidRDefault="004E7126" w:rsidP="004E7126">
      <w:pPr>
        <w:spacing w:after="60"/>
        <w:ind w:left="720"/>
      </w:pPr>
      <w:r>
        <w:rPr>
          <w:caps/>
          <w:sz w:val="22"/>
          <w:szCs w:val="22"/>
        </w:rPr>
        <w:t>TT/PCC/11</w:t>
      </w:r>
      <w:r>
        <w:rPr>
          <w:rFonts w:ascii="Times New Roman" w:hAnsi="Times New Roman"/>
        </w:rPr>
        <w:tab/>
      </w:r>
      <w:r>
        <w:t xml:space="preserve">Fundamentos de Planejamento Financeiro para o Setor da </w:t>
      </w:r>
      <w:r>
        <w:lastRenderedPageBreak/>
        <w:t>Construção Civil e</w:t>
      </w:r>
    </w:p>
    <w:p w:rsidR="004E7126" w:rsidRDefault="004E7126" w:rsidP="004E7126">
      <w:pPr>
        <w:spacing w:after="60"/>
        <w:ind w:left="720"/>
      </w:pPr>
      <w:r>
        <w:rPr>
          <w:caps/>
          <w:sz w:val="22"/>
          <w:szCs w:val="22"/>
        </w:rPr>
        <w:t>TT/PCC/06</w:t>
      </w:r>
      <w:r>
        <w:rPr>
          <w:rFonts w:ascii="Times New Roman" w:hAnsi="Times New Roman"/>
        </w:rPr>
        <w:tab/>
      </w:r>
      <w:r>
        <w:t>Análise de Investimentos – Princípios e Técnicas para Empreendimentos do Setor da Construção Civil,</w:t>
      </w:r>
    </w:p>
    <w:p w:rsidR="001B5D89" w:rsidRDefault="001B5D89" w:rsidP="004E7126">
      <w:pPr>
        <w:spacing w:after="60"/>
        <w:ind w:left="720"/>
        <w:rPr>
          <w:rFonts w:ascii="Times New Roman" w:hAnsi="Times New Roman"/>
        </w:rPr>
      </w:pPr>
      <w:r>
        <w:t xml:space="preserve">Estes textos </w:t>
      </w:r>
      <w:r w:rsidR="004E7126">
        <w:t xml:space="preserve">foram produzidos </w:t>
      </w:r>
      <w:r>
        <w:t xml:space="preserve">do Prof. Dr. João da Rocha Lima Jr., </w:t>
      </w:r>
      <w:r w:rsidR="004E7126">
        <w:t>especificamente para atender às necessidades da graduação e cobrem a maioria dos temas que serão abordados no programa. Estão disponíveis para download na home-page da Disciplina, vinculada à do Departamento, ou no site do Núcleo de Real Estate da Poli</w:t>
      </w:r>
      <w:r w:rsidR="004E7126">
        <w:rPr>
          <w:rFonts w:ascii="Arial" w:hAnsi="Arial" w:cs="Arial"/>
          <w:sz w:val="22"/>
          <w:szCs w:val="22"/>
        </w:rPr>
        <w:t xml:space="preserve"> </w:t>
      </w:r>
      <w:r w:rsidR="004E7126">
        <w:rPr>
          <w:u w:val="single"/>
        </w:rPr>
        <w:t>www.realestate.br</w:t>
      </w:r>
      <w:r>
        <w:rPr>
          <w:rFonts w:ascii="Times New Roman" w:hAnsi="Times New Roman"/>
        </w:rPr>
        <w:t>.</w:t>
      </w:r>
    </w:p>
    <w:p w:rsidR="004E7126" w:rsidRDefault="001B5D89" w:rsidP="004E7126">
      <w:pPr>
        <w:spacing w:after="60"/>
        <w:ind w:left="720"/>
        <w:rPr>
          <w:rFonts w:ascii="Times New Roman" w:hAnsi="Times New Roman"/>
          <w:color w:val="000000"/>
        </w:rPr>
      </w:pPr>
      <w:r>
        <w:t>4.3.</w:t>
      </w:r>
      <w:r>
        <w:tab/>
      </w:r>
      <w:r w:rsidR="004E7126">
        <w:t xml:space="preserve">No site </w:t>
      </w:r>
      <w:r w:rsidR="004E7126">
        <w:rPr>
          <w:u w:val="single"/>
        </w:rPr>
        <w:t>www.realestate.br</w:t>
      </w:r>
      <w:r w:rsidR="004E7126">
        <w:t xml:space="preserve"> podem ser encontrados vários textos de professores e pesquisadores do Grupo de Real Estate, que podem auxiliar no estudo de temas tratados nas aulas.</w:t>
      </w:r>
    </w:p>
    <w:p w:rsidR="004E7126" w:rsidRDefault="004E7126" w:rsidP="004E7126">
      <w:pPr>
        <w:spacing w:after="60"/>
        <w:ind w:left="720"/>
        <w:rPr>
          <w:rFonts w:ascii="Times New Roman" w:hAnsi="Times New Roman"/>
          <w:color w:val="000000"/>
        </w:rPr>
      </w:pPr>
    </w:p>
    <w:p w:rsidR="004E7126" w:rsidRDefault="001B5D89" w:rsidP="004E7126">
      <w:pPr>
        <w:spacing w:after="60"/>
        <w:ind w:left="720"/>
        <w:rPr>
          <w:color w:val="000000"/>
        </w:rPr>
      </w:pPr>
      <w:r>
        <w:rPr>
          <w:color w:val="000000"/>
        </w:rPr>
        <w:t>4.4.</w:t>
      </w:r>
      <w:r>
        <w:rPr>
          <w:color w:val="000000"/>
        </w:rPr>
        <w:tab/>
      </w:r>
      <w:r w:rsidR="004E7126">
        <w:rPr>
          <w:color w:val="000000"/>
        </w:rPr>
        <w:t xml:space="preserve">O </w:t>
      </w:r>
      <w:r w:rsidR="004E7126">
        <w:t>Texto</w:t>
      </w:r>
      <w:r w:rsidR="004E7126">
        <w:rPr>
          <w:smallCaps/>
          <w:color w:val="000000"/>
        </w:rPr>
        <w:t xml:space="preserve"> </w:t>
      </w:r>
      <w:r w:rsidR="004E7126">
        <w:t>dos</w:t>
      </w:r>
      <w:r w:rsidR="004E7126">
        <w:rPr>
          <w:smallCaps/>
          <w:color w:val="000000"/>
        </w:rPr>
        <w:t xml:space="preserve"> </w:t>
      </w:r>
      <w:r w:rsidR="008B1DD7">
        <w:rPr>
          <w:smallCaps/>
          <w:color w:val="000000"/>
        </w:rPr>
        <w:t xml:space="preserve">Jogo de Empresas </w:t>
      </w:r>
      <w:r w:rsidR="008B1DD7">
        <w:rPr>
          <w:color w:val="000000"/>
        </w:rPr>
        <w:t>será</w:t>
      </w:r>
      <w:r w:rsidR="004E7126">
        <w:rPr>
          <w:color w:val="000000"/>
        </w:rPr>
        <w:t xml:space="preserve"> disponibilizado </w:t>
      </w:r>
      <w:r w:rsidR="008B1DD7">
        <w:rPr>
          <w:color w:val="000000"/>
        </w:rPr>
        <w:t>e</w:t>
      </w:r>
      <w:r w:rsidR="004E7126">
        <w:rPr>
          <w:color w:val="000000"/>
        </w:rPr>
        <w:t>Disciplina</w:t>
      </w:r>
      <w:r w:rsidR="008B1DD7">
        <w:rPr>
          <w:color w:val="000000"/>
        </w:rPr>
        <w:t>s</w:t>
      </w:r>
      <w:r w:rsidR="004E7126">
        <w:rPr>
          <w:color w:val="000000"/>
        </w:rPr>
        <w:t>.</w:t>
      </w:r>
    </w:p>
    <w:p w:rsidR="008B1DD7" w:rsidRDefault="008B1DD7" w:rsidP="004E7126">
      <w:pPr>
        <w:spacing w:after="60"/>
        <w:ind w:left="720"/>
        <w:rPr>
          <w:color w:val="000000"/>
        </w:rPr>
      </w:pPr>
      <w:r>
        <w:rPr>
          <w:color w:val="000000"/>
        </w:rPr>
        <w:t xml:space="preserve">4.5. </w:t>
      </w:r>
      <w:r>
        <w:rPr>
          <w:color w:val="000000"/>
        </w:rPr>
        <w:tab/>
        <w:t>Bibliografia Complementar</w:t>
      </w:r>
    </w:p>
    <w:p w:rsidR="000E6AB1" w:rsidRPr="008B1DD7" w:rsidRDefault="000E6AB1" w:rsidP="008B1DD7">
      <w:pPr>
        <w:autoSpaceDE w:val="0"/>
        <w:autoSpaceDN w:val="0"/>
        <w:adjustRightInd w:val="0"/>
        <w:spacing w:before="100" w:beforeAutospacing="1"/>
        <w:ind w:left="1701" w:hanging="284"/>
      </w:pPr>
      <w:r w:rsidRPr="008B1DD7">
        <w:t>BT/PCC/153 – Princípios para análise da qualidade de empreendimentos: o caso dos empreendimentos de base imobiliária, Prof. Dr. João da Rocha Lima, 1995.</w:t>
      </w:r>
    </w:p>
    <w:p w:rsidR="000E6AB1" w:rsidRPr="008B1DD7" w:rsidRDefault="000E6AB1" w:rsidP="008B1DD7">
      <w:pPr>
        <w:spacing w:before="120"/>
        <w:ind w:left="1701" w:hanging="284"/>
      </w:pPr>
      <w:r w:rsidRPr="008B1DD7">
        <w:t>CERQUEIRA, L. L. J. As Qualidades de Localização Intrametropolitana dos Espaços de Escritórios: Evidências Teóricas e sua Evolução Recente no Mercado de São Paulo. Dissertação (Mestrado). Escola Politécnica da Universidade de São Paulo, 2004. 140 p.</w:t>
      </w:r>
    </w:p>
    <w:p w:rsidR="000E6AB1" w:rsidRPr="00640561" w:rsidRDefault="000E6AB1" w:rsidP="008B1DD7">
      <w:pPr>
        <w:pStyle w:val="Bibliography"/>
        <w:spacing w:before="120" w:after="120"/>
        <w:ind w:left="1701" w:hanging="284"/>
        <w:jc w:val="both"/>
        <w:rPr>
          <w:rFonts w:ascii="Garamond" w:hAnsi="Garamond"/>
          <w:sz w:val="28"/>
          <w:lang w:val="en-US" w:eastAsia="en-US"/>
        </w:rPr>
      </w:pPr>
      <w:proofErr w:type="spellStart"/>
      <w:r w:rsidRPr="00640561">
        <w:rPr>
          <w:rFonts w:ascii="Garamond" w:hAnsi="Garamond"/>
          <w:sz w:val="28"/>
          <w:lang w:val="en-US" w:eastAsia="en-US"/>
        </w:rPr>
        <w:t>Geltner</w:t>
      </w:r>
      <w:proofErr w:type="spellEnd"/>
      <w:r w:rsidRPr="00640561">
        <w:rPr>
          <w:rFonts w:ascii="Garamond" w:hAnsi="Garamond"/>
          <w:sz w:val="28"/>
          <w:lang w:val="en-US" w:eastAsia="en-US"/>
        </w:rPr>
        <w:t xml:space="preserve">, D., Miller N., Clayton J. and </w:t>
      </w:r>
      <w:proofErr w:type="spellStart"/>
      <w:r w:rsidRPr="00640561">
        <w:rPr>
          <w:rFonts w:ascii="Garamond" w:hAnsi="Garamond"/>
          <w:sz w:val="28"/>
          <w:lang w:val="en-US" w:eastAsia="en-US"/>
        </w:rPr>
        <w:t>Eicholtz</w:t>
      </w:r>
      <w:proofErr w:type="spellEnd"/>
      <w:r w:rsidRPr="00640561">
        <w:rPr>
          <w:rFonts w:ascii="Garamond" w:hAnsi="Garamond"/>
          <w:sz w:val="28"/>
          <w:lang w:val="en-US" w:eastAsia="en-US"/>
        </w:rPr>
        <w:t xml:space="preserve"> P. (2006) Commercial Real Estate Analysis &amp; Investments. ISBN-13: 978-0324305487 | Edition: 2, Amazon.com.</w:t>
      </w:r>
    </w:p>
    <w:p w:rsidR="000E6AB1" w:rsidRPr="00640561" w:rsidRDefault="000E6AB1" w:rsidP="008B1DD7">
      <w:pPr>
        <w:spacing w:before="120"/>
        <w:ind w:left="1701" w:hanging="284"/>
        <w:rPr>
          <w:lang w:val="en-US"/>
        </w:rPr>
      </w:pPr>
      <w:proofErr w:type="spellStart"/>
      <w:r w:rsidRPr="00640561">
        <w:rPr>
          <w:lang w:val="en-US"/>
        </w:rPr>
        <w:t>Jadevicius</w:t>
      </w:r>
      <w:proofErr w:type="spellEnd"/>
      <w:r w:rsidRPr="00640561">
        <w:rPr>
          <w:lang w:val="en-US"/>
        </w:rPr>
        <w:t xml:space="preserve">, A., Sloan, B. and Brown, A. Property Market Modelling and Forecasting: A Case for Simplicity. School of Engineering and Built Environment. Edinburg Napier University EH10 5DT, United </w:t>
      </w:r>
      <w:proofErr w:type="spellStart"/>
      <w:r w:rsidRPr="00640561">
        <w:rPr>
          <w:lang w:val="en-US"/>
        </w:rPr>
        <w:t>Kingdon</w:t>
      </w:r>
      <w:proofErr w:type="spellEnd"/>
      <w:r w:rsidRPr="00640561">
        <w:rPr>
          <w:lang w:val="en-US"/>
        </w:rPr>
        <w:t>.</w:t>
      </w:r>
    </w:p>
    <w:p w:rsidR="000E6AB1" w:rsidRPr="008B1DD7" w:rsidRDefault="008B1DD7" w:rsidP="008B1DD7">
      <w:pPr>
        <w:spacing w:before="120"/>
        <w:ind w:left="1701" w:hanging="284"/>
      </w:pPr>
      <w:r w:rsidRPr="008B1DD7">
        <w:t xml:space="preserve">LIMA JUNIOR, J.R.  </w:t>
      </w:r>
      <w:r w:rsidR="000E6AB1" w:rsidRPr="008B1DD7">
        <w:t>Fundos de Investimento Imobiliário com Portfolio de Base Imobiliária: Notas sobre a Depreciação do Ativo. 38p. Boletim Técnico/PCC/187. EPUSP, São Paulo, 1997.</w:t>
      </w:r>
    </w:p>
    <w:p w:rsidR="000E6AB1" w:rsidRPr="008B1DD7" w:rsidRDefault="000E6AB1" w:rsidP="008B1DD7">
      <w:pPr>
        <w:spacing w:before="120"/>
        <w:ind w:left="1701" w:hanging="284"/>
      </w:pPr>
    </w:p>
    <w:p w:rsidR="000E6AB1" w:rsidRPr="008B1DD7" w:rsidRDefault="000E6AB1" w:rsidP="008B1DD7">
      <w:pPr>
        <w:spacing w:before="120"/>
        <w:ind w:left="1701" w:hanging="284"/>
      </w:pPr>
      <w:r w:rsidRPr="008B1DD7">
        <w:lastRenderedPageBreak/>
        <w:t>_______________ Análise de Investimentos e valuation no mercado de edifícios de escritórios para locação: questões sobre a doutrina.  Real Estate: Economia &amp; Mercados, vol2, nº1, pp.43-85. EPUSP, São Paulo, 2005.</w:t>
      </w:r>
    </w:p>
    <w:p w:rsidR="000E6AB1" w:rsidRPr="00640561" w:rsidRDefault="000E6AB1" w:rsidP="008B1DD7">
      <w:pPr>
        <w:pStyle w:val="Bibliography"/>
        <w:spacing w:before="120"/>
        <w:ind w:left="1701" w:hanging="284"/>
        <w:jc w:val="both"/>
        <w:rPr>
          <w:rFonts w:ascii="Garamond" w:hAnsi="Garamond"/>
          <w:sz w:val="28"/>
          <w:lang w:val="en-US" w:eastAsia="en-US"/>
        </w:rPr>
      </w:pPr>
      <w:r w:rsidRPr="008B1DD7">
        <w:rPr>
          <w:rFonts w:ascii="Garamond" w:hAnsi="Garamond"/>
          <w:sz w:val="28"/>
          <w:lang w:eastAsia="en-US"/>
        </w:rPr>
        <w:t xml:space="preserve">LIMA JÚNIOR, J. R.; Alencar, C.T. (2006). </w:t>
      </w:r>
      <w:r w:rsidRPr="00640561">
        <w:rPr>
          <w:rFonts w:ascii="Garamond" w:hAnsi="Garamond"/>
          <w:sz w:val="28"/>
          <w:lang w:val="en-US" w:eastAsia="en-US"/>
        </w:rPr>
        <w:t>The Office Buildings Market in São Paulo: Time Cycles to Absorb Vacant Space and to Recover Investment Attractiveness According to the Brazilian Macroeconomic Performance. Journal of Financial Management of Property and Construction. 11(1), pp. 59-71.</w:t>
      </w:r>
    </w:p>
    <w:p w:rsidR="000E6AB1" w:rsidRPr="00640561" w:rsidRDefault="000E6AB1" w:rsidP="008B1DD7">
      <w:pPr>
        <w:pStyle w:val="Bibliography"/>
        <w:spacing w:before="120"/>
        <w:ind w:left="1701" w:hanging="284"/>
        <w:jc w:val="both"/>
        <w:rPr>
          <w:rFonts w:ascii="Garamond" w:hAnsi="Garamond"/>
          <w:sz w:val="28"/>
          <w:lang w:val="en-US" w:eastAsia="en-US"/>
        </w:rPr>
      </w:pPr>
      <w:r w:rsidRPr="008B1DD7">
        <w:rPr>
          <w:rFonts w:ascii="Garamond" w:hAnsi="Garamond"/>
          <w:sz w:val="28"/>
          <w:lang w:val="en-US" w:eastAsia="en-US"/>
        </w:rPr>
        <w:t xml:space="preserve">SANDERS, A. (1998) The Historic Behavior of REIT Returns: A Capital Markets Perspective. </w:t>
      </w:r>
      <w:r w:rsidRPr="00640561">
        <w:rPr>
          <w:rFonts w:ascii="Garamond" w:hAnsi="Garamond"/>
          <w:sz w:val="28"/>
          <w:lang w:val="en-US" w:eastAsia="en-US"/>
        </w:rPr>
        <w:t xml:space="preserve">Chapter 12 in Real Estate Investment Trusts: Structure, Analysis and Strategy, </w:t>
      </w:r>
      <w:proofErr w:type="spellStart"/>
      <w:r w:rsidRPr="00640561">
        <w:rPr>
          <w:rFonts w:ascii="Garamond" w:hAnsi="Garamond"/>
          <w:sz w:val="28"/>
          <w:lang w:val="en-US" w:eastAsia="en-US"/>
        </w:rPr>
        <w:t>Garrigan</w:t>
      </w:r>
      <w:proofErr w:type="spellEnd"/>
      <w:r w:rsidRPr="00640561">
        <w:rPr>
          <w:rFonts w:ascii="Garamond" w:hAnsi="Garamond"/>
          <w:sz w:val="28"/>
          <w:lang w:val="en-US" w:eastAsia="en-US"/>
        </w:rPr>
        <w:t>, R. and Parsons J. (</w:t>
      </w:r>
      <w:proofErr w:type="spellStart"/>
      <w:r w:rsidRPr="00640561">
        <w:rPr>
          <w:rFonts w:ascii="Garamond" w:hAnsi="Garamond"/>
          <w:sz w:val="28"/>
          <w:lang w:val="en-US" w:eastAsia="en-US"/>
        </w:rPr>
        <w:t>eds</w:t>
      </w:r>
      <w:proofErr w:type="spellEnd"/>
      <w:r w:rsidRPr="00640561">
        <w:rPr>
          <w:rFonts w:ascii="Garamond" w:hAnsi="Garamond"/>
          <w:sz w:val="28"/>
          <w:lang w:val="en-US" w:eastAsia="en-US"/>
        </w:rPr>
        <w:t>), McGraw-Hill, New York.</w:t>
      </w:r>
    </w:p>
    <w:p w:rsidR="000E6AB1" w:rsidRPr="008B1DD7" w:rsidRDefault="000E6AB1" w:rsidP="008B1DD7">
      <w:pPr>
        <w:spacing w:before="120"/>
        <w:ind w:left="1701" w:hanging="284"/>
      </w:pPr>
      <w:r w:rsidRPr="00640561">
        <w:rPr>
          <w:lang w:val="en-US"/>
        </w:rPr>
        <w:t xml:space="preserve">Tonelli, M., </w:t>
      </w:r>
      <w:proofErr w:type="spellStart"/>
      <w:r w:rsidRPr="00640561">
        <w:rPr>
          <w:lang w:val="en-US"/>
        </w:rPr>
        <w:t>Coowley</w:t>
      </w:r>
      <w:proofErr w:type="spellEnd"/>
      <w:r w:rsidRPr="00640561">
        <w:rPr>
          <w:lang w:val="en-US"/>
        </w:rPr>
        <w:t xml:space="preserve">, M. and Boyd, T. (2004) Forecasting Office Building Rental Growth Using a Dynamic Approach. </w:t>
      </w:r>
      <w:r w:rsidRPr="008B1DD7">
        <w:t xml:space="preserve">Pacific Rim Property </w:t>
      </w:r>
    </w:p>
    <w:p w:rsidR="001B5D89" w:rsidRDefault="001B5D89" w:rsidP="008B1DD7">
      <w:pPr>
        <w:spacing w:after="60"/>
        <w:ind w:left="851" w:hanging="284"/>
        <w:rPr>
          <w:color w:val="000000"/>
        </w:rPr>
      </w:pPr>
    </w:p>
    <w:p w:rsidR="001B5D89" w:rsidRPr="001B5D89" w:rsidRDefault="001B5D89" w:rsidP="001B5D89">
      <w:pPr>
        <w:pStyle w:val="BodyTextIndent"/>
      </w:pPr>
      <w:r>
        <w:t>4.5.</w:t>
      </w:r>
      <w:r>
        <w:tab/>
      </w:r>
      <w:r w:rsidRPr="001B5D89">
        <w:t>O material usado pelos professores nas aulas (p.points) constitui material de apoio ao professor na explanação dos aspectos teóricos e da solução dos casos.  Não se tratando de síntese da matéria, o material não será disponibilizado aos alunos.</w:t>
      </w:r>
    </w:p>
    <w:p w:rsidR="004E7126" w:rsidRDefault="004E7126" w:rsidP="004E7126">
      <w:pPr>
        <w:pStyle w:val="normaP"/>
        <w:rPr>
          <w:rFonts w:ascii="Times New Roman" w:hAnsi="Times New Roman"/>
        </w:rPr>
      </w:pPr>
    </w:p>
    <w:p w:rsidR="004E7126" w:rsidRDefault="004E7126" w:rsidP="004E7126">
      <w:pPr>
        <w:pStyle w:val="Titulo"/>
      </w:pPr>
      <w:r>
        <w:rPr>
          <w:color w:val="808080"/>
        </w:rPr>
        <w:t>5.</w:t>
      </w:r>
      <w:r>
        <w:rPr>
          <w:rFonts w:ascii="Times New Roman" w:hAnsi="Times New Roman"/>
        </w:rPr>
        <w:tab/>
      </w:r>
      <w:r>
        <w:t>Atendimento aos Alunos</w:t>
      </w:r>
    </w:p>
    <w:p w:rsidR="004E7126" w:rsidRDefault="004E7126" w:rsidP="004E7126">
      <w:pPr>
        <w:pStyle w:val="normaP"/>
        <w:rPr>
          <w:rFonts w:ascii="Times New Roman" w:hAnsi="Times New Roman"/>
        </w:rPr>
      </w:pPr>
    </w:p>
    <w:p w:rsidR="004E7126" w:rsidRDefault="004E7126" w:rsidP="004E7126">
      <w:pPr>
        <w:spacing w:after="60"/>
        <w:ind w:left="720"/>
        <w:rPr>
          <w:color w:val="000000"/>
        </w:rPr>
      </w:pPr>
      <w:r>
        <w:rPr>
          <w:color w:val="000000"/>
        </w:rPr>
        <w:t>Os professores estarão à disposição dos alunos por 1 hora, para atendimento de dúvidas e esclarecimentos sobre os temas de aulas, no horário imediatamente após a aula.</w:t>
      </w:r>
    </w:p>
    <w:p w:rsidR="004E7126" w:rsidRDefault="004E7126" w:rsidP="004E7126">
      <w:pPr>
        <w:spacing w:after="60"/>
        <w:ind w:left="720"/>
        <w:rPr>
          <w:color w:val="000000"/>
        </w:rPr>
      </w:pPr>
      <w:r>
        <w:rPr>
          <w:color w:val="000000"/>
        </w:rPr>
        <w:t>Demais esclarecimentos poderão ser obtidos junto à Secretaria do Departamento de Engenharia de Construção Civil, de segunda a sexta-feira, no horário de 12:30 até 16:30 h.</w:t>
      </w:r>
    </w:p>
    <w:p w:rsidR="004E7126" w:rsidRDefault="004E7126" w:rsidP="004E7126">
      <w:pPr>
        <w:pStyle w:val="normaP"/>
      </w:pPr>
    </w:p>
    <w:p w:rsidR="004E7126" w:rsidRDefault="004E7126" w:rsidP="004E7126">
      <w:pPr>
        <w:pStyle w:val="Titulo"/>
      </w:pPr>
      <w:r>
        <w:rPr>
          <w:color w:val="808080"/>
        </w:rPr>
        <w:t>6.</w:t>
      </w:r>
      <w:r>
        <w:rPr>
          <w:rFonts w:ascii="Times New Roman" w:hAnsi="Times New Roman"/>
        </w:rPr>
        <w:tab/>
      </w:r>
      <w:r>
        <w:t>Revisões de Prova</w:t>
      </w:r>
    </w:p>
    <w:p w:rsidR="004E7126" w:rsidRDefault="004E7126" w:rsidP="004E7126">
      <w:pPr>
        <w:pStyle w:val="normaP"/>
        <w:rPr>
          <w:rFonts w:ascii="Times New Roman" w:hAnsi="Times New Roman"/>
        </w:rPr>
      </w:pPr>
    </w:p>
    <w:p w:rsidR="004E7126" w:rsidRDefault="004E7126" w:rsidP="004E7126">
      <w:pPr>
        <w:spacing w:after="60"/>
        <w:ind w:left="720"/>
        <w:rPr>
          <w:rFonts w:ascii="Times New Roman" w:hAnsi="Times New Roman"/>
        </w:rPr>
      </w:pPr>
      <w:r>
        <w:t xml:space="preserve">As revisões serão efetuadas na presença do aluno, </w:t>
      </w:r>
      <w:r w:rsidRPr="004F63B7">
        <w:rPr>
          <w:b/>
        </w:rPr>
        <w:t>exclusivamente</w:t>
      </w:r>
      <w:r>
        <w:t xml:space="preserve"> no horário </w:t>
      </w:r>
      <w:r>
        <w:lastRenderedPageBreak/>
        <w:t>de atendimento, em data a ser fixada na ocasião.</w:t>
      </w:r>
    </w:p>
    <w:p w:rsidR="004E7126" w:rsidRDefault="004E7126" w:rsidP="004E7126">
      <w:pPr>
        <w:pStyle w:val="normaP"/>
        <w:rPr>
          <w:rFonts w:ascii="Times New Roman" w:hAnsi="Times New Roman"/>
        </w:rPr>
      </w:pPr>
    </w:p>
    <w:p w:rsidR="004E7126" w:rsidRDefault="008B1DD7" w:rsidP="004E7126">
      <w:pPr>
        <w:pStyle w:val="Titulo"/>
      </w:pPr>
      <w:r>
        <w:rPr>
          <w:color w:val="808080"/>
        </w:rPr>
        <w:t>7</w:t>
      </w:r>
      <w:r w:rsidR="004E7126">
        <w:rPr>
          <w:color w:val="808080"/>
        </w:rPr>
        <w:t>.</w:t>
      </w:r>
      <w:r w:rsidR="004E7126">
        <w:rPr>
          <w:rFonts w:ascii="Times New Roman" w:hAnsi="Times New Roman"/>
        </w:rPr>
        <w:tab/>
      </w:r>
      <w:r w:rsidR="004E7126">
        <w:t>Outros Assuntos</w:t>
      </w:r>
    </w:p>
    <w:p w:rsidR="004E7126" w:rsidRDefault="004E7126" w:rsidP="004E7126">
      <w:pPr>
        <w:pStyle w:val="normaP"/>
        <w:rPr>
          <w:rFonts w:ascii="Times New Roman" w:hAnsi="Times New Roman"/>
        </w:rPr>
      </w:pPr>
    </w:p>
    <w:p w:rsidR="004E7126" w:rsidRDefault="004E7126" w:rsidP="004E7126">
      <w:pPr>
        <w:spacing w:after="60"/>
        <w:ind w:left="720"/>
        <w:rPr>
          <w:b/>
        </w:rPr>
      </w:pPr>
      <w:r>
        <w:rPr>
          <w:b/>
          <w:color w:val="000000"/>
        </w:rPr>
        <w:t xml:space="preserve">Esta programação, bem como todas as demais informações que se façam necessárias no decorrer do curso serão lançadas no </w:t>
      </w:r>
      <w:r w:rsidR="008B1DD7">
        <w:rPr>
          <w:b/>
          <w:color w:val="000000"/>
        </w:rPr>
        <w:t>e-</w:t>
      </w:r>
      <w:r>
        <w:rPr>
          <w:b/>
          <w:color w:val="000000"/>
        </w:rPr>
        <w:t>disciplina</w:t>
      </w:r>
      <w:r>
        <w:rPr>
          <w:b/>
        </w:rPr>
        <w:t>, que se recomenda aos alunos consultar semanalmente.</w:t>
      </w:r>
    </w:p>
    <w:p w:rsidR="00E07375" w:rsidRDefault="00E07375" w:rsidP="00E07375">
      <w:pPr>
        <w:pStyle w:val="Simples"/>
        <w:jc w:val="center"/>
        <w:rPr>
          <w:rStyle w:val="DefFS"/>
          <w:szCs w:val="28"/>
        </w:rPr>
      </w:pPr>
    </w:p>
    <w:sectPr w:rsidR="00E07375" w:rsidSect="00B23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1080" w:footer="10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5D" w:rsidRDefault="0081015D" w:rsidP="003742F5">
      <w:pPr>
        <w:spacing w:after="0" w:line="240" w:lineRule="auto"/>
      </w:pPr>
      <w:r>
        <w:separator/>
      </w:r>
    </w:p>
  </w:endnote>
  <w:endnote w:type="continuationSeparator" w:id="0">
    <w:p w:rsidR="0081015D" w:rsidRDefault="0081015D" w:rsidP="0037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7BB" w:rsidRDefault="00E64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F5" w:rsidRDefault="003742F5" w:rsidP="003742F5">
    <w:pPr>
      <w:pStyle w:val="Footer"/>
      <w:pBdr>
        <w:top w:val="single" w:sz="2" w:space="0" w:color="7F7F7F" w:themeColor="text1" w:themeTint="80"/>
      </w:pBdr>
      <w:spacing w:before="120"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F5" w:rsidRDefault="003742F5" w:rsidP="003742F5">
    <w:pPr>
      <w:pStyle w:val="Footer"/>
      <w:pBdr>
        <w:top w:val="single" w:sz="2" w:space="0" w:color="7F7F7F" w:themeColor="text1" w:themeTint="80"/>
      </w:pBdr>
      <w:spacing w:before="12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5D" w:rsidRDefault="0081015D" w:rsidP="003742F5">
      <w:pPr>
        <w:spacing w:after="0" w:line="240" w:lineRule="auto"/>
      </w:pPr>
      <w:r>
        <w:separator/>
      </w:r>
    </w:p>
  </w:footnote>
  <w:footnote w:type="continuationSeparator" w:id="0">
    <w:p w:rsidR="0081015D" w:rsidRDefault="0081015D" w:rsidP="0037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7BB" w:rsidRDefault="00E64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F5" w:rsidRPr="00AF549F" w:rsidRDefault="003742F5" w:rsidP="003742F5">
    <w:pPr>
      <w:pStyle w:val="Simples"/>
      <w:ind w:left="2160"/>
      <w:jc w:val="left"/>
      <w:rPr>
        <w:rFonts w:ascii="HelveticaNeueLT Std" w:hAnsi="HelveticaNeueLT Std"/>
        <w:smallCaps/>
        <w:sz w:val="24"/>
      </w:rPr>
    </w:pPr>
    <w:r>
      <w:rPr>
        <w:rFonts w:ascii="HelveticaNeueLT Std" w:hAnsi="HelveticaNeueLT Std"/>
        <w:smallCaps/>
        <w:noProof/>
        <w:sz w:val="24"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3723" cy="566057"/>
          <wp:effectExtent l="0" t="0" r="762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93" cy="5983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NeueLT Std" w:hAnsi="HelveticaNeueLT Std"/>
        <w:smallCaps/>
        <w:sz w:val="24"/>
      </w:rPr>
      <w:t xml:space="preserve">Real Estate </w:t>
    </w:r>
    <w:r w:rsidR="006D6BFC">
      <w:rPr>
        <w:rFonts w:ascii="HelveticaNeueLT Std" w:hAnsi="HelveticaNeueLT Std"/>
        <w:smallCaps/>
        <w:sz w:val="24"/>
      </w:rPr>
      <w:t>Graduação</w:t>
    </w:r>
  </w:p>
  <w:p w:rsidR="0066423B" w:rsidRPr="00D1726E" w:rsidRDefault="0066423B" w:rsidP="0066423B">
    <w:pPr>
      <w:pStyle w:val="Simples"/>
      <w:ind w:left="3969" w:hanging="1842"/>
      <w:jc w:val="left"/>
      <w:rPr>
        <w:rStyle w:val="ArialB"/>
        <w:rFonts w:ascii="HelveticaNeueLT Std" w:hAnsi="HelveticaNeueLT Std"/>
        <w:sz w:val="24"/>
      </w:rPr>
    </w:pPr>
    <w:r w:rsidRPr="003742F5">
      <w:rPr>
        <w:rStyle w:val="ArialB"/>
        <w:rFonts w:ascii="HelveticaNeueLT Std Lt" w:hAnsi="HelveticaNeueLT Std Lt"/>
      </w:rPr>
      <w:t xml:space="preserve">Disciplina </w:t>
    </w:r>
    <w:r w:rsidRPr="003742F5">
      <w:rPr>
        <w:rStyle w:val="ArialB"/>
        <w:rFonts w:ascii="HelveticaNeueLT Std Lt" w:hAnsi="HelveticaNeueLT Std Lt"/>
        <w:sz w:val="24"/>
      </w:rPr>
      <w:t>:</w:t>
    </w:r>
    <w:r>
      <w:rPr>
        <w:rStyle w:val="ArialB"/>
        <w:rFonts w:ascii="HelveticaNeueLT Std" w:hAnsi="HelveticaNeueLT Std"/>
        <w:sz w:val="24"/>
      </w:rPr>
      <w:t xml:space="preserve"> 3522 -</w:t>
    </w:r>
    <w:r w:rsidRPr="00D1726E">
      <w:t xml:space="preserve"> </w:t>
    </w:r>
    <w:r w:rsidRPr="00D1726E">
      <w:rPr>
        <w:rStyle w:val="ArialB"/>
        <w:rFonts w:ascii="HelveticaNeueLT Std" w:hAnsi="HelveticaNeueLT Std"/>
        <w:sz w:val="24"/>
      </w:rPr>
      <w:t>Gestão de portfolio de</w:t>
    </w:r>
    <w:r>
      <w:rPr>
        <w:rStyle w:val="ArialB"/>
        <w:rFonts w:ascii="HelveticaNeueLT Std" w:hAnsi="HelveticaNeueLT Std"/>
        <w:sz w:val="24"/>
      </w:rPr>
      <w:t xml:space="preserve"> investimento em real estate em </w:t>
    </w:r>
    <w:r w:rsidRPr="00D1726E">
      <w:rPr>
        <w:rStyle w:val="ArialB"/>
        <w:rFonts w:ascii="HelveticaNeueLT Std" w:hAnsi="HelveticaNeueLT Std"/>
        <w:sz w:val="24"/>
      </w:rPr>
      <w:t>jogo de empresas</w:t>
    </w:r>
  </w:p>
  <w:p w:rsidR="003742F5" w:rsidRPr="00AF549F" w:rsidRDefault="003742F5" w:rsidP="003742F5">
    <w:pPr>
      <w:pStyle w:val="Simples"/>
      <w:pBdr>
        <w:top w:val="single" w:sz="2" w:space="1" w:color="595959" w:themeColor="text1" w:themeTint="A6"/>
      </w:pBdr>
      <w:ind w:left="2160"/>
      <w:jc w:val="left"/>
      <w:rPr>
        <w:rStyle w:val="ArialB"/>
        <w:rFonts w:ascii="HelveticaNeueLT Std" w:hAnsi="HelveticaNeueLT Std"/>
        <w:sz w:val="4"/>
        <w:szCs w:val="4"/>
      </w:rPr>
    </w:pPr>
  </w:p>
  <w:p w:rsidR="003742F5" w:rsidRPr="005D45C3" w:rsidRDefault="003742F5" w:rsidP="003742F5">
    <w:pPr>
      <w:pStyle w:val="Simples"/>
      <w:spacing w:before="60"/>
      <w:ind w:left="2160"/>
      <w:jc w:val="left"/>
      <w:rPr>
        <w:rFonts w:ascii="HelveticaNeueLT Std Lt" w:hAnsi="HelveticaNeueLT Std Lt"/>
        <w:sz w:val="22"/>
      </w:rPr>
    </w:pPr>
    <w:r w:rsidRPr="005D45C3">
      <w:rPr>
        <w:rFonts w:ascii="HelveticaNeueLT Std Lt" w:hAnsi="HelveticaNeueLT Std Lt"/>
        <w:smallCaps/>
        <w:sz w:val="22"/>
      </w:rPr>
      <w:t xml:space="preserve">Programa </w:t>
    </w:r>
    <w:r>
      <w:rPr>
        <w:rFonts w:ascii="HelveticaNeueLT Std Lt" w:hAnsi="HelveticaNeueLT Std Lt"/>
        <w:smallCaps/>
        <w:sz w:val="22"/>
      </w:rPr>
      <w:t>de Aulas</w:t>
    </w:r>
    <w:r w:rsidRPr="005D45C3">
      <w:rPr>
        <w:rFonts w:ascii="HelveticaNeueLT Std Lt" w:hAnsi="HelveticaNeueLT Std Lt"/>
        <w:sz w:val="22"/>
      </w:rPr>
      <w:t xml:space="preserve"> – </w:t>
    </w:r>
    <w:r w:rsidR="00C21C92">
      <w:rPr>
        <w:rFonts w:ascii="HelveticaNeueLT Std Lt" w:hAnsi="HelveticaNeueLT Std Lt"/>
        <w:sz w:val="22"/>
      </w:rPr>
      <w:t>segundo</w:t>
    </w:r>
    <w:r w:rsidR="00C207A6">
      <w:rPr>
        <w:rFonts w:ascii="HelveticaNeueLT Std Lt" w:hAnsi="HelveticaNeueLT Std Lt"/>
        <w:sz w:val="22"/>
      </w:rPr>
      <w:t xml:space="preserve"> semestre de 201</w:t>
    </w:r>
    <w:r w:rsidR="00E647BB">
      <w:rPr>
        <w:rFonts w:ascii="HelveticaNeueLT Std Lt" w:hAnsi="HelveticaNeueLT Std Lt"/>
        <w:sz w:val="22"/>
      </w:rPr>
      <w:t>9</w:t>
    </w:r>
  </w:p>
  <w:p w:rsidR="003742F5" w:rsidRPr="007C6164" w:rsidRDefault="003742F5" w:rsidP="003742F5">
    <w:pPr>
      <w:pStyle w:val="Simples"/>
      <w:pBdr>
        <w:bottom w:val="single" w:sz="2" w:space="1" w:color="595959" w:themeColor="text1" w:themeTint="A6"/>
      </w:pBdr>
      <w:ind w:left="2160"/>
      <w:jc w:val="left"/>
      <w:rPr>
        <w:rStyle w:val="ArialB"/>
        <w:rFonts w:ascii="HelveticaNeueLT Std" w:hAnsi="HelveticaNeueLT Std"/>
        <w:sz w:val="4"/>
        <w:szCs w:val="4"/>
      </w:rPr>
    </w:pPr>
  </w:p>
  <w:p w:rsidR="003742F5" w:rsidRPr="00AF549F" w:rsidRDefault="00E0094E" w:rsidP="003742F5">
    <w:pPr>
      <w:pStyle w:val="Simples"/>
      <w:ind w:left="2160"/>
      <w:jc w:val="left"/>
      <w:rPr>
        <w:rFonts w:ascii="HelveticaNeueLT Std Lt" w:hAnsi="HelveticaNeueLT Std Lt"/>
        <w:sz w:val="22"/>
      </w:rPr>
    </w:pPr>
    <w:r w:rsidRPr="00AF549F">
      <w:rPr>
        <w:rStyle w:val="PageNumber"/>
        <w:rFonts w:ascii="HelveticaNeueLT Std Lt" w:hAnsi="HelveticaNeueLT Std Lt"/>
        <w:sz w:val="22"/>
      </w:rPr>
      <w:fldChar w:fldCharType="begin"/>
    </w:r>
    <w:r w:rsidR="003742F5" w:rsidRPr="00AF549F">
      <w:rPr>
        <w:rStyle w:val="PageNumber"/>
        <w:rFonts w:ascii="HelveticaNeueLT Std Lt" w:hAnsi="HelveticaNeueLT Std Lt"/>
        <w:sz w:val="22"/>
      </w:rPr>
      <w:instrText xml:space="preserve"> PAGE </w:instrText>
    </w:r>
    <w:r w:rsidRPr="00AF549F">
      <w:rPr>
        <w:rStyle w:val="PageNumber"/>
        <w:rFonts w:ascii="HelveticaNeueLT Std Lt" w:hAnsi="HelveticaNeueLT Std Lt"/>
        <w:sz w:val="22"/>
      </w:rPr>
      <w:fldChar w:fldCharType="separate"/>
    </w:r>
    <w:r w:rsidR="00D14CA3">
      <w:rPr>
        <w:rStyle w:val="PageNumber"/>
        <w:rFonts w:ascii="HelveticaNeueLT Std Lt" w:hAnsi="HelveticaNeueLT Std Lt"/>
        <w:noProof/>
        <w:sz w:val="22"/>
      </w:rPr>
      <w:t>4</w:t>
    </w:r>
    <w:r w:rsidRPr="00AF549F">
      <w:rPr>
        <w:rStyle w:val="PageNumber"/>
        <w:rFonts w:ascii="HelveticaNeueLT Std Lt" w:hAnsi="HelveticaNeueLT Std Lt"/>
        <w:sz w:val="22"/>
      </w:rPr>
      <w:fldChar w:fldCharType="end"/>
    </w:r>
  </w:p>
  <w:p w:rsidR="003742F5" w:rsidRDefault="003742F5" w:rsidP="003742F5">
    <w:pPr>
      <w:pStyle w:val="normaP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F5" w:rsidRPr="00AF549F" w:rsidRDefault="003742F5" w:rsidP="003742F5">
    <w:pPr>
      <w:pStyle w:val="Simples"/>
      <w:ind w:left="2160"/>
      <w:jc w:val="left"/>
      <w:rPr>
        <w:rFonts w:ascii="HelveticaNeueLT Std" w:hAnsi="HelveticaNeueLT Std"/>
        <w:smallCaps/>
        <w:sz w:val="24"/>
      </w:rPr>
    </w:pPr>
    <w:r>
      <w:rPr>
        <w:rFonts w:ascii="HelveticaNeueLT Std" w:hAnsi="HelveticaNeueLT Std"/>
        <w:smallCaps/>
        <w:noProof/>
        <w:sz w:val="24"/>
        <w:lang w:eastAsia="pt-BR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20955</wp:posOffset>
          </wp:positionH>
          <wp:positionV relativeFrom="paragraph">
            <wp:posOffset>3175</wp:posOffset>
          </wp:positionV>
          <wp:extent cx="1209675" cy="989330"/>
          <wp:effectExtent l="0" t="0" r="9525" b="127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89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NeueLT Std" w:hAnsi="HelveticaNeueLT Std"/>
        <w:smallCaps/>
        <w:sz w:val="24"/>
      </w:rPr>
      <w:t xml:space="preserve">Real Estate </w:t>
    </w:r>
    <w:r w:rsidR="00140E0E">
      <w:rPr>
        <w:rFonts w:ascii="HelveticaNeueLT Std" w:hAnsi="HelveticaNeueLT Std"/>
        <w:smallCaps/>
        <w:sz w:val="24"/>
      </w:rPr>
      <w:t>Graduação</w:t>
    </w:r>
  </w:p>
  <w:p w:rsidR="003742F5" w:rsidRPr="00D1726E" w:rsidRDefault="003742F5" w:rsidP="00D1726E">
    <w:pPr>
      <w:pStyle w:val="Simples"/>
      <w:ind w:left="3969" w:hanging="1842"/>
      <w:jc w:val="left"/>
      <w:rPr>
        <w:rStyle w:val="ArialB"/>
        <w:rFonts w:ascii="HelveticaNeueLT Std" w:hAnsi="HelveticaNeueLT Std"/>
        <w:sz w:val="24"/>
      </w:rPr>
    </w:pPr>
    <w:r w:rsidRPr="003742F5">
      <w:rPr>
        <w:rStyle w:val="ArialB"/>
        <w:rFonts w:ascii="HelveticaNeueLT Std Lt" w:hAnsi="HelveticaNeueLT Std Lt"/>
      </w:rPr>
      <w:t xml:space="preserve">Disciplina </w:t>
    </w:r>
    <w:r w:rsidRPr="003742F5">
      <w:rPr>
        <w:rStyle w:val="ArialB"/>
        <w:rFonts w:ascii="HelveticaNeueLT Std Lt" w:hAnsi="HelveticaNeueLT Std Lt"/>
        <w:sz w:val="24"/>
      </w:rPr>
      <w:t>:</w:t>
    </w:r>
    <w:r>
      <w:rPr>
        <w:rStyle w:val="ArialB"/>
        <w:rFonts w:ascii="HelveticaNeueLT Std" w:hAnsi="HelveticaNeueLT Std"/>
        <w:sz w:val="24"/>
      </w:rPr>
      <w:t xml:space="preserve"> </w:t>
    </w:r>
    <w:r w:rsidR="00140E0E">
      <w:rPr>
        <w:rStyle w:val="ArialB"/>
        <w:rFonts w:ascii="HelveticaNeueLT Std" w:hAnsi="HelveticaNeueLT Std"/>
        <w:sz w:val="24"/>
      </w:rPr>
      <w:t>3</w:t>
    </w:r>
    <w:r w:rsidR="00A20778">
      <w:rPr>
        <w:rStyle w:val="ArialB"/>
        <w:rFonts w:ascii="HelveticaNeueLT Std" w:hAnsi="HelveticaNeueLT Std"/>
        <w:sz w:val="24"/>
      </w:rPr>
      <w:t>52</w:t>
    </w:r>
    <w:r w:rsidR="00F37B75">
      <w:rPr>
        <w:rStyle w:val="ArialB"/>
        <w:rFonts w:ascii="HelveticaNeueLT Std" w:hAnsi="HelveticaNeueLT Std"/>
        <w:sz w:val="24"/>
      </w:rPr>
      <w:t xml:space="preserve">2 </w:t>
    </w:r>
    <w:r w:rsidR="00140E0E">
      <w:rPr>
        <w:rStyle w:val="ArialB"/>
        <w:rFonts w:ascii="HelveticaNeueLT Std" w:hAnsi="HelveticaNeueLT Std"/>
        <w:sz w:val="24"/>
      </w:rPr>
      <w:t>-</w:t>
    </w:r>
    <w:r w:rsidR="00D1726E" w:rsidRPr="00D1726E">
      <w:t xml:space="preserve"> </w:t>
    </w:r>
    <w:r w:rsidR="00D1726E" w:rsidRPr="00D1726E">
      <w:rPr>
        <w:rStyle w:val="ArialB"/>
        <w:rFonts w:ascii="HelveticaNeueLT Std" w:hAnsi="HelveticaNeueLT Std"/>
        <w:sz w:val="24"/>
      </w:rPr>
      <w:t>Gestão de portfolio de</w:t>
    </w:r>
    <w:r w:rsidR="00D1726E">
      <w:rPr>
        <w:rStyle w:val="ArialB"/>
        <w:rFonts w:ascii="HelveticaNeueLT Std" w:hAnsi="HelveticaNeueLT Std"/>
        <w:sz w:val="24"/>
      </w:rPr>
      <w:t xml:space="preserve"> investimento em real estate em </w:t>
    </w:r>
    <w:r w:rsidR="00D1726E" w:rsidRPr="00D1726E">
      <w:rPr>
        <w:rStyle w:val="ArialB"/>
        <w:rFonts w:ascii="HelveticaNeueLT Std" w:hAnsi="HelveticaNeueLT Std"/>
        <w:sz w:val="24"/>
      </w:rPr>
      <w:t>jogo de empresas</w:t>
    </w:r>
  </w:p>
  <w:p w:rsidR="003742F5" w:rsidRPr="00AF549F" w:rsidRDefault="000A1051" w:rsidP="003742F5">
    <w:pPr>
      <w:pStyle w:val="Simples"/>
      <w:ind w:left="2160"/>
      <w:jc w:val="left"/>
      <w:rPr>
        <w:rStyle w:val="ArialB"/>
        <w:rFonts w:ascii="HelveticaNeueLT Std Lt" w:hAnsi="HelveticaNeueLT Std Lt"/>
        <w:sz w:val="20"/>
      </w:rPr>
    </w:pPr>
    <w:r>
      <w:rPr>
        <w:rStyle w:val="ArialB"/>
        <w:rFonts w:ascii="HelveticaNeueLT Std Lt" w:hAnsi="HelveticaNeueLT Std Lt"/>
        <w:sz w:val="20"/>
      </w:rPr>
      <w:t>Profa. Dra. Eliane Monetti</w:t>
    </w:r>
    <w:r>
      <w:rPr>
        <w:rStyle w:val="ArialB"/>
        <w:rFonts w:ascii="HelveticaNeueLT Std Lt" w:hAnsi="HelveticaNeueLT Std Lt"/>
        <w:sz w:val="20"/>
      </w:rPr>
      <w:br/>
      <w:t>Prof. Dr</w:t>
    </w:r>
    <w:r w:rsidR="00640561">
      <w:rPr>
        <w:rStyle w:val="ArialB"/>
        <w:rFonts w:ascii="HelveticaNeueLT Std Lt" w:hAnsi="HelveticaNeueLT Std Lt"/>
        <w:sz w:val="20"/>
      </w:rPr>
      <w:t>a</w:t>
    </w:r>
    <w:r>
      <w:rPr>
        <w:rStyle w:val="ArialB"/>
        <w:rFonts w:ascii="HelveticaNeueLT Std Lt" w:hAnsi="HelveticaNeueLT Std Lt"/>
        <w:sz w:val="20"/>
      </w:rPr>
      <w:t>. Claudio Tavares de Alencar</w:t>
    </w:r>
  </w:p>
  <w:p w:rsidR="003742F5" w:rsidRPr="00AF549F" w:rsidRDefault="003742F5" w:rsidP="003742F5">
    <w:pPr>
      <w:pStyle w:val="Simples"/>
      <w:pBdr>
        <w:bottom w:val="single" w:sz="2" w:space="1" w:color="595959" w:themeColor="text1" w:themeTint="A6"/>
      </w:pBdr>
      <w:ind w:left="2160"/>
      <w:jc w:val="left"/>
      <w:rPr>
        <w:rStyle w:val="ArialB"/>
        <w:rFonts w:ascii="HelveticaNeueLT Std" w:hAnsi="HelveticaNeueLT Std"/>
        <w:sz w:val="4"/>
        <w:szCs w:val="4"/>
      </w:rPr>
    </w:pPr>
  </w:p>
  <w:p w:rsidR="003742F5" w:rsidRPr="005D45C3" w:rsidRDefault="003742F5" w:rsidP="003742F5">
    <w:pPr>
      <w:pStyle w:val="Simples"/>
      <w:spacing w:before="60"/>
      <w:ind w:left="2160"/>
      <w:jc w:val="left"/>
      <w:rPr>
        <w:rFonts w:ascii="HelveticaNeueLT Std Lt" w:hAnsi="HelveticaNeueLT Std Lt"/>
        <w:sz w:val="22"/>
      </w:rPr>
    </w:pPr>
    <w:r w:rsidRPr="005D45C3">
      <w:rPr>
        <w:rFonts w:ascii="HelveticaNeueLT Std Lt" w:hAnsi="HelveticaNeueLT Std Lt"/>
        <w:smallCaps/>
        <w:sz w:val="22"/>
      </w:rPr>
      <w:t xml:space="preserve">Programa </w:t>
    </w:r>
    <w:r>
      <w:rPr>
        <w:rFonts w:ascii="HelveticaNeueLT Std Lt" w:hAnsi="HelveticaNeueLT Std Lt"/>
        <w:smallCaps/>
        <w:sz w:val="22"/>
      </w:rPr>
      <w:t>de Aulas</w:t>
    </w:r>
    <w:r w:rsidRPr="005D45C3">
      <w:rPr>
        <w:rFonts w:ascii="HelveticaNeueLT Std Lt" w:hAnsi="HelveticaNeueLT Std Lt"/>
        <w:sz w:val="22"/>
      </w:rPr>
      <w:t xml:space="preserve"> – </w:t>
    </w:r>
    <w:r w:rsidR="00C21C92">
      <w:rPr>
        <w:rFonts w:ascii="HelveticaNeueLT Std Lt" w:hAnsi="HelveticaNeueLT Std Lt"/>
        <w:sz w:val="22"/>
      </w:rPr>
      <w:t>segundo</w:t>
    </w:r>
    <w:r w:rsidR="00C207A6">
      <w:rPr>
        <w:rFonts w:ascii="HelveticaNeueLT Std Lt" w:hAnsi="HelveticaNeueLT Std Lt"/>
        <w:sz w:val="22"/>
      </w:rPr>
      <w:t xml:space="preserve"> semestre de 201</w:t>
    </w:r>
    <w:r w:rsidR="00640561">
      <w:rPr>
        <w:rFonts w:ascii="HelveticaNeueLT Std Lt" w:hAnsi="HelveticaNeueLT Std Lt"/>
        <w:sz w:val="22"/>
      </w:rPr>
      <w:t>9</w:t>
    </w:r>
  </w:p>
  <w:p w:rsidR="003742F5" w:rsidRPr="007C6164" w:rsidRDefault="003742F5" w:rsidP="003742F5">
    <w:pPr>
      <w:pStyle w:val="Simples"/>
      <w:pBdr>
        <w:bottom w:val="single" w:sz="2" w:space="1" w:color="595959" w:themeColor="text1" w:themeTint="A6"/>
      </w:pBdr>
      <w:ind w:left="2160"/>
      <w:jc w:val="left"/>
      <w:rPr>
        <w:rStyle w:val="ArialB"/>
        <w:rFonts w:ascii="HelveticaNeueLT Std" w:hAnsi="HelveticaNeueLT Std"/>
        <w:sz w:val="4"/>
        <w:szCs w:val="4"/>
      </w:rPr>
    </w:pPr>
  </w:p>
  <w:p w:rsidR="003742F5" w:rsidRPr="00AF549F" w:rsidRDefault="00E0094E" w:rsidP="003742F5">
    <w:pPr>
      <w:pStyle w:val="Simples"/>
      <w:ind w:left="2160"/>
      <w:jc w:val="left"/>
      <w:rPr>
        <w:rFonts w:ascii="HelveticaNeueLT Std Lt" w:hAnsi="HelveticaNeueLT Std Lt"/>
        <w:sz w:val="22"/>
      </w:rPr>
    </w:pPr>
    <w:r w:rsidRPr="00AF549F">
      <w:rPr>
        <w:rStyle w:val="PageNumber"/>
        <w:rFonts w:ascii="HelveticaNeueLT Std Lt" w:hAnsi="HelveticaNeueLT Std Lt"/>
        <w:sz w:val="22"/>
      </w:rPr>
      <w:fldChar w:fldCharType="begin"/>
    </w:r>
    <w:r w:rsidR="003742F5" w:rsidRPr="00AF549F">
      <w:rPr>
        <w:rStyle w:val="PageNumber"/>
        <w:rFonts w:ascii="HelveticaNeueLT Std Lt" w:hAnsi="HelveticaNeueLT Std Lt"/>
        <w:sz w:val="22"/>
      </w:rPr>
      <w:instrText xml:space="preserve"> PAGE </w:instrText>
    </w:r>
    <w:r w:rsidRPr="00AF549F">
      <w:rPr>
        <w:rStyle w:val="PageNumber"/>
        <w:rFonts w:ascii="HelveticaNeueLT Std Lt" w:hAnsi="HelveticaNeueLT Std Lt"/>
        <w:sz w:val="22"/>
      </w:rPr>
      <w:fldChar w:fldCharType="separate"/>
    </w:r>
    <w:r w:rsidR="00D14CA3">
      <w:rPr>
        <w:rStyle w:val="PageNumber"/>
        <w:rFonts w:ascii="HelveticaNeueLT Std Lt" w:hAnsi="HelveticaNeueLT Std Lt"/>
        <w:noProof/>
        <w:sz w:val="22"/>
      </w:rPr>
      <w:t>1</w:t>
    </w:r>
    <w:r w:rsidRPr="00AF549F">
      <w:rPr>
        <w:rStyle w:val="PageNumber"/>
        <w:rFonts w:ascii="HelveticaNeueLT Std Lt" w:hAnsi="HelveticaNeueLT Std Lt"/>
        <w:sz w:val="22"/>
      </w:rPr>
      <w:fldChar w:fldCharType="end"/>
    </w:r>
  </w:p>
  <w:p w:rsidR="003742F5" w:rsidRDefault="003742F5" w:rsidP="003742F5">
    <w:pPr>
      <w:pStyle w:val="Header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4EFE"/>
    <w:multiLevelType w:val="hybridMultilevel"/>
    <w:tmpl w:val="5126B4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784879"/>
    <w:multiLevelType w:val="hybridMultilevel"/>
    <w:tmpl w:val="10E801AC"/>
    <w:lvl w:ilvl="0" w:tplc="464402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0"/>
        <w:u w:val="none" w:color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F45D2"/>
    <w:multiLevelType w:val="hybridMultilevel"/>
    <w:tmpl w:val="F356E608"/>
    <w:lvl w:ilvl="0" w:tplc="464402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F7F7F" w:themeColor="text1" w:themeTint="80"/>
        <w:sz w:val="20"/>
        <w:u w:val="none" w:color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C36C1"/>
    <w:multiLevelType w:val="hybridMultilevel"/>
    <w:tmpl w:val="852C476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93C269A"/>
    <w:multiLevelType w:val="hybridMultilevel"/>
    <w:tmpl w:val="852C476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69C35F9"/>
    <w:multiLevelType w:val="hybridMultilevel"/>
    <w:tmpl w:val="7E52A0F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759A6887"/>
    <w:multiLevelType w:val="hybridMultilevel"/>
    <w:tmpl w:val="020838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65539B"/>
    <w:multiLevelType w:val="hybridMultilevel"/>
    <w:tmpl w:val="35F8F8F2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F5"/>
    <w:rsid w:val="00036E39"/>
    <w:rsid w:val="00044905"/>
    <w:rsid w:val="000477DE"/>
    <w:rsid w:val="00050DF2"/>
    <w:rsid w:val="00054CE3"/>
    <w:rsid w:val="000759CA"/>
    <w:rsid w:val="00093A78"/>
    <w:rsid w:val="000A1051"/>
    <w:rsid w:val="000E6AB1"/>
    <w:rsid w:val="000F05A5"/>
    <w:rsid w:val="00140E0E"/>
    <w:rsid w:val="001843B6"/>
    <w:rsid w:val="001934DA"/>
    <w:rsid w:val="001A6083"/>
    <w:rsid w:val="001B5D89"/>
    <w:rsid w:val="001B63FD"/>
    <w:rsid w:val="00206448"/>
    <w:rsid w:val="00207E4A"/>
    <w:rsid w:val="00230005"/>
    <w:rsid w:val="00240776"/>
    <w:rsid w:val="00244F6B"/>
    <w:rsid w:val="00250242"/>
    <w:rsid w:val="002679D6"/>
    <w:rsid w:val="00293E1A"/>
    <w:rsid w:val="002B2BFF"/>
    <w:rsid w:val="002D2017"/>
    <w:rsid w:val="002E3475"/>
    <w:rsid w:val="002F206C"/>
    <w:rsid w:val="002F6AC9"/>
    <w:rsid w:val="00314386"/>
    <w:rsid w:val="00326990"/>
    <w:rsid w:val="0035767C"/>
    <w:rsid w:val="003742F5"/>
    <w:rsid w:val="00386F0F"/>
    <w:rsid w:val="00391CD5"/>
    <w:rsid w:val="003A53CB"/>
    <w:rsid w:val="003D02ED"/>
    <w:rsid w:val="003D4413"/>
    <w:rsid w:val="003E02AF"/>
    <w:rsid w:val="003E6A31"/>
    <w:rsid w:val="004649FD"/>
    <w:rsid w:val="004753DF"/>
    <w:rsid w:val="00475441"/>
    <w:rsid w:val="00495D1F"/>
    <w:rsid w:val="004E7126"/>
    <w:rsid w:val="004F7162"/>
    <w:rsid w:val="00512037"/>
    <w:rsid w:val="00550A7F"/>
    <w:rsid w:val="0055196F"/>
    <w:rsid w:val="00562A24"/>
    <w:rsid w:val="00576BE9"/>
    <w:rsid w:val="005A2293"/>
    <w:rsid w:val="005A6785"/>
    <w:rsid w:val="005B3CA3"/>
    <w:rsid w:val="005B74CB"/>
    <w:rsid w:val="005C4E30"/>
    <w:rsid w:val="005C587D"/>
    <w:rsid w:val="005F0731"/>
    <w:rsid w:val="00601C0E"/>
    <w:rsid w:val="00614725"/>
    <w:rsid w:val="00626376"/>
    <w:rsid w:val="00632298"/>
    <w:rsid w:val="006331C8"/>
    <w:rsid w:val="00635396"/>
    <w:rsid w:val="00640561"/>
    <w:rsid w:val="00642B82"/>
    <w:rsid w:val="00642DED"/>
    <w:rsid w:val="0066423B"/>
    <w:rsid w:val="006703B9"/>
    <w:rsid w:val="006762CB"/>
    <w:rsid w:val="00683E70"/>
    <w:rsid w:val="006A0B16"/>
    <w:rsid w:val="006B4474"/>
    <w:rsid w:val="006B484B"/>
    <w:rsid w:val="006B614E"/>
    <w:rsid w:val="006C33ED"/>
    <w:rsid w:val="006D6BFC"/>
    <w:rsid w:val="006E0280"/>
    <w:rsid w:val="00717139"/>
    <w:rsid w:val="00767AF8"/>
    <w:rsid w:val="007823DC"/>
    <w:rsid w:val="007A124E"/>
    <w:rsid w:val="007A589B"/>
    <w:rsid w:val="007A6811"/>
    <w:rsid w:val="007B6F63"/>
    <w:rsid w:val="007C04A6"/>
    <w:rsid w:val="007C5724"/>
    <w:rsid w:val="007D43EA"/>
    <w:rsid w:val="007D450A"/>
    <w:rsid w:val="007D4990"/>
    <w:rsid w:val="007D52BA"/>
    <w:rsid w:val="007E6E10"/>
    <w:rsid w:val="00802817"/>
    <w:rsid w:val="0081015D"/>
    <w:rsid w:val="00864529"/>
    <w:rsid w:val="00885DE0"/>
    <w:rsid w:val="008A34F7"/>
    <w:rsid w:val="008B1DD7"/>
    <w:rsid w:val="008C2F88"/>
    <w:rsid w:val="008F2E8B"/>
    <w:rsid w:val="008F5146"/>
    <w:rsid w:val="00906D77"/>
    <w:rsid w:val="009154AE"/>
    <w:rsid w:val="00934FA9"/>
    <w:rsid w:val="00953991"/>
    <w:rsid w:val="00967601"/>
    <w:rsid w:val="00976326"/>
    <w:rsid w:val="00980ACD"/>
    <w:rsid w:val="009D10CF"/>
    <w:rsid w:val="009D782F"/>
    <w:rsid w:val="009E6EA6"/>
    <w:rsid w:val="009F3AC9"/>
    <w:rsid w:val="00A20778"/>
    <w:rsid w:val="00A51801"/>
    <w:rsid w:val="00AA07CB"/>
    <w:rsid w:val="00AC448D"/>
    <w:rsid w:val="00AE3F1C"/>
    <w:rsid w:val="00B05B2A"/>
    <w:rsid w:val="00B17704"/>
    <w:rsid w:val="00B23726"/>
    <w:rsid w:val="00B36D83"/>
    <w:rsid w:val="00B44282"/>
    <w:rsid w:val="00B47B7A"/>
    <w:rsid w:val="00BA5702"/>
    <w:rsid w:val="00BB1D00"/>
    <w:rsid w:val="00BC2AB4"/>
    <w:rsid w:val="00BC44A3"/>
    <w:rsid w:val="00BE3657"/>
    <w:rsid w:val="00BE41C5"/>
    <w:rsid w:val="00C14FE7"/>
    <w:rsid w:val="00C207A6"/>
    <w:rsid w:val="00C21C92"/>
    <w:rsid w:val="00C317DE"/>
    <w:rsid w:val="00C355C2"/>
    <w:rsid w:val="00C60490"/>
    <w:rsid w:val="00C94AF8"/>
    <w:rsid w:val="00C97072"/>
    <w:rsid w:val="00CA4793"/>
    <w:rsid w:val="00CA487F"/>
    <w:rsid w:val="00CD1053"/>
    <w:rsid w:val="00CE104C"/>
    <w:rsid w:val="00CE251C"/>
    <w:rsid w:val="00CF1E05"/>
    <w:rsid w:val="00D14CA3"/>
    <w:rsid w:val="00D1726E"/>
    <w:rsid w:val="00D33E77"/>
    <w:rsid w:val="00D83E6F"/>
    <w:rsid w:val="00DC7871"/>
    <w:rsid w:val="00DD3364"/>
    <w:rsid w:val="00DD5101"/>
    <w:rsid w:val="00DE09E3"/>
    <w:rsid w:val="00DE57A3"/>
    <w:rsid w:val="00DE5BAD"/>
    <w:rsid w:val="00DF6EA1"/>
    <w:rsid w:val="00E0094E"/>
    <w:rsid w:val="00E0512A"/>
    <w:rsid w:val="00E07375"/>
    <w:rsid w:val="00E10B7B"/>
    <w:rsid w:val="00E12E9D"/>
    <w:rsid w:val="00E255F2"/>
    <w:rsid w:val="00E256D9"/>
    <w:rsid w:val="00E452FC"/>
    <w:rsid w:val="00E5289C"/>
    <w:rsid w:val="00E55DC1"/>
    <w:rsid w:val="00E647BB"/>
    <w:rsid w:val="00E8252E"/>
    <w:rsid w:val="00E860C6"/>
    <w:rsid w:val="00EA4423"/>
    <w:rsid w:val="00EA7C5B"/>
    <w:rsid w:val="00EB5BAF"/>
    <w:rsid w:val="00EC097C"/>
    <w:rsid w:val="00ED74B1"/>
    <w:rsid w:val="00ED7941"/>
    <w:rsid w:val="00EF5E9E"/>
    <w:rsid w:val="00F03E18"/>
    <w:rsid w:val="00F2074C"/>
    <w:rsid w:val="00F37B75"/>
    <w:rsid w:val="00F45E85"/>
    <w:rsid w:val="00F93450"/>
    <w:rsid w:val="00F97064"/>
    <w:rsid w:val="00FA2B7E"/>
    <w:rsid w:val="00FC3902"/>
    <w:rsid w:val="00FD301D"/>
    <w:rsid w:val="00FE1705"/>
    <w:rsid w:val="00FE4C1F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C4E9"/>
  <w15:docId w15:val="{51AA23EE-624E-4B89-9881-57A5C763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26"/>
    <w:pPr>
      <w:widowControl w:val="0"/>
      <w:spacing w:after="120" w:line="320" w:lineRule="atLeast"/>
      <w:jc w:val="both"/>
    </w:pPr>
    <w:rPr>
      <w:rFonts w:ascii="Garamond" w:hAnsi="Garamond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0C6"/>
    <w:pPr>
      <w:keepNext/>
      <w:tabs>
        <w:tab w:val="left" w:pos="2340"/>
      </w:tabs>
      <w:ind w:left="1800" w:hanging="108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oTNR">
    <w:name w:val="italicoTNR"/>
    <w:basedOn w:val="Normal"/>
    <w:qFormat/>
    <w:rsid w:val="00ED7941"/>
    <w:pPr>
      <w:ind w:left="158" w:firstLine="18"/>
    </w:pPr>
    <w:rPr>
      <w:i/>
      <w:sz w:val="22"/>
      <w:szCs w:val="24"/>
    </w:rPr>
  </w:style>
  <w:style w:type="character" w:customStyle="1" w:styleId="italicoA">
    <w:name w:val="italicoA"/>
    <w:rsid w:val="002679D6"/>
    <w:rPr>
      <w:rFonts w:ascii="Times New Roman" w:hAnsi="Times New Roman"/>
      <w:i/>
      <w:sz w:val="24"/>
      <w:szCs w:val="26"/>
    </w:rPr>
  </w:style>
  <w:style w:type="character" w:customStyle="1" w:styleId="alto">
    <w:name w:val="alto"/>
    <w:rsid w:val="002679D6"/>
    <w:rPr>
      <w:position w:val="6"/>
      <w:sz w:val="24"/>
      <w:szCs w:val="24"/>
    </w:rPr>
  </w:style>
  <w:style w:type="character" w:customStyle="1" w:styleId="ArialB">
    <w:name w:val="ArialB"/>
    <w:rsid w:val="002679D6"/>
    <w:rPr>
      <w:rFonts w:ascii="Arial" w:hAnsi="Arial"/>
      <w:smallCaps/>
      <w:sz w:val="22"/>
    </w:rPr>
  </w:style>
  <w:style w:type="character" w:customStyle="1" w:styleId="ArialPequeno">
    <w:name w:val="ArialPequeno"/>
    <w:rsid w:val="002679D6"/>
    <w:rPr>
      <w:rFonts w:ascii="Arial" w:hAnsi="Arial"/>
      <w:b/>
      <w:sz w:val="20"/>
    </w:rPr>
  </w:style>
  <w:style w:type="character" w:customStyle="1" w:styleId="baixo">
    <w:name w:val="baixo"/>
    <w:rsid w:val="002679D6"/>
    <w:rPr>
      <w:position w:val="-6"/>
      <w:sz w:val="24"/>
      <w:szCs w:val="24"/>
    </w:rPr>
  </w:style>
  <w:style w:type="character" w:customStyle="1" w:styleId="DefFS">
    <w:name w:val="DefFS"/>
    <w:uiPriority w:val="1"/>
    <w:qFormat/>
    <w:rsid w:val="002679D6"/>
  </w:style>
  <w:style w:type="paragraph" w:customStyle="1" w:styleId="email">
    <w:name w:val="email"/>
    <w:basedOn w:val="Normal"/>
    <w:rsid w:val="002679D6"/>
    <w:pPr>
      <w:snapToGrid w:val="0"/>
      <w:spacing w:after="0" w:line="240" w:lineRule="auto"/>
      <w:ind w:right="2160"/>
    </w:pPr>
    <w:rPr>
      <w:rFonts w:ascii="Verdana" w:hAnsi="Verdana"/>
      <w:snapToGrid w:val="0"/>
      <w:sz w:val="20"/>
      <w:szCs w:val="22"/>
    </w:rPr>
  </w:style>
  <w:style w:type="paragraph" w:customStyle="1" w:styleId="Simples">
    <w:name w:val="Simples"/>
    <w:basedOn w:val="Normal"/>
    <w:qFormat/>
    <w:rsid w:val="002679D6"/>
    <w:pPr>
      <w:spacing w:after="0" w:line="240" w:lineRule="auto"/>
    </w:pPr>
  </w:style>
  <w:style w:type="paragraph" w:customStyle="1" w:styleId="Estica">
    <w:name w:val="Estica"/>
    <w:basedOn w:val="Simples"/>
    <w:rsid w:val="002679D6"/>
    <w:pPr>
      <w:ind w:left="-720" w:right="-720"/>
      <w:jc w:val="center"/>
    </w:pPr>
  </w:style>
  <w:style w:type="paragraph" w:styleId="Footer">
    <w:name w:val="footer"/>
    <w:basedOn w:val="Normal"/>
    <w:link w:val="FooterChar"/>
    <w:rsid w:val="002679D6"/>
    <w:pPr>
      <w:keepLines/>
      <w:spacing w:after="60" w:line="240" w:lineRule="auto"/>
    </w:pPr>
    <w:rPr>
      <w:rFonts w:ascii="Arial" w:hAnsi="Arial"/>
      <w:caps/>
      <w:sz w:val="16"/>
    </w:rPr>
  </w:style>
  <w:style w:type="character" w:customStyle="1" w:styleId="FooterChar">
    <w:name w:val="Footer Char"/>
    <w:basedOn w:val="DefaultParagraphFont"/>
    <w:link w:val="Footer"/>
    <w:rsid w:val="001843B6"/>
    <w:rPr>
      <w:rFonts w:ascii="Arial" w:hAnsi="Arial"/>
      <w:caps/>
      <w:sz w:val="16"/>
    </w:rPr>
  </w:style>
  <w:style w:type="character" w:styleId="FootnoteReference">
    <w:name w:val="footnote reference"/>
    <w:rsid w:val="002679D6"/>
    <w:rPr>
      <w:rFonts w:ascii="Garamond" w:hAnsi="Garamond"/>
      <w:position w:val="6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2679D6"/>
    <w:pPr>
      <w:spacing w:after="60" w:line="240" w:lineRule="auto"/>
      <w:ind w:left="1080" w:hanging="360"/>
    </w:pPr>
    <w:rPr>
      <w:rFonts w:eastAsia="SimSun"/>
      <w:sz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1843B6"/>
    <w:rPr>
      <w:rFonts w:ascii="Garamond" w:eastAsia="SimSun" w:hAnsi="Garamond"/>
      <w:sz w:val="24"/>
      <w:lang w:eastAsia="zh-CN"/>
    </w:rPr>
  </w:style>
  <w:style w:type="paragraph" w:customStyle="1" w:styleId="Graph">
    <w:name w:val="Graph"/>
    <w:basedOn w:val="Normal"/>
    <w:rsid w:val="002679D6"/>
    <w:pPr>
      <w:pBdr>
        <w:bottom w:val="single" w:sz="2" w:space="1" w:color="595959" w:themeColor="text1" w:themeTint="A6"/>
      </w:pBdr>
      <w:spacing w:after="160" w:line="240" w:lineRule="auto"/>
      <w:ind w:left="2880" w:right="2880"/>
      <w:jc w:val="center"/>
    </w:pPr>
    <w:rPr>
      <w:rFonts w:ascii="Arial" w:eastAsia="SimSun" w:hAnsi="Arial"/>
      <w:snapToGrid w:val="0"/>
      <w:sz w:val="20"/>
      <w:szCs w:val="22"/>
      <w:lang w:eastAsia="pt-BR"/>
    </w:rPr>
  </w:style>
  <w:style w:type="paragraph" w:customStyle="1" w:styleId="item">
    <w:name w:val="item"/>
    <w:basedOn w:val="Normal"/>
    <w:rsid w:val="002679D6"/>
    <w:pPr>
      <w:ind w:left="720"/>
    </w:pPr>
    <w:rPr>
      <w:rFonts w:eastAsia="SimSun"/>
      <w:lang w:eastAsia="zh-CN"/>
    </w:rPr>
  </w:style>
  <w:style w:type="paragraph" w:customStyle="1" w:styleId="graph2">
    <w:name w:val="graph2"/>
    <w:basedOn w:val="item"/>
    <w:rsid w:val="002679D6"/>
    <w:pPr>
      <w:spacing w:after="0" w:line="240" w:lineRule="auto"/>
      <w:ind w:left="1800" w:hanging="1800"/>
      <w:jc w:val="center"/>
    </w:pPr>
    <w:rPr>
      <w:rFonts w:ascii="Arial" w:hAnsi="Arial"/>
      <w:sz w:val="20"/>
    </w:rPr>
  </w:style>
  <w:style w:type="paragraph" w:customStyle="1" w:styleId="graphT">
    <w:name w:val="graphT"/>
    <w:basedOn w:val="item"/>
    <w:rsid w:val="002679D6"/>
    <w:pPr>
      <w:spacing w:after="0" w:line="240" w:lineRule="auto"/>
      <w:ind w:left="0"/>
      <w:jc w:val="center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2679D6"/>
  </w:style>
  <w:style w:type="character" w:customStyle="1" w:styleId="HeaderChar">
    <w:name w:val="Header Char"/>
    <w:basedOn w:val="DefaultParagraphFont"/>
    <w:link w:val="Header"/>
    <w:uiPriority w:val="99"/>
    <w:rsid w:val="001843B6"/>
    <w:rPr>
      <w:rFonts w:ascii="Garamond" w:hAnsi="Garamond"/>
      <w:sz w:val="28"/>
    </w:rPr>
  </w:style>
  <w:style w:type="paragraph" w:customStyle="1" w:styleId="itemtex">
    <w:name w:val="itemtex"/>
    <w:basedOn w:val="Normal"/>
    <w:rsid w:val="002679D6"/>
    <w:pPr>
      <w:ind w:left="1440" w:hanging="720"/>
    </w:pPr>
    <w:rPr>
      <w:rFonts w:eastAsia="SimSun"/>
      <w:lang w:eastAsia="zh-CN"/>
    </w:rPr>
  </w:style>
  <w:style w:type="character" w:customStyle="1" w:styleId="nomeP">
    <w:name w:val="nomeP"/>
    <w:rsid w:val="002679D6"/>
    <w:rPr>
      <w:caps/>
      <w:sz w:val="24"/>
      <w:szCs w:val="24"/>
    </w:rPr>
  </w:style>
  <w:style w:type="paragraph" w:customStyle="1" w:styleId="normaP">
    <w:name w:val="normaP"/>
    <w:basedOn w:val="Normal"/>
    <w:rsid w:val="002679D6"/>
    <w:pPr>
      <w:spacing w:after="0" w:line="240" w:lineRule="auto"/>
      <w:jc w:val="center"/>
    </w:pPr>
  </w:style>
  <w:style w:type="paragraph" w:customStyle="1" w:styleId="NorTex">
    <w:name w:val="NorTex"/>
    <w:basedOn w:val="Normal"/>
    <w:rsid w:val="001B63FD"/>
    <w:pPr>
      <w:spacing w:after="0"/>
      <w:jc w:val="left"/>
    </w:pPr>
  </w:style>
  <w:style w:type="character" w:customStyle="1" w:styleId="Pnome">
    <w:name w:val="Pnome"/>
    <w:rsid w:val="002679D6"/>
    <w:rPr>
      <w:b/>
      <w:caps/>
      <w:sz w:val="24"/>
      <w:szCs w:val="24"/>
    </w:rPr>
  </w:style>
  <w:style w:type="character" w:customStyle="1" w:styleId="Quadro">
    <w:name w:val="Quadro"/>
    <w:rsid w:val="002679D6"/>
    <w:rPr>
      <w:rFonts w:ascii="Arial" w:hAnsi="Arial"/>
      <w:spacing w:val="0"/>
      <w:sz w:val="22"/>
      <w:szCs w:val="22"/>
      <w:u w:val="single"/>
    </w:rPr>
  </w:style>
  <w:style w:type="paragraph" w:customStyle="1" w:styleId="Titulo">
    <w:name w:val="Titulo"/>
    <w:basedOn w:val="Normal"/>
    <w:rsid w:val="002679D6"/>
    <w:pPr>
      <w:adjustRightInd w:val="0"/>
      <w:snapToGrid w:val="0"/>
      <w:spacing w:after="0" w:line="240" w:lineRule="auto"/>
      <w:jc w:val="left"/>
    </w:pPr>
    <w:rPr>
      <w:b/>
      <w:smallCaps/>
      <w:snapToGrid w:val="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3B6"/>
    <w:pPr>
      <w:ind w:left="720"/>
      <w:contextualSpacing/>
    </w:pPr>
  </w:style>
  <w:style w:type="character" w:styleId="PageNumber">
    <w:name w:val="page number"/>
    <w:basedOn w:val="DefaultParagraphFont"/>
    <w:semiHidden/>
    <w:rsid w:val="003742F5"/>
  </w:style>
  <w:style w:type="table" w:styleId="TableGrid">
    <w:name w:val="Table Grid"/>
    <w:basedOn w:val="TableNormal"/>
    <w:uiPriority w:val="59"/>
    <w:rsid w:val="007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Tab">
    <w:name w:val="NorTab"/>
    <w:basedOn w:val="Normal"/>
    <w:rsid w:val="006C33ED"/>
    <w:pPr>
      <w:spacing w:after="0"/>
      <w:ind w:left="270" w:hanging="270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E860C6"/>
    <w:rPr>
      <w:rFonts w:ascii="Garamond" w:hAnsi="Garamond"/>
      <w:b/>
      <w:sz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860C6"/>
    <w:pPr>
      <w:tabs>
        <w:tab w:val="left" w:pos="3240"/>
      </w:tabs>
      <w:ind w:left="1800"/>
    </w:pPr>
    <w:rPr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60C6"/>
    <w:rPr>
      <w:rFonts w:ascii="Garamond" w:hAnsi="Garamond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452FC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1B5D89"/>
    <w:pPr>
      <w:spacing w:after="60"/>
      <w:ind w:left="720"/>
    </w:pPr>
    <w:rPr>
      <w:b/>
      <w:color w:val="000000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5D89"/>
    <w:rPr>
      <w:rFonts w:ascii="Garamond" w:hAnsi="Garamond"/>
      <w:b/>
      <w:color w:val="000000"/>
      <w:sz w:val="28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D1726E"/>
    <w:pPr>
      <w:widowControl/>
      <w:spacing w:after="0" w:line="240" w:lineRule="auto"/>
      <w:jc w:val="left"/>
    </w:pPr>
    <w:rPr>
      <w:rFonts w:ascii="Times New Roman" w:hAnsi="Times New Roman"/>
      <w:sz w:val="20"/>
      <w:lang w:eastAsia="pt-B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26E"/>
    <w:rPr>
      <w:lang w:eastAsia="pt-BR"/>
    </w:rPr>
  </w:style>
  <w:style w:type="character" w:customStyle="1" w:styleId="G15italico">
    <w:name w:val="G15italico"/>
    <w:rsid w:val="00D1726E"/>
    <w:rPr>
      <w:rFonts w:ascii="Garamond" w:hAnsi="Garamond"/>
      <w:i/>
      <w:sz w:val="30"/>
    </w:rPr>
  </w:style>
  <w:style w:type="character" w:customStyle="1" w:styleId="txtarial8ptgray">
    <w:name w:val="txt_arial_8pt_gray"/>
    <w:basedOn w:val="DefaultParagraphFont"/>
    <w:rsid w:val="000E6AB1"/>
  </w:style>
  <w:style w:type="paragraph" w:styleId="Bibliography">
    <w:name w:val="Bibliography"/>
    <w:basedOn w:val="Normal"/>
    <w:next w:val="Normal"/>
    <w:uiPriority w:val="37"/>
    <w:semiHidden/>
    <w:unhideWhenUsed/>
    <w:rsid w:val="000E6AB1"/>
    <w:pPr>
      <w:widowControl/>
      <w:spacing w:after="0" w:line="240" w:lineRule="auto"/>
      <w:jc w:val="left"/>
    </w:pPr>
    <w:rPr>
      <w:rFonts w:ascii="Times New Roman" w:hAnsi="Times New Roman"/>
      <w:sz w:val="20"/>
      <w:lang w:eastAsia="pt-BR"/>
    </w:rPr>
  </w:style>
  <w:style w:type="paragraph" w:customStyle="1" w:styleId="Texto3">
    <w:name w:val="Texto3"/>
    <w:basedOn w:val="Normal"/>
    <w:rsid w:val="000E6AB1"/>
    <w:pPr>
      <w:widowControl/>
      <w:spacing w:after="0" w:line="240" w:lineRule="auto"/>
      <w:ind w:left="851"/>
    </w:pPr>
    <w:rPr>
      <w:rFonts w:ascii="Times New Roman" w:hAnsi="Times New Roman"/>
      <w:sz w:val="20"/>
      <w:lang w:eastAsia="pt-BR"/>
    </w:rPr>
  </w:style>
  <w:style w:type="character" w:customStyle="1" w:styleId="bylinepipe1">
    <w:name w:val="bylinepipe1"/>
    <w:rsid w:val="000E6A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1266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da Rocha Lima Jr</dc:creator>
  <cp:lastModifiedBy>Eliane Monetti</cp:lastModifiedBy>
  <cp:revision>4</cp:revision>
  <cp:lastPrinted>2015-12-23T19:11:00Z</cp:lastPrinted>
  <dcterms:created xsi:type="dcterms:W3CDTF">2019-07-15T18:33:00Z</dcterms:created>
  <dcterms:modified xsi:type="dcterms:W3CDTF">2019-08-15T14:58:00Z</dcterms:modified>
</cp:coreProperties>
</file>