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32B6" w14:textId="77777777" w:rsidR="000A7C51" w:rsidRPr="008C423E" w:rsidRDefault="000A7C51" w:rsidP="008C423E">
      <w:pPr>
        <w:jc w:val="both"/>
        <w:rPr>
          <w:lang w:val="pt-BR"/>
        </w:rPr>
      </w:pPr>
    </w:p>
    <w:p w14:paraId="189AB932" w14:textId="75DF4516" w:rsidR="00C3110D" w:rsidRPr="008C423E" w:rsidRDefault="00C3110D" w:rsidP="008C423E">
      <w:pPr>
        <w:jc w:val="both"/>
        <w:rPr>
          <w:lang w:val="pt-BR"/>
        </w:rPr>
      </w:pPr>
      <w:r w:rsidRPr="008C423E">
        <w:rPr>
          <w:lang w:val="pt-BR"/>
        </w:rPr>
        <w:t>USP - FFLCH/DLCV</w:t>
      </w:r>
    </w:p>
    <w:p w14:paraId="7BEC5ACF" w14:textId="77777777" w:rsidR="00133742" w:rsidRPr="008C423E" w:rsidRDefault="00D764C2" w:rsidP="008C423E">
      <w:pPr>
        <w:jc w:val="both"/>
        <w:rPr>
          <w:lang w:val="pt-BR"/>
        </w:rPr>
      </w:pPr>
      <w:r w:rsidRPr="008C423E">
        <w:rPr>
          <w:lang w:val="pt-BR"/>
        </w:rPr>
        <w:t>LITERATURA PORTUGUESA VI</w:t>
      </w:r>
      <w:r w:rsidR="00133742" w:rsidRPr="008C423E">
        <w:rPr>
          <w:lang w:val="pt-BR"/>
        </w:rPr>
        <w:t xml:space="preserve"> </w:t>
      </w:r>
    </w:p>
    <w:p w14:paraId="23CAEB5D" w14:textId="3564C4D1" w:rsidR="00665834" w:rsidRPr="008C423E" w:rsidRDefault="00133742" w:rsidP="008C423E">
      <w:pPr>
        <w:jc w:val="both"/>
        <w:rPr>
          <w:lang w:val="pt-BR"/>
        </w:rPr>
      </w:pPr>
      <w:r w:rsidRPr="008C423E">
        <w:rPr>
          <w:lang w:val="pt-BR"/>
        </w:rPr>
        <w:t>S</w:t>
      </w:r>
      <w:r w:rsidR="00665834" w:rsidRPr="008C423E">
        <w:rPr>
          <w:lang w:val="pt-BR"/>
        </w:rPr>
        <w:t>egundo semestre de 2019</w:t>
      </w:r>
    </w:p>
    <w:p w14:paraId="2E5E9B2D" w14:textId="7131111F" w:rsidR="00133742" w:rsidRPr="008C423E" w:rsidRDefault="000247AF" w:rsidP="008C423E">
      <w:pPr>
        <w:jc w:val="both"/>
        <w:rPr>
          <w:lang w:val="pt-BR"/>
        </w:rPr>
      </w:pPr>
      <w:r w:rsidRPr="008C423E">
        <w:rPr>
          <w:lang w:val="pt-BR"/>
        </w:rPr>
        <w:t>Quinta-feira - Matutino</w:t>
      </w:r>
    </w:p>
    <w:p w14:paraId="72222AA5" w14:textId="77777777" w:rsidR="00665834" w:rsidRPr="008C423E" w:rsidRDefault="00665834" w:rsidP="008C423E">
      <w:pPr>
        <w:jc w:val="both"/>
        <w:rPr>
          <w:lang w:val="pt-BR"/>
        </w:rPr>
      </w:pPr>
    </w:p>
    <w:p w14:paraId="1B1D16B5" w14:textId="77777777" w:rsidR="000A7C51" w:rsidRPr="008C423E" w:rsidRDefault="000A7C51" w:rsidP="008C423E">
      <w:pPr>
        <w:jc w:val="both"/>
        <w:rPr>
          <w:b/>
          <w:lang w:val="pt-BR"/>
        </w:rPr>
      </w:pPr>
    </w:p>
    <w:p w14:paraId="26989BEF" w14:textId="77777777" w:rsidR="00D764C2" w:rsidRPr="008C423E" w:rsidRDefault="00D764C2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 xml:space="preserve">A literatura de língua portuguesa na Ásia: o caso de </w:t>
      </w:r>
      <w:proofErr w:type="spellStart"/>
      <w:r w:rsidRPr="008C423E">
        <w:rPr>
          <w:b/>
          <w:lang w:val="pt-BR"/>
        </w:rPr>
        <w:t>Goa</w:t>
      </w:r>
      <w:proofErr w:type="spellEnd"/>
      <w:r w:rsidRPr="008C423E">
        <w:rPr>
          <w:b/>
          <w:lang w:val="pt-BR"/>
        </w:rPr>
        <w:t xml:space="preserve"> (Índia)</w:t>
      </w:r>
    </w:p>
    <w:p w14:paraId="4EE17969" w14:textId="77777777" w:rsidR="00C3110D" w:rsidRPr="008C423E" w:rsidRDefault="00C3110D" w:rsidP="008C423E">
      <w:pPr>
        <w:jc w:val="both"/>
        <w:rPr>
          <w:lang w:val="pt-BR"/>
        </w:rPr>
      </w:pPr>
    </w:p>
    <w:p w14:paraId="45FCE622" w14:textId="77777777" w:rsidR="000A7C51" w:rsidRPr="008C423E" w:rsidRDefault="000A7C51" w:rsidP="008C423E">
      <w:pPr>
        <w:jc w:val="both"/>
        <w:rPr>
          <w:b/>
          <w:lang w:val="pt-BR"/>
        </w:rPr>
      </w:pPr>
    </w:p>
    <w:p w14:paraId="621DEFA9" w14:textId="0EEA5592" w:rsidR="00D764C2" w:rsidRPr="008C423E" w:rsidRDefault="00C3110D" w:rsidP="008C423E">
      <w:pPr>
        <w:jc w:val="both"/>
        <w:rPr>
          <w:lang w:val="pt-BR"/>
        </w:rPr>
      </w:pPr>
      <w:r w:rsidRPr="008C423E">
        <w:rPr>
          <w:b/>
          <w:lang w:val="pt-BR"/>
        </w:rPr>
        <w:t>Professor</w:t>
      </w:r>
      <w:r w:rsidRPr="008C423E">
        <w:rPr>
          <w:lang w:val="pt-BR"/>
        </w:rPr>
        <w:t xml:space="preserve">: </w:t>
      </w:r>
      <w:r w:rsidR="00D764C2" w:rsidRPr="008C423E">
        <w:rPr>
          <w:lang w:val="pt-BR"/>
        </w:rPr>
        <w:t>Hélder Garmes</w:t>
      </w:r>
    </w:p>
    <w:p w14:paraId="31801750" w14:textId="7A7B9B38" w:rsidR="00D764C2" w:rsidRPr="008C423E" w:rsidRDefault="00D764C2" w:rsidP="008C423E">
      <w:pPr>
        <w:jc w:val="both"/>
        <w:rPr>
          <w:lang w:val="pt-BR"/>
        </w:rPr>
      </w:pPr>
      <w:r w:rsidRPr="008C423E">
        <w:rPr>
          <w:b/>
          <w:lang w:val="pt-BR"/>
        </w:rPr>
        <w:t>Ementa</w:t>
      </w:r>
      <w:r w:rsidR="003D5D09" w:rsidRPr="008C423E">
        <w:rPr>
          <w:lang w:val="pt-BR"/>
        </w:rPr>
        <w:t>: O</w:t>
      </w:r>
      <w:r w:rsidRPr="008C423E">
        <w:rPr>
          <w:lang w:val="pt-BR"/>
        </w:rPr>
        <w:t xml:space="preserve"> curso </w:t>
      </w:r>
      <w:r w:rsidR="006E4EA0" w:rsidRPr="008C423E">
        <w:rPr>
          <w:lang w:val="pt-BR"/>
        </w:rPr>
        <w:t>apresenta</w:t>
      </w:r>
      <w:r w:rsidRPr="008C423E">
        <w:rPr>
          <w:lang w:val="pt-BR"/>
        </w:rPr>
        <w:t xml:space="preserve"> um panorama histórico da língua</w:t>
      </w:r>
      <w:r w:rsidR="006E4EA0" w:rsidRPr="008C423E">
        <w:rPr>
          <w:lang w:val="pt-BR"/>
        </w:rPr>
        <w:t xml:space="preserve"> portuguesa na Ásia e focaliza</w:t>
      </w:r>
      <w:r w:rsidRPr="008C423E">
        <w:rPr>
          <w:lang w:val="pt-BR"/>
        </w:rPr>
        <w:t xml:space="preserve"> a literatura goesa de língua portuguesa, produzida na então chamada Índia Portuguesa. </w:t>
      </w:r>
      <w:proofErr w:type="spellStart"/>
      <w:r w:rsidRPr="008C423E">
        <w:rPr>
          <w:lang w:val="pt-BR"/>
        </w:rPr>
        <w:t>Goa</w:t>
      </w:r>
      <w:proofErr w:type="spellEnd"/>
      <w:r w:rsidRPr="008C423E">
        <w:rPr>
          <w:lang w:val="pt-BR"/>
        </w:rPr>
        <w:t xml:space="preserve"> foi colônia de Portugal de 1510 a 1961. Durante esses quatro séculos e meio, constituiu-se ali uma tradição literária que ganhou peculiaridade sobretudo nos séculos XIX e XX, quando a imprensa periódica se fez presente. Mesclando tradições europeias e indiana</w:t>
      </w:r>
      <w:r w:rsidR="0095258C" w:rsidRPr="008C423E">
        <w:rPr>
          <w:lang w:val="pt-BR"/>
        </w:rPr>
        <w:t>s, o meio</w:t>
      </w:r>
      <w:r w:rsidRPr="008C423E">
        <w:rPr>
          <w:lang w:val="pt-BR"/>
        </w:rPr>
        <w:t xml:space="preserve"> intelectual e literário de </w:t>
      </w:r>
      <w:proofErr w:type="spellStart"/>
      <w:r w:rsidRPr="008C423E">
        <w:rPr>
          <w:lang w:val="pt-BR"/>
        </w:rPr>
        <w:t>Goa</w:t>
      </w:r>
      <w:proofErr w:type="spellEnd"/>
      <w:r w:rsidRPr="008C423E">
        <w:rPr>
          <w:lang w:val="pt-BR"/>
        </w:rPr>
        <w:t xml:space="preserve"> apresenta aspectos muito origi</w:t>
      </w:r>
      <w:r w:rsidR="00BA3168" w:rsidRPr="008C423E">
        <w:rPr>
          <w:lang w:val="pt-BR"/>
        </w:rPr>
        <w:t xml:space="preserve">nais, se comparado a outros espaços coloniais lusitanos. </w:t>
      </w:r>
      <w:r w:rsidR="008409D2" w:rsidRPr="008C423E">
        <w:rPr>
          <w:lang w:val="pt-BR"/>
        </w:rPr>
        <w:t>Faremos</w:t>
      </w:r>
      <w:r w:rsidR="00BA3168" w:rsidRPr="008C423E">
        <w:rPr>
          <w:lang w:val="pt-BR"/>
        </w:rPr>
        <w:t xml:space="preserve"> um percurso </w:t>
      </w:r>
      <w:r w:rsidR="0095258C" w:rsidRPr="008C423E">
        <w:rPr>
          <w:lang w:val="pt-BR"/>
        </w:rPr>
        <w:t xml:space="preserve">histórico por essa </w:t>
      </w:r>
      <w:r w:rsidR="00BA3168" w:rsidRPr="008C423E">
        <w:rPr>
          <w:lang w:val="pt-BR"/>
        </w:rPr>
        <w:t>literatura, privilegiando aquela</w:t>
      </w:r>
      <w:r w:rsidR="006E4EA0" w:rsidRPr="008C423E">
        <w:rPr>
          <w:lang w:val="pt-BR"/>
        </w:rPr>
        <w:t xml:space="preserve"> produzida </w:t>
      </w:r>
      <w:r w:rsidR="00BA3168" w:rsidRPr="008C423E">
        <w:rPr>
          <w:lang w:val="pt-BR"/>
        </w:rPr>
        <w:t>de meados do século XIX</w:t>
      </w:r>
      <w:r w:rsidR="006E4EA0" w:rsidRPr="008C423E">
        <w:rPr>
          <w:lang w:val="pt-BR"/>
        </w:rPr>
        <w:t xml:space="preserve"> à atualidade</w:t>
      </w:r>
      <w:r w:rsidR="00BA3168" w:rsidRPr="008C423E">
        <w:rPr>
          <w:lang w:val="pt-BR"/>
        </w:rPr>
        <w:t xml:space="preserve">, na medida que a produção literária em língua portuguesa </w:t>
      </w:r>
      <w:r w:rsidR="00E30513" w:rsidRPr="008C423E">
        <w:rPr>
          <w:lang w:val="pt-BR"/>
        </w:rPr>
        <w:t>teve continuidade após o fim do colonialismo português</w:t>
      </w:r>
      <w:r w:rsidR="007D0BE0" w:rsidRPr="008C423E">
        <w:rPr>
          <w:lang w:val="pt-BR"/>
        </w:rPr>
        <w:t>, mesmo</w:t>
      </w:r>
      <w:r w:rsidR="00151452" w:rsidRPr="008C423E">
        <w:rPr>
          <w:lang w:val="pt-BR"/>
        </w:rPr>
        <w:t xml:space="preserve"> que de maneira</w:t>
      </w:r>
      <w:r w:rsidR="00BA3168" w:rsidRPr="008C423E">
        <w:rPr>
          <w:lang w:val="pt-BR"/>
        </w:rPr>
        <w:t xml:space="preserve"> bastante marginal. </w:t>
      </w:r>
      <w:r w:rsidR="0095258C" w:rsidRPr="008C423E">
        <w:rPr>
          <w:lang w:val="pt-BR"/>
        </w:rPr>
        <w:t xml:space="preserve">Também </w:t>
      </w:r>
      <w:r w:rsidR="008409D2" w:rsidRPr="008C423E">
        <w:rPr>
          <w:lang w:val="pt-BR"/>
        </w:rPr>
        <w:t>refletiremos</w:t>
      </w:r>
      <w:r w:rsidR="0095258C" w:rsidRPr="008C423E">
        <w:rPr>
          <w:lang w:val="pt-BR"/>
        </w:rPr>
        <w:t xml:space="preserve"> sobre</w:t>
      </w:r>
      <w:r w:rsidR="00151452" w:rsidRPr="008C423E">
        <w:rPr>
          <w:lang w:val="pt-BR"/>
        </w:rPr>
        <w:t xml:space="preserve"> a forma de se escrever</w:t>
      </w:r>
      <w:r w:rsidR="0095258C" w:rsidRPr="008C423E">
        <w:rPr>
          <w:lang w:val="pt-BR"/>
        </w:rPr>
        <w:t xml:space="preserve"> uma </w:t>
      </w:r>
      <w:r w:rsidR="00B02593" w:rsidRPr="008C423E">
        <w:rPr>
          <w:lang w:val="pt-BR"/>
        </w:rPr>
        <w:t>história literária na contemporaneidade</w:t>
      </w:r>
      <w:r w:rsidR="003D5D09" w:rsidRPr="008C423E">
        <w:rPr>
          <w:lang w:val="pt-BR"/>
        </w:rPr>
        <w:t>, uma vez</w:t>
      </w:r>
      <w:r w:rsidR="0095258C" w:rsidRPr="008C423E">
        <w:rPr>
          <w:lang w:val="pt-BR"/>
        </w:rPr>
        <w:t xml:space="preserve"> que a história dessa lit</w:t>
      </w:r>
      <w:r w:rsidR="00B02593" w:rsidRPr="008C423E">
        <w:rPr>
          <w:lang w:val="pt-BR"/>
        </w:rPr>
        <w:t xml:space="preserve">eratura </w:t>
      </w:r>
      <w:r w:rsidR="003D5D09" w:rsidRPr="008C423E">
        <w:rPr>
          <w:lang w:val="pt-BR"/>
        </w:rPr>
        <w:t xml:space="preserve">ainda está </w:t>
      </w:r>
      <w:r w:rsidR="00B02593" w:rsidRPr="008C423E">
        <w:rPr>
          <w:lang w:val="pt-BR"/>
        </w:rPr>
        <w:t xml:space="preserve">sendo </w:t>
      </w:r>
      <w:r w:rsidR="003D5D09" w:rsidRPr="008C423E">
        <w:rPr>
          <w:lang w:val="pt-BR"/>
        </w:rPr>
        <w:t>narrada</w:t>
      </w:r>
      <w:r w:rsidR="009A5F71" w:rsidRPr="008C423E">
        <w:rPr>
          <w:lang w:val="pt-BR"/>
        </w:rPr>
        <w:t xml:space="preserve">, em vista da dificuldade de </w:t>
      </w:r>
      <w:r w:rsidR="001842B8" w:rsidRPr="008C423E">
        <w:rPr>
          <w:lang w:val="pt-BR"/>
        </w:rPr>
        <w:t>acessar</w:t>
      </w:r>
      <w:r w:rsidR="00ED08D9" w:rsidRPr="008C423E">
        <w:rPr>
          <w:lang w:val="pt-BR"/>
        </w:rPr>
        <w:t xml:space="preserve"> suas obras</w:t>
      </w:r>
      <w:r w:rsidR="009A5F71" w:rsidRPr="008C423E">
        <w:rPr>
          <w:lang w:val="pt-BR"/>
        </w:rPr>
        <w:t xml:space="preserve"> </w:t>
      </w:r>
      <w:r w:rsidR="00ED08D9" w:rsidRPr="008C423E">
        <w:rPr>
          <w:lang w:val="pt-BR"/>
        </w:rPr>
        <w:t>até</w:t>
      </w:r>
      <w:r w:rsidR="009A5F71" w:rsidRPr="008C423E">
        <w:rPr>
          <w:lang w:val="pt-BR"/>
        </w:rPr>
        <w:t xml:space="preserve"> recentemente</w:t>
      </w:r>
      <w:r w:rsidR="0095258C" w:rsidRPr="008C423E">
        <w:rPr>
          <w:lang w:val="pt-BR"/>
        </w:rPr>
        <w:t>.</w:t>
      </w:r>
    </w:p>
    <w:p w14:paraId="17D9098A" w14:textId="77777777" w:rsidR="00D30384" w:rsidRPr="008C423E" w:rsidRDefault="00D30384" w:rsidP="008C423E">
      <w:pPr>
        <w:jc w:val="both"/>
        <w:rPr>
          <w:lang w:val="pt-BR"/>
        </w:rPr>
      </w:pPr>
    </w:p>
    <w:p w14:paraId="12159207" w14:textId="77777777" w:rsidR="000A7C51" w:rsidRPr="008C423E" w:rsidRDefault="000A7C51" w:rsidP="008C423E">
      <w:pPr>
        <w:jc w:val="both"/>
        <w:rPr>
          <w:b/>
          <w:lang w:val="pt-BR"/>
        </w:rPr>
      </w:pPr>
    </w:p>
    <w:p w14:paraId="7C4FC27B" w14:textId="7AD418CB" w:rsidR="00D30384" w:rsidRPr="008C423E" w:rsidRDefault="00D30384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Cr</w:t>
      </w:r>
      <w:r w:rsidR="00146A9D" w:rsidRPr="008C423E">
        <w:rPr>
          <w:b/>
          <w:lang w:val="pt-BR"/>
        </w:rPr>
        <w:t>onograma de aulas</w:t>
      </w:r>
    </w:p>
    <w:p w14:paraId="0165E9D7" w14:textId="77777777" w:rsidR="00D30384" w:rsidRPr="008C423E" w:rsidRDefault="00D30384" w:rsidP="008C423E">
      <w:pPr>
        <w:jc w:val="both"/>
        <w:rPr>
          <w:b/>
          <w:lang w:val="pt-BR"/>
        </w:rPr>
      </w:pPr>
    </w:p>
    <w:p w14:paraId="2D64E28D" w14:textId="26F30E3A" w:rsidR="00D30384" w:rsidRPr="008C423E" w:rsidRDefault="00D30384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AGOSTO</w:t>
      </w:r>
    </w:p>
    <w:p w14:paraId="6D42045F" w14:textId="2B2A97EF" w:rsidR="007C6B34" w:rsidRPr="008C423E" w:rsidRDefault="00FD6F36" w:rsidP="008C423E">
      <w:pPr>
        <w:jc w:val="both"/>
        <w:rPr>
          <w:lang w:val="pt-BR"/>
        </w:rPr>
      </w:pPr>
      <w:r w:rsidRPr="008C423E">
        <w:rPr>
          <w:b/>
          <w:lang w:val="pt-BR"/>
        </w:rPr>
        <w:t>01</w:t>
      </w:r>
      <w:r w:rsidR="00D30384" w:rsidRPr="008C423E">
        <w:rPr>
          <w:b/>
          <w:lang w:val="pt-BR"/>
        </w:rPr>
        <w:t xml:space="preserve"> – </w:t>
      </w:r>
      <w:r w:rsidR="00DC3959" w:rsidRPr="008C423E">
        <w:rPr>
          <w:lang w:val="pt-BR"/>
        </w:rPr>
        <w:t>Introdução à</w:t>
      </w:r>
      <w:r w:rsidR="003A2666" w:rsidRPr="008C423E">
        <w:rPr>
          <w:lang w:val="pt-BR"/>
        </w:rPr>
        <w:t xml:space="preserve"> histó</w:t>
      </w:r>
      <w:r w:rsidR="00107399" w:rsidRPr="008C423E">
        <w:rPr>
          <w:lang w:val="pt-BR"/>
        </w:rPr>
        <w:t>ria da literatura em</w:t>
      </w:r>
      <w:r w:rsidR="003A2666" w:rsidRPr="008C423E">
        <w:rPr>
          <w:lang w:val="pt-BR"/>
        </w:rPr>
        <w:t xml:space="preserve"> </w:t>
      </w:r>
      <w:proofErr w:type="spellStart"/>
      <w:r w:rsidR="003A2666" w:rsidRPr="008C423E">
        <w:rPr>
          <w:lang w:val="pt-BR"/>
        </w:rPr>
        <w:t>Goa</w:t>
      </w:r>
      <w:proofErr w:type="spellEnd"/>
      <w:r w:rsidR="00DC3959" w:rsidRPr="008C423E">
        <w:rPr>
          <w:lang w:val="pt-BR"/>
        </w:rPr>
        <w:t>, antiga colônia portuguesa na Índia</w:t>
      </w:r>
      <w:r w:rsidR="00872E83" w:rsidRPr="008C423E">
        <w:rPr>
          <w:lang w:val="pt-BR"/>
        </w:rPr>
        <w:t>.</w:t>
      </w:r>
      <w:r w:rsidR="00107399" w:rsidRPr="008C423E">
        <w:rPr>
          <w:lang w:val="pt-BR"/>
        </w:rPr>
        <w:t xml:space="preserve"> Para consulta geral, ver:</w:t>
      </w:r>
      <w:r w:rsidR="00E231CA" w:rsidRPr="008C423E">
        <w:rPr>
          <w:lang w:val="pt-BR"/>
        </w:rPr>
        <w:t xml:space="preserve"> </w:t>
      </w:r>
      <w:r w:rsidR="00107399" w:rsidRPr="008C423E">
        <w:rPr>
          <w:i/>
          <w:lang w:val="pt-BR"/>
        </w:rPr>
        <w:t xml:space="preserve">A </w:t>
      </w:r>
      <w:proofErr w:type="spellStart"/>
      <w:r w:rsidR="00107399" w:rsidRPr="008C423E">
        <w:rPr>
          <w:i/>
          <w:lang w:val="pt-BR"/>
        </w:rPr>
        <w:t>literarura</w:t>
      </w:r>
      <w:proofErr w:type="spellEnd"/>
      <w:r w:rsidR="00107399" w:rsidRPr="008C423E">
        <w:rPr>
          <w:i/>
          <w:lang w:val="pt-BR"/>
        </w:rPr>
        <w:t xml:space="preserve"> indo-portuguesa</w:t>
      </w:r>
      <w:r w:rsidR="00107399" w:rsidRPr="008C423E">
        <w:rPr>
          <w:lang w:val="pt-BR"/>
        </w:rPr>
        <w:t xml:space="preserve"> (1971)</w:t>
      </w:r>
      <w:r w:rsidR="00542E55" w:rsidRPr="008C423E">
        <w:rPr>
          <w:lang w:val="pt-BR"/>
        </w:rPr>
        <w:t>,</w:t>
      </w:r>
      <w:r w:rsidR="00107399" w:rsidRPr="008C423E">
        <w:rPr>
          <w:lang w:val="pt-BR"/>
        </w:rPr>
        <w:t xml:space="preserve"> de </w:t>
      </w:r>
      <w:proofErr w:type="spellStart"/>
      <w:r w:rsidR="00107399" w:rsidRPr="008C423E">
        <w:rPr>
          <w:lang w:val="pt-BR"/>
        </w:rPr>
        <w:t>Vimala</w:t>
      </w:r>
      <w:proofErr w:type="spellEnd"/>
      <w:r w:rsidR="00107399" w:rsidRPr="008C423E">
        <w:rPr>
          <w:lang w:val="pt-BR"/>
        </w:rPr>
        <w:t xml:space="preserve"> Devi e Manuel de Seabra, </w:t>
      </w:r>
      <w:proofErr w:type="gramStart"/>
      <w:r w:rsidR="00107399" w:rsidRPr="008C423E">
        <w:rPr>
          <w:lang w:val="pt-BR"/>
        </w:rPr>
        <w:t>e</w:t>
      </w:r>
      <w:proofErr w:type="gramEnd"/>
      <w:r w:rsidR="00E231CA" w:rsidRPr="008C423E">
        <w:rPr>
          <w:lang w:val="pt-BR"/>
        </w:rPr>
        <w:t xml:space="preserve"> </w:t>
      </w:r>
      <w:r w:rsidR="00B7238B" w:rsidRPr="008C423E">
        <w:rPr>
          <w:i/>
          <w:lang w:val="pt-BR"/>
        </w:rPr>
        <w:t>Literatura goesa em português nos séculos XIX e XX</w:t>
      </w:r>
      <w:r w:rsidR="00B7238B" w:rsidRPr="008C423E">
        <w:rPr>
          <w:lang w:val="pt-BR"/>
        </w:rPr>
        <w:t xml:space="preserve"> (201</w:t>
      </w:r>
      <w:r w:rsidR="00107399" w:rsidRPr="008C423E">
        <w:rPr>
          <w:lang w:val="pt-BR"/>
        </w:rPr>
        <w:t>2), de Joana Passos.</w:t>
      </w:r>
    </w:p>
    <w:p w14:paraId="3EC737D7" w14:textId="5B411B37" w:rsidR="00D30384" w:rsidRPr="008C423E" w:rsidRDefault="00FD6F36" w:rsidP="008C423E">
      <w:pPr>
        <w:jc w:val="both"/>
        <w:rPr>
          <w:lang w:val="pt-BR"/>
        </w:rPr>
      </w:pPr>
      <w:r w:rsidRPr="008C423E">
        <w:rPr>
          <w:b/>
          <w:lang w:val="pt-BR"/>
        </w:rPr>
        <w:t>08</w:t>
      </w:r>
      <w:r w:rsidR="00D30384" w:rsidRPr="008C423E">
        <w:rPr>
          <w:b/>
          <w:lang w:val="pt-BR"/>
        </w:rPr>
        <w:t xml:space="preserve"> – </w:t>
      </w:r>
      <w:r w:rsidR="001E7890" w:rsidRPr="008C423E">
        <w:rPr>
          <w:lang w:val="pt-BR"/>
        </w:rPr>
        <w:t>Cinco primeiros capítulos de</w:t>
      </w:r>
      <w:r w:rsidR="001E7890" w:rsidRPr="008C423E">
        <w:rPr>
          <w:i/>
          <w:lang w:val="pt-BR"/>
        </w:rPr>
        <w:t xml:space="preserve"> </w:t>
      </w:r>
      <w:r w:rsidR="00DC3959" w:rsidRPr="008C423E">
        <w:rPr>
          <w:i/>
          <w:lang w:val="pt-BR"/>
        </w:rPr>
        <w:t xml:space="preserve">Os </w:t>
      </w:r>
      <w:proofErr w:type="spellStart"/>
      <w:r w:rsidR="00DC3959" w:rsidRPr="008C423E">
        <w:rPr>
          <w:i/>
          <w:lang w:val="pt-BR"/>
        </w:rPr>
        <w:t>Brahamanes</w:t>
      </w:r>
      <w:proofErr w:type="spellEnd"/>
      <w:r w:rsidR="00DC3959" w:rsidRPr="008C423E">
        <w:rPr>
          <w:lang w:val="pt-BR"/>
        </w:rPr>
        <w:t xml:space="preserve"> (1866), de Francisco Luís Gomes</w:t>
      </w:r>
      <w:r w:rsidR="00E857BC" w:rsidRPr="008C423E">
        <w:rPr>
          <w:lang w:val="pt-BR"/>
        </w:rPr>
        <w:t>. L</w:t>
      </w:r>
      <w:r w:rsidR="001740FA" w:rsidRPr="008C423E">
        <w:rPr>
          <w:lang w:val="pt-BR"/>
        </w:rPr>
        <w:t xml:space="preserve">er também </w:t>
      </w:r>
      <w:r w:rsidR="00E319FC" w:rsidRPr="008C423E">
        <w:rPr>
          <w:lang w:val="pt-BR"/>
        </w:rPr>
        <w:t xml:space="preserve">o artigo “Entre texto e contexto: a ambiguidade do romance </w:t>
      </w:r>
      <w:r w:rsidR="00E319FC" w:rsidRPr="008C423E">
        <w:rPr>
          <w:i/>
          <w:lang w:val="pt-BR"/>
        </w:rPr>
        <w:t xml:space="preserve">Os </w:t>
      </w:r>
      <w:proofErr w:type="spellStart"/>
      <w:r w:rsidR="00E319FC" w:rsidRPr="008C423E">
        <w:rPr>
          <w:i/>
          <w:lang w:val="pt-BR"/>
        </w:rPr>
        <w:t>brahamanes</w:t>
      </w:r>
      <w:proofErr w:type="spellEnd"/>
      <w:r w:rsidR="00E319FC" w:rsidRPr="008C423E">
        <w:rPr>
          <w:lang w:val="pt-BR"/>
        </w:rPr>
        <w:t xml:space="preserve"> (1866), de Francisco Luís Gomes”, de</w:t>
      </w:r>
      <w:r w:rsidR="00303A9B" w:rsidRPr="008C423E">
        <w:rPr>
          <w:lang w:val="pt-BR"/>
        </w:rPr>
        <w:t xml:space="preserve"> Hélder Garmes</w:t>
      </w:r>
      <w:r w:rsidR="00872E83" w:rsidRPr="008C423E">
        <w:rPr>
          <w:lang w:val="pt-BR"/>
        </w:rPr>
        <w:t>.</w:t>
      </w:r>
    </w:p>
    <w:p w14:paraId="7BB5F7E3" w14:textId="76B3B6A6" w:rsidR="00D30384" w:rsidRPr="008C423E" w:rsidRDefault="00FD6F36" w:rsidP="008C423E">
      <w:pPr>
        <w:pStyle w:val="p1"/>
        <w:jc w:val="both"/>
        <w:rPr>
          <w:rFonts w:asciiTheme="minorHAnsi" w:eastAsia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15</w:t>
      </w:r>
      <w:r w:rsidR="00133742" w:rsidRPr="008C423E">
        <w:rPr>
          <w:rFonts w:asciiTheme="minorHAnsi" w:hAnsiTheme="minorHAnsi"/>
          <w:sz w:val="24"/>
          <w:szCs w:val="24"/>
          <w:lang w:val="pt-BR"/>
        </w:rPr>
        <w:t xml:space="preserve"> – </w:t>
      </w:r>
      <w:r w:rsidR="00DC3959" w:rsidRPr="008C423E">
        <w:rPr>
          <w:rFonts w:asciiTheme="minorHAnsi" w:hAnsiTheme="minorHAnsi"/>
          <w:i/>
          <w:sz w:val="24"/>
          <w:szCs w:val="24"/>
          <w:lang w:val="pt-BR"/>
        </w:rPr>
        <w:t xml:space="preserve">As aventuras de </w:t>
      </w:r>
      <w:r w:rsidR="00D64292" w:rsidRPr="008C423E">
        <w:rPr>
          <w:rFonts w:asciiTheme="minorHAnsi" w:hAnsiTheme="minorHAnsi"/>
          <w:i/>
          <w:sz w:val="24"/>
          <w:szCs w:val="24"/>
          <w:lang w:val="pt-BR"/>
        </w:rPr>
        <w:t xml:space="preserve">um </w:t>
      </w:r>
      <w:r w:rsidR="00DC3959" w:rsidRPr="008C423E">
        <w:rPr>
          <w:rFonts w:asciiTheme="minorHAnsi" w:hAnsiTheme="minorHAnsi"/>
          <w:i/>
          <w:sz w:val="24"/>
          <w:szCs w:val="24"/>
          <w:lang w:val="pt-BR"/>
        </w:rPr>
        <w:t>Simplício</w:t>
      </w:r>
      <w:r w:rsidR="00DC3959" w:rsidRPr="008C423E">
        <w:rPr>
          <w:rFonts w:asciiTheme="minorHAnsi" w:hAnsiTheme="minorHAnsi"/>
          <w:sz w:val="24"/>
          <w:szCs w:val="24"/>
          <w:lang w:val="pt-BR"/>
        </w:rPr>
        <w:t xml:space="preserve"> (1866), de Júlio Gonçalves</w:t>
      </w:r>
      <w:r w:rsidR="00235FB5" w:rsidRPr="008C423E">
        <w:rPr>
          <w:rFonts w:asciiTheme="minorHAnsi" w:hAnsiTheme="minorHAnsi"/>
          <w:sz w:val="24"/>
          <w:szCs w:val="24"/>
          <w:lang w:val="pt-BR"/>
        </w:rPr>
        <w:t xml:space="preserve">. </w:t>
      </w:r>
      <w:r w:rsidR="00E857BC" w:rsidRPr="008C423E">
        <w:rPr>
          <w:rFonts w:asciiTheme="minorHAnsi" w:hAnsiTheme="minorHAnsi"/>
          <w:sz w:val="24"/>
          <w:szCs w:val="24"/>
          <w:lang w:val="pt-BR"/>
        </w:rPr>
        <w:t>L</w:t>
      </w:r>
      <w:r w:rsidR="00235FB5" w:rsidRPr="008C423E">
        <w:rPr>
          <w:rFonts w:asciiTheme="minorHAnsi" w:hAnsiTheme="minorHAnsi"/>
          <w:sz w:val="24"/>
          <w:szCs w:val="24"/>
          <w:lang w:val="pt-BR"/>
        </w:rPr>
        <w:t xml:space="preserve">er também </w:t>
      </w:r>
      <w:r w:rsidR="003F2D3F" w:rsidRPr="008C423E">
        <w:rPr>
          <w:rFonts w:asciiTheme="minorHAnsi" w:hAnsiTheme="minorHAnsi"/>
          <w:sz w:val="24"/>
          <w:szCs w:val="24"/>
          <w:lang w:val="pt-BR"/>
        </w:rPr>
        <w:t>o tópico</w:t>
      </w:r>
      <w:r w:rsidR="00E319FC" w:rsidRPr="008C423E">
        <w:rPr>
          <w:rFonts w:asciiTheme="minorHAnsi" w:hAnsiTheme="minorHAnsi"/>
          <w:sz w:val="24"/>
          <w:szCs w:val="24"/>
          <w:lang w:val="pt-BR"/>
        </w:rPr>
        <w:t xml:space="preserve"> “Os contos de Júlio Gonçalves: entre o paradigma e o paralelo”, da tese</w:t>
      </w:r>
      <w:r w:rsidR="003F2D3F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3F2D3F" w:rsidRPr="008C423E">
        <w:rPr>
          <w:rFonts w:asciiTheme="minorHAnsi" w:hAnsiTheme="minorHAnsi"/>
          <w:bCs/>
          <w:i/>
          <w:sz w:val="24"/>
          <w:szCs w:val="24"/>
          <w:lang w:val="pt-BR"/>
        </w:rPr>
        <w:t>Júlio Gonçalves e a literatura romântica na Índia Portuguesa</w:t>
      </w:r>
      <w:r w:rsidR="00AD10B3">
        <w:rPr>
          <w:rFonts w:asciiTheme="minorHAnsi" w:hAnsiTheme="minorHAnsi"/>
          <w:bCs/>
          <w:sz w:val="24"/>
          <w:szCs w:val="24"/>
          <w:lang w:val="pt-BR"/>
        </w:rPr>
        <w:t xml:space="preserve"> (2018), </w:t>
      </w:r>
      <w:r w:rsidR="003C4826" w:rsidRPr="008C423E">
        <w:rPr>
          <w:rFonts w:asciiTheme="minorHAnsi" w:hAnsiTheme="minorHAnsi"/>
          <w:sz w:val="24"/>
          <w:szCs w:val="24"/>
          <w:lang w:val="pt-BR"/>
        </w:rPr>
        <w:t>de</w:t>
      </w:r>
      <w:r w:rsidR="00855AAA" w:rsidRPr="008C423E">
        <w:rPr>
          <w:rFonts w:asciiTheme="minorHAnsi" w:hAnsiTheme="minorHAnsi"/>
          <w:sz w:val="24"/>
          <w:szCs w:val="24"/>
          <w:lang w:val="pt-BR"/>
        </w:rPr>
        <w:t xml:space="preserve"> José Antônio Pires de Oliveira Filho</w:t>
      </w:r>
    </w:p>
    <w:p w14:paraId="627022BA" w14:textId="645383A5" w:rsidR="00FD6F36" w:rsidRPr="008C423E" w:rsidRDefault="00FD6F36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22</w:t>
      </w:r>
      <w:r w:rsidR="00133742" w:rsidRPr="008C423E">
        <w:rPr>
          <w:lang w:val="pt-BR"/>
        </w:rPr>
        <w:t xml:space="preserve"> –</w:t>
      </w:r>
      <w:r w:rsidR="00DC3959" w:rsidRPr="008C423E">
        <w:rPr>
          <w:lang w:val="pt-BR"/>
        </w:rPr>
        <w:t xml:space="preserve"> </w:t>
      </w:r>
      <w:r w:rsidR="005E7F99" w:rsidRPr="008C423E">
        <w:rPr>
          <w:lang w:val="pt-BR"/>
        </w:rPr>
        <w:t xml:space="preserve">Contos “Coração valente”, do livro </w:t>
      </w:r>
      <w:r w:rsidR="005E7F99" w:rsidRPr="008C423E">
        <w:rPr>
          <w:i/>
          <w:lang w:val="pt-BR"/>
        </w:rPr>
        <w:t xml:space="preserve">Lantejoulas </w:t>
      </w:r>
      <w:r w:rsidR="005E7F99" w:rsidRPr="008C423E">
        <w:rPr>
          <w:lang w:val="pt-BR"/>
        </w:rPr>
        <w:t>(1890), e “</w:t>
      </w:r>
      <w:r w:rsidR="00DF7D85">
        <w:rPr>
          <w:lang w:val="pt-BR"/>
        </w:rPr>
        <w:t xml:space="preserve">A </w:t>
      </w:r>
      <w:proofErr w:type="gramStart"/>
      <w:r w:rsidR="00DF7D85">
        <w:rPr>
          <w:lang w:val="pt-BR"/>
        </w:rPr>
        <w:t>Rainha!</w:t>
      </w:r>
      <w:r w:rsidR="005E7F99" w:rsidRPr="008C423E">
        <w:rPr>
          <w:lang w:val="pt-BR"/>
        </w:rPr>
        <w:t>”</w:t>
      </w:r>
      <w:proofErr w:type="gramEnd"/>
      <w:r w:rsidR="005E7F99" w:rsidRPr="008C423E">
        <w:rPr>
          <w:lang w:val="pt-BR"/>
        </w:rPr>
        <w:t xml:space="preserve">, do livro </w:t>
      </w:r>
      <w:r w:rsidR="005E7F99" w:rsidRPr="008C423E">
        <w:rPr>
          <w:i/>
          <w:lang w:val="pt-BR"/>
        </w:rPr>
        <w:t>Longínquas</w:t>
      </w:r>
      <w:r w:rsidR="005E7F99" w:rsidRPr="008C423E">
        <w:rPr>
          <w:lang w:val="pt-BR"/>
        </w:rPr>
        <w:t xml:space="preserve"> (1891), ambos de Cristóvão Aires</w:t>
      </w:r>
      <w:r w:rsidR="00243FD2" w:rsidRPr="008C423E">
        <w:rPr>
          <w:b/>
          <w:lang w:val="pt-BR"/>
        </w:rPr>
        <w:t xml:space="preserve">. </w:t>
      </w:r>
      <w:r w:rsidR="00E857BC" w:rsidRPr="008C423E">
        <w:rPr>
          <w:lang w:val="pt-BR"/>
        </w:rPr>
        <w:t>L</w:t>
      </w:r>
      <w:r w:rsidR="00A90579" w:rsidRPr="008C423E">
        <w:rPr>
          <w:lang w:val="pt-BR"/>
        </w:rPr>
        <w:t>er também texto de Antô</w:t>
      </w:r>
      <w:r w:rsidR="00243FD2" w:rsidRPr="008C423E">
        <w:rPr>
          <w:lang w:val="pt-BR"/>
        </w:rPr>
        <w:t>nio Pedro Vicente sobre Cristóvão Aires</w:t>
      </w:r>
      <w:r w:rsidR="00872E83" w:rsidRPr="008C423E">
        <w:rPr>
          <w:lang w:val="pt-BR"/>
        </w:rPr>
        <w:t>.</w:t>
      </w:r>
    </w:p>
    <w:p w14:paraId="291F6F9A" w14:textId="67687D96" w:rsidR="0029593A" w:rsidRPr="008C423E" w:rsidRDefault="008C423E" w:rsidP="008C423E">
      <w:pPr>
        <w:pStyle w:val="p1"/>
        <w:jc w:val="both"/>
        <w:rPr>
          <w:rFonts w:ascii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 xml:space="preserve">29 </w:t>
      </w:r>
      <w:r w:rsidR="0029593A" w:rsidRPr="008C423E">
        <w:rPr>
          <w:rFonts w:asciiTheme="minorHAnsi" w:hAnsiTheme="minorHAnsi"/>
          <w:b/>
          <w:sz w:val="24"/>
          <w:szCs w:val="24"/>
          <w:lang w:val="pt-BR"/>
        </w:rPr>
        <w:t xml:space="preserve">– </w:t>
      </w:r>
      <w:r w:rsidR="0029593A" w:rsidRPr="008C423E">
        <w:rPr>
          <w:rFonts w:asciiTheme="minorHAnsi" w:hAnsiTheme="minorHAnsi"/>
          <w:sz w:val="24"/>
          <w:szCs w:val="24"/>
          <w:lang w:val="pt-BR"/>
        </w:rPr>
        <w:t>Capítulo dois do romance</w:t>
      </w:r>
      <w:r w:rsidR="0029593A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29593A" w:rsidRPr="008C423E">
        <w:rPr>
          <w:rFonts w:asciiTheme="minorHAnsi" w:hAnsiTheme="minorHAnsi"/>
          <w:i/>
          <w:sz w:val="24"/>
          <w:szCs w:val="24"/>
          <w:lang w:val="pt-BR"/>
        </w:rPr>
        <w:t xml:space="preserve">Jacob e Dulce, cenas da vida indiana </w:t>
      </w:r>
      <w:r w:rsidR="0029593A" w:rsidRPr="008C423E">
        <w:rPr>
          <w:rFonts w:asciiTheme="minorHAnsi" w:hAnsiTheme="minorHAnsi"/>
          <w:sz w:val="24"/>
          <w:szCs w:val="24"/>
          <w:lang w:val="pt-BR"/>
        </w:rPr>
        <w:t>(1896), de Francisco João da Costa. Ler o item “Conto, novela ou roman</w:t>
      </w:r>
      <w:r w:rsidRPr="008C423E">
        <w:rPr>
          <w:rFonts w:asciiTheme="minorHAnsi" w:hAnsiTheme="minorHAnsi"/>
          <w:sz w:val="24"/>
          <w:szCs w:val="24"/>
          <w:lang w:val="pt-BR"/>
        </w:rPr>
        <w:t xml:space="preserve">ce” (p.71 a 84) da dissertação </w:t>
      </w:r>
      <w:r w:rsidRPr="008C423E">
        <w:rPr>
          <w:rFonts w:asciiTheme="minorHAnsi" w:hAnsiTheme="minorHAnsi"/>
          <w:i/>
          <w:sz w:val="24"/>
          <w:szCs w:val="24"/>
          <w:lang w:val="pt-BR"/>
        </w:rPr>
        <w:t xml:space="preserve">Uma leitura crítica de </w:t>
      </w:r>
      <w:r w:rsidRPr="008C423E">
        <w:rPr>
          <w:rFonts w:asciiTheme="minorHAnsi" w:hAnsiTheme="minorHAnsi"/>
          <w:sz w:val="24"/>
          <w:szCs w:val="24"/>
          <w:lang w:val="pt-BR"/>
        </w:rPr>
        <w:t xml:space="preserve">Jacob e Dulce, cenas da vida indiana, </w:t>
      </w:r>
      <w:r w:rsidRPr="008C423E">
        <w:rPr>
          <w:rFonts w:asciiTheme="minorHAnsi" w:hAnsiTheme="minorHAnsi"/>
          <w:i/>
          <w:sz w:val="24"/>
          <w:szCs w:val="24"/>
          <w:lang w:val="pt-BR"/>
        </w:rPr>
        <w:t>à luz do realismo de Eça de Queirós</w:t>
      </w:r>
      <w:r w:rsidRPr="008C423E">
        <w:rPr>
          <w:rFonts w:asciiTheme="minorHAnsi" w:hAnsiTheme="minorHAnsi"/>
          <w:sz w:val="24"/>
          <w:szCs w:val="24"/>
          <w:lang w:val="pt-BR"/>
        </w:rPr>
        <w:t xml:space="preserve"> (2010), </w:t>
      </w:r>
      <w:r w:rsidR="0029593A" w:rsidRPr="008C423E">
        <w:rPr>
          <w:rFonts w:asciiTheme="minorHAnsi" w:hAnsiTheme="minorHAnsi"/>
          <w:sz w:val="24"/>
          <w:szCs w:val="24"/>
          <w:lang w:val="pt-BR"/>
        </w:rPr>
        <w:t xml:space="preserve">de João </w:t>
      </w:r>
      <w:r w:rsidRPr="008C423E">
        <w:rPr>
          <w:rFonts w:asciiTheme="minorHAnsi" w:hAnsiTheme="minorHAnsi"/>
          <w:sz w:val="24"/>
          <w:szCs w:val="24"/>
          <w:lang w:val="pt-BR"/>
        </w:rPr>
        <w:t xml:space="preserve">F. A. da </w:t>
      </w:r>
      <w:r w:rsidR="0029593A" w:rsidRPr="008C423E">
        <w:rPr>
          <w:rFonts w:asciiTheme="minorHAnsi" w:hAnsiTheme="minorHAnsi"/>
          <w:sz w:val="24"/>
          <w:szCs w:val="24"/>
          <w:lang w:val="pt-BR"/>
        </w:rPr>
        <w:t>Cunha</w:t>
      </w:r>
      <w:r w:rsidR="00954136" w:rsidRPr="008C423E">
        <w:rPr>
          <w:rFonts w:asciiTheme="minorHAnsi" w:hAnsiTheme="minorHAnsi"/>
          <w:sz w:val="24"/>
          <w:szCs w:val="24"/>
          <w:lang w:val="pt-BR"/>
        </w:rPr>
        <w:t>.</w:t>
      </w:r>
    </w:p>
    <w:p w14:paraId="3735771E" w14:textId="323EAA7E" w:rsidR="00133742" w:rsidRPr="008C423E" w:rsidRDefault="00133742" w:rsidP="008C423E">
      <w:pPr>
        <w:jc w:val="both"/>
        <w:rPr>
          <w:b/>
          <w:lang w:val="pt-BR"/>
        </w:rPr>
      </w:pPr>
    </w:p>
    <w:p w14:paraId="0EF3B5EE" w14:textId="19A2BF3D" w:rsidR="00D30384" w:rsidRPr="008C423E" w:rsidRDefault="00D30384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SETEMBRO</w:t>
      </w:r>
    </w:p>
    <w:p w14:paraId="369725AE" w14:textId="6E2E75C2" w:rsidR="00D30384" w:rsidRPr="008C423E" w:rsidRDefault="00FD6F36" w:rsidP="008C423E">
      <w:pPr>
        <w:pStyle w:val="bibliografia"/>
        <w:rPr>
          <w:rFonts w:asciiTheme="minorHAnsi" w:hAnsiTheme="minorHAnsi"/>
          <w:sz w:val="24"/>
          <w:lang w:val="pt-BR" w:eastAsia="pt-BR"/>
        </w:rPr>
      </w:pPr>
      <w:r w:rsidRPr="008C423E">
        <w:rPr>
          <w:rFonts w:asciiTheme="minorHAnsi" w:hAnsiTheme="minorHAnsi"/>
          <w:b/>
          <w:sz w:val="24"/>
          <w:lang w:val="pt-BR"/>
        </w:rPr>
        <w:t>05</w:t>
      </w:r>
      <w:r w:rsidR="00D30384" w:rsidRPr="008C423E">
        <w:rPr>
          <w:rFonts w:asciiTheme="minorHAnsi" w:hAnsiTheme="minorHAnsi"/>
          <w:b/>
          <w:sz w:val="24"/>
          <w:lang w:val="pt-BR"/>
        </w:rPr>
        <w:t xml:space="preserve"> – </w:t>
      </w:r>
      <w:r w:rsidR="00E43186" w:rsidRPr="008C423E">
        <w:rPr>
          <w:rFonts w:asciiTheme="minorHAnsi" w:hAnsiTheme="minorHAnsi"/>
          <w:b/>
          <w:sz w:val="24"/>
          <w:lang w:val="pt-BR"/>
        </w:rPr>
        <w:t>Semana da pátria</w:t>
      </w:r>
    </w:p>
    <w:p w14:paraId="3EF11F2F" w14:textId="53A5F695" w:rsidR="006E3162" w:rsidRPr="008C423E" w:rsidRDefault="00FD6F36" w:rsidP="008C423E">
      <w:pPr>
        <w:pStyle w:val="p1"/>
        <w:jc w:val="both"/>
        <w:rPr>
          <w:rFonts w:asciiTheme="minorHAnsi" w:eastAsia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lastRenderedPageBreak/>
        <w:t>12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– </w:t>
      </w:r>
      <w:r w:rsidR="006E3162" w:rsidRPr="008C423E">
        <w:rPr>
          <w:rFonts w:asciiTheme="minorHAnsi" w:hAnsiTheme="minorHAnsi" w:cs="Verdana"/>
          <w:sz w:val="24"/>
          <w:szCs w:val="24"/>
          <w:lang w:val="pt-BR"/>
        </w:rPr>
        <w:t>Contos “O genro comensal” e “</w:t>
      </w:r>
      <w:proofErr w:type="spellStart"/>
      <w:r w:rsidR="006E3162" w:rsidRPr="008C423E">
        <w:rPr>
          <w:rFonts w:asciiTheme="minorHAnsi" w:hAnsiTheme="minorHAnsi" w:cs="Verdana"/>
          <w:sz w:val="24"/>
          <w:szCs w:val="24"/>
          <w:lang w:val="pt-BR"/>
        </w:rPr>
        <w:t>Nattak</w:t>
      </w:r>
      <w:proofErr w:type="spellEnd"/>
      <w:r w:rsidR="006E3162" w:rsidRPr="008C423E">
        <w:rPr>
          <w:rFonts w:asciiTheme="minorHAnsi" w:hAnsiTheme="minorHAnsi" w:cs="Verdana"/>
          <w:sz w:val="24"/>
          <w:szCs w:val="24"/>
          <w:lang w:val="pt-BR"/>
        </w:rPr>
        <w:t>” d</w:t>
      </w:r>
      <w:r w:rsidR="00CF3175" w:rsidRPr="008C423E">
        <w:rPr>
          <w:rFonts w:asciiTheme="minorHAnsi" w:hAnsiTheme="minorHAnsi" w:cs="Verdana"/>
          <w:sz w:val="24"/>
          <w:szCs w:val="24"/>
          <w:lang w:val="pt-BR"/>
        </w:rPr>
        <w:t>o livro</w:t>
      </w:r>
      <w:r w:rsidR="006E3162" w:rsidRPr="008C423E">
        <w:rPr>
          <w:rFonts w:asciiTheme="minorHAnsi" w:hAnsiTheme="minorHAnsi" w:cs="Verdana"/>
          <w:sz w:val="24"/>
          <w:szCs w:val="24"/>
          <w:lang w:val="pt-BR"/>
        </w:rPr>
        <w:t xml:space="preserve"> </w:t>
      </w:r>
      <w:r w:rsidR="006E3162" w:rsidRPr="008C423E">
        <w:rPr>
          <w:rFonts w:asciiTheme="minorHAnsi" w:hAnsiTheme="minorHAnsi" w:cs="Verdana"/>
          <w:i/>
          <w:sz w:val="24"/>
          <w:szCs w:val="24"/>
          <w:lang w:val="pt-BR"/>
        </w:rPr>
        <w:t>Monção</w:t>
      </w:r>
      <w:r w:rsidR="00A65BAA" w:rsidRPr="008C423E">
        <w:rPr>
          <w:rFonts w:asciiTheme="minorHAnsi" w:hAnsiTheme="minorHAnsi" w:cs="Verdana"/>
          <w:sz w:val="24"/>
          <w:szCs w:val="24"/>
          <w:lang w:val="pt-BR"/>
        </w:rPr>
        <w:t xml:space="preserve"> (1963) de</w:t>
      </w:r>
      <w:r w:rsidR="006E3162" w:rsidRPr="008C423E">
        <w:rPr>
          <w:rFonts w:asciiTheme="minorHAnsi" w:hAnsiTheme="minorHAnsi" w:cs="Verdana"/>
          <w:sz w:val="24"/>
          <w:szCs w:val="24"/>
          <w:lang w:val="pt-BR"/>
        </w:rPr>
        <w:t xml:space="preserve"> </w:t>
      </w:r>
      <w:proofErr w:type="spellStart"/>
      <w:r w:rsidR="006E3162" w:rsidRPr="008C423E">
        <w:rPr>
          <w:rFonts w:asciiTheme="minorHAnsi" w:hAnsiTheme="minorHAnsi"/>
          <w:sz w:val="24"/>
          <w:szCs w:val="24"/>
          <w:lang w:val="pt-BR"/>
        </w:rPr>
        <w:t>Vimala</w:t>
      </w:r>
      <w:proofErr w:type="spellEnd"/>
      <w:r w:rsidR="006E3162" w:rsidRPr="008C423E">
        <w:rPr>
          <w:rFonts w:asciiTheme="minorHAnsi" w:hAnsiTheme="minorHAnsi"/>
          <w:sz w:val="24"/>
          <w:szCs w:val="24"/>
          <w:lang w:val="pt-BR"/>
        </w:rPr>
        <w:t xml:space="preserve"> Devi</w:t>
      </w:r>
      <w:r w:rsidR="00A65BAA" w:rsidRPr="008C423E">
        <w:rPr>
          <w:rFonts w:asciiTheme="minorHAnsi" w:hAnsiTheme="minorHAnsi"/>
          <w:sz w:val="24"/>
          <w:szCs w:val="24"/>
          <w:lang w:val="pt-BR"/>
        </w:rPr>
        <w:t>. Ler também o artigo “</w:t>
      </w:r>
      <w:r w:rsidR="00A65BAA" w:rsidRPr="008C423E">
        <w:rPr>
          <w:rFonts w:asciiTheme="minorHAnsi" w:eastAsiaTheme="minorHAnsi" w:hAnsiTheme="minorHAnsi"/>
          <w:i/>
          <w:sz w:val="24"/>
          <w:szCs w:val="24"/>
          <w:lang w:val="pt-BR"/>
        </w:rPr>
        <w:t>Monção</w:t>
      </w:r>
      <w:r w:rsidR="00A65BAA" w:rsidRPr="008C423E">
        <w:rPr>
          <w:rFonts w:asciiTheme="minorHAnsi" w:eastAsiaTheme="minorHAnsi" w:hAnsiTheme="minorHAnsi"/>
          <w:sz w:val="24"/>
          <w:szCs w:val="24"/>
          <w:lang w:val="pt-BR"/>
        </w:rPr>
        <w:t xml:space="preserve"> de </w:t>
      </w:r>
      <w:proofErr w:type="spellStart"/>
      <w:r w:rsidR="00A65BAA" w:rsidRPr="008C423E">
        <w:rPr>
          <w:rFonts w:asciiTheme="minorHAnsi" w:eastAsiaTheme="minorHAnsi" w:hAnsiTheme="minorHAnsi"/>
          <w:sz w:val="24"/>
          <w:szCs w:val="24"/>
          <w:lang w:val="pt-BR"/>
        </w:rPr>
        <w:t>Vimala</w:t>
      </w:r>
      <w:proofErr w:type="spellEnd"/>
      <w:r w:rsidR="00A65BAA" w:rsidRPr="008C423E">
        <w:rPr>
          <w:rFonts w:asciiTheme="minorHAnsi" w:eastAsiaTheme="minorHAnsi" w:hAnsiTheme="minorHAnsi"/>
          <w:sz w:val="24"/>
          <w:szCs w:val="24"/>
          <w:lang w:val="pt-BR"/>
        </w:rPr>
        <w:t xml:space="preserve"> Devi: contos de </w:t>
      </w:r>
      <w:proofErr w:type="spellStart"/>
      <w:r w:rsidR="00A65BAA" w:rsidRPr="008C423E">
        <w:rPr>
          <w:rFonts w:asciiTheme="minorHAnsi" w:eastAsiaTheme="minorHAnsi" w:hAnsiTheme="minorHAnsi"/>
          <w:sz w:val="24"/>
          <w:szCs w:val="24"/>
          <w:lang w:val="pt-BR"/>
        </w:rPr>
        <w:t>Goa</w:t>
      </w:r>
      <w:proofErr w:type="spellEnd"/>
      <w:r w:rsidR="00A65BAA" w:rsidRPr="008C423E">
        <w:rPr>
          <w:rFonts w:asciiTheme="minorHAnsi" w:eastAsiaTheme="minorHAnsi" w:hAnsiTheme="minorHAnsi"/>
          <w:sz w:val="24"/>
          <w:szCs w:val="24"/>
          <w:lang w:val="pt-BR"/>
        </w:rPr>
        <w:t xml:space="preserve"> à </w:t>
      </w:r>
      <w:r w:rsidR="00A65BAA" w:rsidRPr="008C423E">
        <w:rPr>
          <w:rFonts w:asciiTheme="minorHAnsi" w:hAnsiTheme="minorHAnsi"/>
          <w:sz w:val="24"/>
          <w:szCs w:val="24"/>
          <w:lang w:val="pt-BR"/>
        </w:rPr>
        <w:t>moda e</w:t>
      </w:r>
      <w:r w:rsidR="00A65BAA" w:rsidRPr="00A65BAA">
        <w:rPr>
          <w:rFonts w:asciiTheme="minorHAnsi" w:hAnsiTheme="minorHAnsi"/>
          <w:sz w:val="24"/>
          <w:szCs w:val="24"/>
          <w:lang w:val="pt-BR"/>
        </w:rPr>
        <w:t>uropeia</w:t>
      </w:r>
      <w:r w:rsidR="00A65BAA" w:rsidRPr="008C423E">
        <w:rPr>
          <w:rFonts w:asciiTheme="minorHAnsi" w:hAnsiTheme="minorHAnsi"/>
          <w:sz w:val="24"/>
          <w:szCs w:val="24"/>
          <w:lang w:val="pt-BR"/>
        </w:rPr>
        <w:t xml:space="preserve">”, de </w:t>
      </w:r>
      <w:proofErr w:type="spellStart"/>
      <w:r w:rsidR="00A65BAA" w:rsidRPr="008C423E">
        <w:rPr>
          <w:rFonts w:asciiTheme="minorHAnsi" w:hAnsiTheme="minorHAnsi"/>
          <w:sz w:val="24"/>
          <w:szCs w:val="24"/>
          <w:lang w:val="pt-BR"/>
        </w:rPr>
        <w:t>Cielo</w:t>
      </w:r>
      <w:proofErr w:type="spellEnd"/>
      <w:r w:rsidR="00A65BAA" w:rsidRPr="008C423E">
        <w:rPr>
          <w:rFonts w:asciiTheme="minorHAnsi" w:hAnsiTheme="minorHAnsi"/>
          <w:sz w:val="24"/>
          <w:szCs w:val="24"/>
          <w:lang w:val="pt-BR"/>
        </w:rPr>
        <w:t xml:space="preserve"> G. </w:t>
      </w:r>
      <w:proofErr w:type="spellStart"/>
      <w:r w:rsidR="00A65BAA" w:rsidRPr="008C423E">
        <w:rPr>
          <w:rFonts w:asciiTheme="minorHAnsi" w:hAnsiTheme="minorHAnsi"/>
          <w:sz w:val="24"/>
          <w:szCs w:val="24"/>
          <w:lang w:val="pt-BR"/>
        </w:rPr>
        <w:t>Festino</w:t>
      </w:r>
      <w:proofErr w:type="spellEnd"/>
    </w:p>
    <w:p w14:paraId="62FB7843" w14:textId="1812D7D4" w:rsidR="006E3162" w:rsidRPr="008C423E" w:rsidRDefault="00FD6F36" w:rsidP="008C423E">
      <w:pPr>
        <w:pStyle w:val="p1"/>
        <w:jc w:val="both"/>
        <w:rPr>
          <w:rFonts w:ascii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19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–</w:t>
      </w:r>
      <w:r w:rsidR="00D30384" w:rsidRPr="008C423E">
        <w:rPr>
          <w:rFonts w:asciiTheme="minorHAnsi" w:hAnsiTheme="minorHAnsi" w:cs="Verdana"/>
          <w:sz w:val="24"/>
          <w:szCs w:val="24"/>
          <w:lang w:val="pt-BR"/>
        </w:rPr>
        <w:t xml:space="preserve"> </w:t>
      </w:r>
      <w:r w:rsidR="009E26A4" w:rsidRPr="003A42E6">
        <w:rPr>
          <w:rFonts w:asciiTheme="minorHAnsi" w:hAnsiTheme="minorHAnsi"/>
          <w:sz w:val="24"/>
          <w:szCs w:val="24"/>
          <w:lang w:val="pt-BR"/>
        </w:rPr>
        <w:t>Contos “As d</w:t>
      </w:r>
      <w:r w:rsidR="009E26A4">
        <w:rPr>
          <w:rFonts w:asciiTheme="minorHAnsi" w:hAnsiTheme="minorHAnsi"/>
          <w:sz w:val="24"/>
          <w:szCs w:val="24"/>
          <w:lang w:val="pt-BR"/>
        </w:rPr>
        <w:t>uas paixões de Bonifácio Monserrate” e “A incoerência de certos hábitos e costumes</w:t>
      </w:r>
      <w:r w:rsidR="009428B6">
        <w:rPr>
          <w:rFonts w:asciiTheme="minorHAnsi" w:hAnsiTheme="minorHAnsi"/>
          <w:sz w:val="24"/>
          <w:szCs w:val="24"/>
          <w:lang w:val="pt-BR"/>
        </w:rPr>
        <w:t>”</w:t>
      </w:r>
      <w:bookmarkStart w:id="0" w:name="_GoBack"/>
      <w:bookmarkEnd w:id="0"/>
      <w:r w:rsidR="009428B6">
        <w:rPr>
          <w:rFonts w:asciiTheme="minorHAnsi" w:hAnsiTheme="minorHAnsi"/>
          <w:sz w:val="24"/>
          <w:szCs w:val="24"/>
          <w:lang w:val="pt-BR"/>
        </w:rPr>
        <w:t xml:space="preserve"> de José da Silva Coelho</w:t>
      </w:r>
      <w:r w:rsidR="00C3672D" w:rsidRPr="008C423E">
        <w:rPr>
          <w:rFonts w:asciiTheme="minorHAnsi" w:hAnsiTheme="minorHAnsi"/>
          <w:sz w:val="24"/>
          <w:szCs w:val="24"/>
          <w:lang w:val="pt-BR"/>
        </w:rPr>
        <w:t xml:space="preserve">. Ler também </w:t>
      </w:r>
      <w:r w:rsidR="003F2D3F" w:rsidRPr="008C423E">
        <w:rPr>
          <w:rFonts w:asciiTheme="minorHAnsi" w:hAnsiTheme="minorHAnsi"/>
          <w:sz w:val="24"/>
          <w:szCs w:val="24"/>
          <w:lang w:val="pt-BR"/>
        </w:rPr>
        <w:t>o tópico</w:t>
      </w:r>
      <w:r w:rsidR="00C3672D" w:rsidRPr="008C423E">
        <w:rPr>
          <w:rFonts w:asciiTheme="minorHAnsi" w:hAnsiTheme="minorHAnsi"/>
          <w:sz w:val="24"/>
          <w:szCs w:val="24"/>
          <w:lang w:val="pt-BR"/>
        </w:rPr>
        <w:t xml:space="preserve"> “Colonização cultural</w:t>
      </w:r>
      <w:r w:rsidR="00DF6337" w:rsidRPr="008C423E">
        <w:rPr>
          <w:rFonts w:asciiTheme="minorHAnsi" w:hAnsiTheme="minorHAnsi"/>
          <w:sz w:val="24"/>
          <w:szCs w:val="24"/>
          <w:lang w:val="pt-BR"/>
        </w:rPr>
        <w:t>”</w:t>
      </w:r>
      <w:r w:rsidR="00C3672D" w:rsidRPr="008C423E">
        <w:rPr>
          <w:rFonts w:asciiTheme="minorHAnsi" w:hAnsiTheme="minorHAnsi"/>
          <w:sz w:val="24"/>
          <w:szCs w:val="24"/>
          <w:lang w:val="pt-BR"/>
        </w:rPr>
        <w:t xml:space="preserve"> (p.9</w:t>
      </w:r>
      <w:r w:rsidR="007E3F55" w:rsidRPr="008C423E">
        <w:rPr>
          <w:rFonts w:asciiTheme="minorHAnsi" w:hAnsiTheme="minorHAnsi"/>
          <w:sz w:val="24"/>
          <w:szCs w:val="24"/>
          <w:lang w:val="pt-BR"/>
        </w:rPr>
        <w:t>5-106), da</w:t>
      </w:r>
      <w:r w:rsidR="006205FA" w:rsidRPr="008C423E">
        <w:rPr>
          <w:rFonts w:asciiTheme="minorHAnsi" w:hAnsiTheme="minorHAnsi"/>
          <w:sz w:val="24"/>
          <w:szCs w:val="24"/>
          <w:lang w:val="pt-BR"/>
        </w:rPr>
        <w:t xml:space="preserve"> tese </w:t>
      </w:r>
      <w:r w:rsidR="006205FA" w:rsidRPr="008C423E">
        <w:rPr>
          <w:rFonts w:asciiTheme="minorHAnsi" w:hAnsiTheme="minorHAnsi"/>
          <w:i/>
          <w:sz w:val="24"/>
          <w:szCs w:val="24"/>
          <w:lang w:val="pt-BR"/>
        </w:rPr>
        <w:t>Entre melindres e espertez</w:t>
      </w:r>
      <w:r w:rsidR="00C3672D" w:rsidRPr="008C423E">
        <w:rPr>
          <w:rFonts w:asciiTheme="minorHAnsi" w:hAnsiTheme="minorHAnsi"/>
          <w:i/>
          <w:sz w:val="24"/>
          <w:szCs w:val="24"/>
          <w:lang w:val="pt-BR"/>
        </w:rPr>
        <w:t>as</w:t>
      </w:r>
      <w:r w:rsidR="006205FA" w:rsidRPr="008C423E">
        <w:rPr>
          <w:rFonts w:asciiTheme="minorHAnsi" w:hAnsiTheme="minorHAnsi"/>
          <w:sz w:val="24"/>
          <w:szCs w:val="24"/>
          <w:lang w:val="pt-BR"/>
        </w:rPr>
        <w:t xml:space="preserve">: </w:t>
      </w:r>
      <w:r w:rsidR="006205FA" w:rsidRPr="008C423E">
        <w:rPr>
          <w:rFonts w:asciiTheme="minorHAnsi" w:hAnsiTheme="minorHAnsi"/>
          <w:i/>
          <w:sz w:val="24"/>
          <w:szCs w:val="24"/>
          <w:lang w:val="pt-BR"/>
        </w:rPr>
        <w:t>personagens malandras de José da Silva Coelho e Lima Barreto</w:t>
      </w:r>
      <w:r w:rsidR="006205FA" w:rsidRPr="008C423E">
        <w:rPr>
          <w:rFonts w:asciiTheme="minorHAnsi" w:hAnsiTheme="minorHAnsi"/>
          <w:sz w:val="24"/>
          <w:szCs w:val="24"/>
          <w:lang w:val="pt-BR"/>
        </w:rPr>
        <w:t xml:space="preserve"> (2016),</w:t>
      </w:r>
      <w:r w:rsidR="00C3672D" w:rsidRPr="008C423E">
        <w:rPr>
          <w:rFonts w:asciiTheme="minorHAnsi" w:hAnsiTheme="minorHAnsi"/>
          <w:sz w:val="24"/>
          <w:szCs w:val="24"/>
          <w:lang w:val="pt-BR"/>
        </w:rPr>
        <w:t xml:space="preserve"> de João Cunha</w:t>
      </w:r>
      <w:r w:rsidR="003F2D3F" w:rsidRPr="008C423E">
        <w:rPr>
          <w:rFonts w:asciiTheme="minorHAnsi" w:hAnsiTheme="minorHAnsi"/>
          <w:sz w:val="24"/>
          <w:szCs w:val="24"/>
          <w:lang w:val="pt-BR"/>
        </w:rPr>
        <w:t>.</w:t>
      </w:r>
      <w:r w:rsidR="009428B6">
        <w:rPr>
          <w:rFonts w:asciiTheme="minorHAnsi" w:hAnsiTheme="minorHAnsi"/>
          <w:sz w:val="24"/>
          <w:szCs w:val="24"/>
          <w:lang w:val="pt-BR"/>
        </w:rPr>
        <w:t xml:space="preserve"> O primeiro conto está na</w:t>
      </w:r>
      <w:r w:rsidR="009428B6" w:rsidRPr="008C423E">
        <w:rPr>
          <w:rFonts w:asciiTheme="minorHAnsi" w:hAnsiTheme="minorHAnsi"/>
          <w:i/>
          <w:sz w:val="24"/>
          <w:szCs w:val="24"/>
          <w:lang w:val="pt-BR"/>
        </w:rPr>
        <w:t xml:space="preserve"> Obra (quase) completa de José da Silva Coelho</w:t>
      </w:r>
      <w:r w:rsidR="009428B6" w:rsidRPr="008C423E">
        <w:rPr>
          <w:rFonts w:asciiTheme="minorHAnsi" w:hAnsiTheme="minorHAnsi"/>
          <w:sz w:val="24"/>
          <w:szCs w:val="24"/>
          <w:lang w:val="pt-BR"/>
        </w:rPr>
        <w:t xml:space="preserve"> (1979), organizada por Manuel de Seabra</w:t>
      </w:r>
      <w:r w:rsidR="009428B6">
        <w:rPr>
          <w:rFonts w:asciiTheme="minorHAnsi" w:hAnsiTheme="minorHAnsi"/>
          <w:sz w:val="24"/>
          <w:szCs w:val="24"/>
          <w:lang w:val="pt-BR"/>
        </w:rPr>
        <w:t>; o segundo conto está nos anexos da tese de João Cunha, p. 191.</w:t>
      </w:r>
    </w:p>
    <w:p w14:paraId="61B39B95" w14:textId="68F32A2D" w:rsidR="00D30384" w:rsidRPr="008C423E" w:rsidRDefault="00FD6F36" w:rsidP="008C423E">
      <w:pPr>
        <w:pStyle w:val="p1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26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D30384" w:rsidRPr="008C423E">
        <w:rPr>
          <w:rFonts w:asciiTheme="minorHAnsi" w:hAnsiTheme="minorHAnsi"/>
          <w:sz w:val="24"/>
          <w:szCs w:val="24"/>
          <w:lang w:val="pt-BR"/>
        </w:rPr>
        <w:t xml:space="preserve">– </w:t>
      </w:r>
      <w:r w:rsidR="00CA6547" w:rsidRPr="008C423E">
        <w:rPr>
          <w:rFonts w:asciiTheme="minorHAnsi" w:hAnsiTheme="minorHAnsi"/>
          <w:sz w:val="24"/>
          <w:szCs w:val="24"/>
          <w:lang w:val="pt-BR"/>
        </w:rPr>
        <w:t xml:space="preserve">Contos “A história da </w:t>
      </w:r>
      <w:proofErr w:type="spellStart"/>
      <w:r w:rsidR="00CA6547" w:rsidRPr="008C423E">
        <w:rPr>
          <w:rFonts w:asciiTheme="minorHAnsi" w:hAnsiTheme="minorHAnsi"/>
          <w:sz w:val="24"/>
          <w:szCs w:val="24"/>
          <w:lang w:val="pt-BR"/>
        </w:rPr>
        <w:t>Amata</w:t>
      </w:r>
      <w:proofErr w:type="spellEnd"/>
      <w:r w:rsidR="00CA6547" w:rsidRPr="008C423E">
        <w:rPr>
          <w:rFonts w:asciiTheme="minorHAnsi" w:hAnsiTheme="minorHAnsi"/>
          <w:sz w:val="24"/>
          <w:szCs w:val="24"/>
          <w:lang w:val="pt-BR"/>
        </w:rPr>
        <w:t xml:space="preserve">” e “Outra história de minas”, do livro </w:t>
      </w:r>
      <w:r w:rsidR="00557C2E" w:rsidRPr="008C423E">
        <w:rPr>
          <w:rFonts w:asciiTheme="minorHAnsi" w:hAnsiTheme="minorHAnsi"/>
          <w:i/>
          <w:sz w:val="24"/>
          <w:szCs w:val="24"/>
          <w:lang w:val="pt-BR"/>
        </w:rPr>
        <w:t xml:space="preserve">Os javalis de </w:t>
      </w:r>
      <w:proofErr w:type="spellStart"/>
      <w:r w:rsidR="00557C2E" w:rsidRPr="008C423E">
        <w:rPr>
          <w:rFonts w:asciiTheme="minorHAnsi" w:hAnsiTheme="minorHAnsi"/>
          <w:i/>
          <w:sz w:val="24"/>
          <w:szCs w:val="24"/>
          <w:lang w:val="pt-BR"/>
        </w:rPr>
        <w:t>Codval</w:t>
      </w:r>
      <w:proofErr w:type="spellEnd"/>
      <w:r w:rsidR="00557C2E" w:rsidRPr="008C423E">
        <w:rPr>
          <w:rFonts w:asciiTheme="minorHAnsi" w:hAnsiTheme="minorHAnsi"/>
          <w:i/>
          <w:sz w:val="24"/>
          <w:szCs w:val="24"/>
          <w:lang w:val="pt-BR"/>
        </w:rPr>
        <w:t xml:space="preserve"> </w:t>
      </w:r>
      <w:r w:rsidR="00557C2E" w:rsidRPr="008C423E">
        <w:rPr>
          <w:rFonts w:asciiTheme="minorHAnsi" w:hAnsiTheme="minorHAnsi"/>
          <w:sz w:val="24"/>
          <w:szCs w:val="24"/>
          <w:lang w:val="pt-BR"/>
        </w:rPr>
        <w:t>(1973),</w:t>
      </w:r>
      <w:r w:rsidR="00557C2E" w:rsidRPr="008C423E">
        <w:rPr>
          <w:rFonts w:asciiTheme="minorHAnsi" w:hAnsiTheme="minorHAnsi"/>
          <w:i/>
          <w:sz w:val="24"/>
          <w:szCs w:val="24"/>
          <w:lang w:val="pt-BR"/>
        </w:rPr>
        <w:t xml:space="preserve"> </w:t>
      </w:r>
      <w:r w:rsidR="00557C2E" w:rsidRPr="008C423E">
        <w:rPr>
          <w:rFonts w:asciiTheme="minorHAnsi" w:hAnsiTheme="minorHAnsi"/>
          <w:sz w:val="24"/>
          <w:szCs w:val="24"/>
          <w:lang w:val="pt-BR"/>
        </w:rPr>
        <w:t>de Epitácio Pais</w:t>
      </w:r>
      <w:r w:rsidR="00CF3175" w:rsidRPr="008C423E">
        <w:rPr>
          <w:rFonts w:asciiTheme="minorHAnsi" w:hAnsiTheme="minorHAnsi"/>
          <w:sz w:val="24"/>
          <w:szCs w:val="24"/>
          <w:lang w:val="pt-BR"/>
        </w:rPr>
        <w:t xml:space="preserve">. </w:t>
      </w:r>
      <w:r w:rsidR="000247AF" w:rsidRPr="008C423E">
        <w:rPr>
          <w:rFonts w:asciiTheme="minorHAnsi" w:hAnsiTheme="minorHAnsi"/>
          <w:sz w:val="24"/>
          <w:szCs w:val="24"/>
          <w:lang w:val="pt-BR"/>
        </w:rPr>
        <w:t>Ler também a introdução deste volume de autoria de Manuel de Seabra.</w:t>
      </w:r>
    </w:p>
    <w:p w14:paraId="4264922C" w14:textId="77777777" w:rsidR="00D30384" w:rsidRPr="008C423E" w:rsidRDefault="00D30384" w:rsidP="008C423E">
      <w:pPr>
        <w:jc w:val="both"/>
        <w:rPr>
          <w:b/>
          <w:lang w:val="pt-BR"/>
        </w:rPr>
      </w:pPr>
    </w:p>
    <w:p w14:paraId="2748832B" w14:textId="78BDD167" w:rsidR="00D30384" w:rsidRPr="008C423E" w:rsidRDefault="00D30384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OUTUBRO</w:t>
      </w:r>
    </w:p>
    <w:p w14:paraId="698A15D3" w14:textId="7433CACC" w:rsidR="00D30384" w:rsidRPr="008C423E" w:rsidRDefault="00FD6F36" w:rsidP="008C423E">
      <w:pPr>
        <w:pStyle w:val="p1"/>
        <w:jc w:val="both"/>
        <w:rPr>
          <w:rFonts w:asciiTheme="minorHAnsi" w:hAnsiTheme="minorHAnsi" w:cs="Verdana"/>
          <w:i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03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–</w:t>
      </w:r>
      <w:r w:rsidR="00DC3959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55312C" w:rsidRPr="008C423E">
        <w:rPr>
          <w:rFonts w:asciiTheme="minorHAnsi" w:hAnsiTheme="minorHAnsi"/>
          <w:sz w:val="24"/>
          <w:szCs w:val="24"/>
          <w:lang w:val="pt-BR"/>
        </w:rPr>
        <w:t>Ler os</w:t>
      </w:r>
      <w:r w:rsidR="0055312C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D06032" w:rsidRPr="008C423E">
        <w:rPr>
          <w:rFonts w:asciiTheme="minorHAnsi" w:hAnsiTheme="minorHAnsi" w:cs="Verdana"/>
          <w:i/>
          <w:sz w:val="24"/>
          <w:szCs w:val="24"/>
          <w:lang w:val="pt-BR"/>
        </w:rPr>
        <w:t>Fragmentos de S</w:t>
      </w:r>
      <w:r w:rsidR="00557C2E" w:rsidRPr="008C423E">
        <w:rPr>
          <w:rFonts w:asciiTheme="minorHAnsi" w:hAnsiTheme="minorHAnsi" w:cs="Verdana"/>
          <w:i/>
          <w:sz w:val="24"/>
          <w:szCs w:val="24"/>
          <w:lang w:val="pt-BR"/>
        </w:rPr>
        <w:t>infonia Goesa</w:t>
      </w:r>
      <w:r w:rsidR="00D06032" w:rsidRPr="008C423E">
        <w:rPr>
          <w:rFonts w:asciiTheme="minorHAnsi" w:hAnsiTheme="minorHAnsi" w:cs="Verdana"/>
          <w:sz w:val="24"/>
          <w:szCs w:val="24"/>
          <w:lang w:val="pt-BR"/>
        </w:rPr>
        <w:t>, de Telo de Mascarenhas (inédito</w:t>
      </w:r>
      <w:r w:rsidR="0055312C" w:rsidRPr="008C423E">
        <w:rPr>
          <w:rFonts w:asciiTheme="minorHAnsi" w:hAnsiTheme="minorHAnsi" w:cs="Verdana"/>
          <w:sz w:val="24"/>
          <w:szCs w:val="24"/>
          <w:lang w:val="pt-BR"/>
        </w:rPr>
        <w:t xml:space="preserve">), com recolha, organização e introdução de </w:t>
      </w:r>
      <w:r w:rsidR="00474A38" w:rsidRPr="008C423E">
        <w:rPr>
          <w:rFonts w:asciiTheme="minorHAnsi" w:hAnsiTheme="minorHAnsi" w:cs="Verdana"/>
          <w:sz w:val="24"/>
          <w:szCs w:val="24"/>
          <w:lang w:val="pt-BR"/>
        </w:rPr>
        <w:t>Paul Melo e Castro.</w:t>
      </w:r>
    </w:p>
    <w:p w14:paraId="71743297" w14:textId="2FCD4702" w:rsidR="00D30384" w:rsidRPr="008C423E" w:rsidRDefault="00133742" w:rsidP="008C423E">
      <w:pPr>
        <w:pStyle w:val="ListParagraph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C423E">
        <w:rPr>
          <w:rFonts w:asciiTheme="minorHAnsi" w:hAnsiTheme="minorHAnsi"/>
          <w:b/>
          <w:sz w:val="24"/>
          <w:szCs w:val="24"/>
        </w:rPr>
        <w:t>1</w:t>
      </w:r>
      <w:r w:rsidR="00FD6F36" w:rsidRPr="008C423E">
        <w:rPr>
          <w:rFonts w:asciiTheme="minorHAnsi" w:hAnsiTheme="minorHAnsi"/>
          <w:b/>
          <w:sz w:val="24"/>
          <w:szCs w:val="24"/>
        </w:rPr>
        <w:t>0</w:t>
      </w:r>
      <w:r w:rsidR="00D30384" w:rsidRPr="008C423E">
        <w:rPr>
          <w:rFonts w:asciiTheme="minorHAnsi" w:hAnsiTheme="minorHAnsi"/>
          <w:b/>
          <w:sz w:val="24"/>
          <w:szCs w:val="24"/>
        </w:rPr>
        <w:t xml:space="preserve"> –</w:t>
      </w:r>
      <w:r w:rsidR="00D30384" w:rsidRPr="008C423E">
        <w:rPr>
          <w:rFonts w:asciiTheme="minorHAnsi" w:hAnsiTheme="minorHAnsi"/>
          <w:i/>
          <w:sz w:val="24"/>
          <w:szCs w:val="24"/>
        </w:rPr>
        <w:t xml:space="preserve"> </w:t>
      </w:r>
      <w:r w:rsidR="002E7B58" w:rsidRPr="008C423E">
        <w:rPr>
          <w:rFonts w:asciiTheme="minorHAnsi" w:hAnsiTheme="minorHAnsi"/>
          <w:sz w:val="24"/>
          <w:szCs w:val="24"/>
        </w:rPr>
        <w:t xml:space="preserve">Contos </w:t>
      </w:r>
      <w:r w:rsidR="00F5717A" w:rsidRPr="008C423E">
        <w:rPr>
          <w:rFonts w:asciiTheme="minorHAnsi" w:hAnsiTheme="minorHAnsi"/>
          <w:sz w:val="24"/>
          <w:szCs w:val="24"/>
        </w:rPr>
        <w:t>“O barco de África”</w:t>
      </w:r>
      <w:r w:rsidR="0069742A" w:rsidRPr="008C423E">
        <w:rPr>
          <w:rFonts w:asciiTheme="minorHAnsi" w:hAnsiTheme="minorHAnsi"/>
          <w:sz w:val="24"/>
          <w:szCs w:val="24"/>
        </w:rPr>
        <w:t>, “Ambrósia” e “Legado de amor”</w:t>
      </w:r>
      <w:r w:rsidR="00F5717A" w:rsidRPr="008C423E">
        <w:rPr>
          <w:rFonts w:asciiTheme="minorHAnsi" w:hAnsiTheme="minorHAnsi"/>
          <w:sz w:val="24"/>
          <w:szCs w:val="24"/>
        </w:rPr>
        <w:t xml:space="preserve"> </w:t>
      </w:r>
      <w:r w:rsidR="002E7B58" w:rsidRPr="008C423E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DE62B7" w:rsidRPr="008C423E">
        <w:rPr>
          <w:rFonts w:asciiTheme="minorHAnsi" w:hAnsiTheme="minorHAnsi"/>
          <w:sz w:val="24"/>
          <w:szCs w:val="24"/>
        </w:rPr>
        <w:t>Laxmanrao</w:t>
      </w:r>
      <w:proofErr w:type="spellEnd"/>
      <w:r w:rsidR="00DE62B7" w:rsidRPr="008C42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62B7" w:rsidRPr="008C423E">
        <w:rPr>
          <w:rFonts w:asciiTheme="minorHAnsi" w:hAnsiTheme="minorHAnsi"/>
          <w:sz w:val="24"/>
          <w:szCs w:val="24"/>
        </w:rPr>
        <w:t>Sardessai</w:t>
      </w:r>
      <w:proofErr w:type="spellEnd"/>
      <w:r w:rsidR="00474A38" w:rsidRPr="008C423E">
        <w:rPr>
          <w:rFonts w:asciiTheme="minorHAnsi" w:hAnsiTheme="minorHAnsi"/>
          <w:sz w:val="24"/>
          <w:szCs w:val="24"/>
        </w:rPr>
        <w:t xml:space="preserve">. </w:t>
      </w:r>
    </w:p>
    <w:p w14:paraId="11C5BD20" w14:textId="1C1E1C4A" w:rsidR="00D30384" w:rsidRPr="008C423E" w:rsidRDefault="00FD6F36" w:rsidP="008C423E">
      <w:pPr>
        <w:pStyle w:val="p1"/>
        <w:jc w:val="both"/>
        <w:rPr>
          <w:rFonts w:ascii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17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– </w:t>
      </w:r>
      <w:r w:rsidR="002E7B58" w:rsidRPr="008C423E">
        <w:rPr>
          <w:rFonts w:asciiTheme="minorHAnsi" w:hAnsiTheme="minorHAnsi"/>
          <w:sz w:val="24"/>
          <w:szCs w:val="24"/>
          <w:lang w:val="pt-BR"/>
        </w:rPr>
        <w:t xml:space="preserve">Contos </w:t>
      </w:r>
      <w:r w:rsidR="00BC6A49" w:rsidRPr="008C423E">
        <w:rPr>
          <w:rStyle w:val="s1"/>
          <w:rFonts w:asciiTheme="minorHAnsi" w:hAnsiTheme="minorHAnsi"/>
          <w:sz w:val="24"/>
          <w:szCs w:val="24"/>
          <w:lang w:val="pt-BR"/>
        </w:rPr>
        <w:t>“</w:t>
      </w:r>
      <w:r w:rsidR="00BC6A49" w:rsidRPr="008C423E">
        <w:rPr>
          <w:rFonts w:asciiTheme="minorHAnsi" w:hAnsiTheme="minorHAnsi"/>
          <w:sz w:val="24"/>
          <w:szCs w:val="24"/>
          <w:lang w:val="pt-BR"/>
        </w:rPr>
        <w:t>O presente de Natal”</w:t>
      </w:r>
      <w:r w:rsidR="00BC6A49" w:rsidRPr="008C423E">
        <w:rPr>
          <w:rStyle w:val="apple-converted-space"/>
          <w:rFonts w:asciiTheme="minorHAnsi" w:hAnsiTheme="minorHAnsi"/>
          <w:sz w:val="24"/>
          <w:szCs w:val="24"/>
          <w:lang w:val="pt-BR"/>
        </w:rPr>
        <w:t> </w:t>
      </w:r>
      <w:r w:rsidR="00BC6A49" w:rsidRPr="008C423E">
        <w:rPr>
          <w:rFonts w:asciiTheme="minorHAnsi" w:hAnsiTheme="minorHAnsi"/>
          <w:sz w:val="24"/>
          <w:szCs w:val="24"/>
          <w:lang w:val="pt-BR"/>
        </w:rPr>
        <w:t xml:space="preserve">e “O </w:t>
      </w:r>
      <w:proofErr w:type="spellStart"/>
      <w:r w:rsidR="00BC6A49" w:rsidRPr="008C423E">
        <w:rPr>
          <w:rFonts w:asciiTheme="minorHAnsi" w:hAnsiTheme="minorHAnsi"/>
          <w:sz w:val="24"/>
          <w:szCs w:val="24"/>
          <w:lang w:val="pt-BR"/>
        </w:rPr>
        <w:t>Divali</w:t>
      </w:r>
      <w:proofErr w:type="spellEnd"/>
      <w:r w:rsidR="00BC6A49" w:rsidRPr="008C423E">
        <w:rPr>
          <w:rFonts w:asciiTheme="minorHAnsi" w:hAnsiTheme="minorHAnsi"/>
          <w:sz w:val="24"/>
          <w:szCs w:val="24"/>
          <w:lang w:val="pt-BR"/>
        </w:rPr>
        <w:t xml:space="preserve"> de </w:t>
      </w:r>
      <w:proofErr w:type="spellStart"/>
      <w:r w:rsidR="00BC6A49" w:rsidRPr="008C423E">
        <w:rPr>
          <w:rFonts w:asciiTheme="minorHAnsi" w:hAnsiTheme="minorHAnsi"/>
          <w:sz w:val="24"/>
          <w:szCs w:val="24"/>
          <w:lang w:val="pt-BR"/>
        </w:rPr>
        <w:t>Suru-Sussu</w:t>
      </w:r>
      <w:proofErr w:type="spellEnd"/>
      <w:r w:rsidR="00BC6A49" w:rsidRPr="008C423E">
        <w:rPr>
          <w:rFonts w:asciiTheme="minorHAnsi" w:hAnsiTheme="minorHAnsi"/>
          <w:sz w:val="24"/>
          <w:szCs w:val="24"/>
          <w:lang w:val="pt-BR"/>
        </w:rPr>
        <w:t>”</w:t>
      </w:r>
      <w:r w:rsidR="00BC6A49" w:rsidRPr="008C423E">
        <w:rPr>
          <w:rStyle w:val="apple-converted-space"/>
          <w:rFonts w:asciiTheme="minorHAnsi" w:hAnsiTheme="minorHAnsi"/>
          <w:sz w:val="24"/>
          <w:szCs w:val="24"/>
          <w:lang w:val="pt-BR"/>
        </w:rPr>
        <w:t> </w:t>
      </w:r>
      <w:r w:rsidR="002E7B58" w:rsidRPr="008C423E">
        <w:rPr>
          <w:rFonts w:asciiTheme="minorHAnsi" w:hAnsiTheme="minorHAnsi"/>
          <w:sz w:val="24"/>
          <w:szCs w:val="24"/>
          <w:lang w:val="pt-BR"/>
        </w:rPr>
        <w:t>de</w:t>
      </w:r>
      <w:r w:rsidR="002E7B58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proofErr w:type="spellStart"/>
      <w:r w:rsidR="00DE62B7" w:rsidRPr="008C423E">
        <w:rPr>
          <w:rFonts w:asciiTheme="minorHAnsi" w:hAnsiTheme="minorHAnsi"/>
          <w:sz w:val="24"/>
          <w:szCs w:val="24"/>
          <w:lang w:val="pt-BR"/>
        </w:rPr>
        <w:t>Ananta</w:t>
      </w:r>
      <w:proofErr w:type="spellEnd"/>
      <w:r w:rsidR="00DE62B7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DE62B7" w:rsidRPr="008C423E">
        <w:rPr>
          <w:rFonts w:asciiTheme="minorHAnsi" w:hAnsiTheme="minorHAnsi"/>
          <w:sz w:val="24"/>
          <w:szCs w:val="24"/>
          <w:lang w:val="pt-BR"/>
        </w:rPr>
        <w:t>Rau</w:t>
      </w:r>
      <w:proofErr w:type="spellEnd"/>
      <w:r w:rsidR="00DE62B7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DE62B7" w:rsidRPr="008C423E">
        <w:rPr>
          <w:rFonts w:asciiTheme="minorHAnsi" w:hAnsiTheme="minorHAnsi"/>
          <w:sz w:val="24"/>
          <w:szCs w:val="24"/>
          <w:lang w:val="pt-BR"/>
        </w:rPr>
        <w:t>Sar</w:t>
      </w:r>
      <w:proofErr w:type="spellEnd"/>
      <w:r w:rsidR="00DE62B7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DE62B7" w:rsidRPr="008C423E">
        <w:rPr>
          <w:rFonts w:asciiTheme="minorHAnsi" w:hAnsiTheme="minorHAnsi"/>
          <w:sz w:val="24"/>
          <w:szCs w:val="24"/>
          <w:lang w:val="pt-BR"/>
        </w:rPr>
        <w:t>Dessai</w:t>
      </w:r>
      <w:proofErr w:type="spellEnd"/>
      <w:r w:rsidR="00427AA2" w:rsidRPr="008C423E">
        <w:rPr>
          <w:rFonts w:asciiTheme="minorHAnsi" w:hAnsiTheme="minorHAnsi"/>
          <w:sz w:val="24"/>
          <w:szCs w:val="24"/>
          <w:lang w:val="pt-BR"/>
        </w:rPr>
        <w:t xml:space="preserve"> – </w:t>
      </w:r>
      <w:r w:rsidR="0069742A" w:rsidRPr="008C423E">
        <w:rPr>
          <w:rFonts w:asciiTheme="minorHAnsi" w:hAnsiTheme="minorHAnsi"/>
          <w:sz w:val="24"/>
          <w:szCs w:val="24"/>
          <w:lang w:val="pt-BR"/>
        </w:rPr>
        <w:t xml:space="preserve">Ler texto introdutório de Paul Melo e Castro ao livro </w:t>
      </w:r>
      <w:r w:rsidR="0069742A" w:rsidRPr="008C423E">
        <w:rPr>
          <w:rFonts w:asciiTheme="minorHAnsi" w:hAnsiTheme="minorHAnsi"/>
          <w:i/>
          <w:sz w:val="24"/>
          <w:szCs w:val="24"/>
          <w:lang w:val="pt-BR"/>
        </w:rPr>
        <w:t xml:space="preserve">A terapia do riso </w:t>
      </w:r>
      <w:r w:rsidR="0069742A" w:rsidRPr="008C423E">
        <w:rPr>
          <w:rFonts w:asciiTheme="minorHAnsi" w:hAnsiTheme="minorHAnsi"/>
          <w:sz w:val="24"/>
          <w:szCs w:val="24"/>
          <w:lang w:val="pt-BR"/>
        </w:rPr>
        <w:t>(inédito) e a comunicação</w:t>
      </w:r>
      <w:r w:rsidR="00400380" w:rsidRPr="008C423E">
        <w:rPr>
          <w:rFonts w:asciiTheme="minorHAnsi" w:hAnsiTheme="minorHAnsi"/>
          <w:sz w:val="24"/>
          <w:szCs w:val="24"/>
          <w:lang w:val="pt-BR"/>
        </w:rPr>
        <w:t xml:space="preserve"> “</w:t>
      </w:r>
      <w:r w:rsidR="00400380" w:rsidRPr="00400380">
        <w:rPr>
          <w:rFonts w:asciiTheme="minorHAnsi" w:hAnsiTheme="minorHAnsi"/>
          <w:sz w:val="24"/>
          <w:szCs w:val="24"/>
          <w:lang w:val="pt-BR"/>
        </w:rPr>
        <w:t xml:space="preserve">Crônica de um médico de </w:t>
      </w:r>
      <w:proofErr w:type="spellStart"/>
      <w:r w:rsidR="00400380" w:rsidRPr="00400380">
        <w:rPr>
          <w:rFonts w:asciiTheme="minorHAnsi" w:hAnsiTheme="minorHAnsi"/>
          <w:sz w:val="24"/>
          <w:szCs w:val="24"/>
          <w:lang w:val="pt-BR"/>
        </w:rPr>
        <w:t>Goa</w:t>
      </w:r>
      <w:proofErr w:type="spellEnd"/>
      <w:r w:rsidR="00400380" w:rsidRPr="00400380">
        <w:rPr>
          <w:rFonts w:asciiTheme="minorHAnsi" w:hAnsiTheme="minorHAnsi"/>
          <w:sz w:val="24"/>
          <w:szCs w:val="24"/>
          <w:lang w:val="pt-BR"/>
        </w:rPr>
        <w:t xml:space="preserve">: os contos de </w:t>
      </w:r>
      <w:proofErr w:type="spellStart"/>
      <w:r w:rsidR="00400380" w:rsidRPr="00400380">
        <w:rPr>
          <w:rFonts w:asciiTheme="minorHAnsi" w:hAnsiTheme="minorHAnsi"/>
          <w:sz w:val="24"/>
          <w:szCs w:val="24"/>
          <w:lang w:val="pt-BR"/>
        </w:rPr>
        <w:t>Ananta</w:t>
      </w:r>
      <w:proofErr w:type="spellEnd"/>
      <w:r w:rsidR="00400380" w:rsidRPr="00400380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400380" w:rsidRPr="00400380">
        <w:rPr>
          <w:rFonts w:asciiTheme="minorHAnsi" w:hAnsiTheme="minorHAnsi"/>
          <w:sz w:val="24"/>
          <w:szCs w:val="24"/>
          <w:lang w:val="pt-BR"/>
        </w:rPr>
        <w:t>Rau</w:t>
      </w:r>
      <w:proofErr w:type="spellEnd"/>
      <w:r w:rsidR="00400380" w:rsidRPr="00400380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400380" w:rsidRPr="00400380">
        <w:rPr>
          <w:rFonts w:asciiTheme="minorHAnsi" w:hAnsiTheme="minorHAnsi"/>
          <w:sz w:val="24"/>
          <w:szCs w:val="24"/>
          <w:lang w:val="pt-BR"/>
        </w:rPr>
        <w:t>Sar</w:t>
      </w:r>
      <w:proofErr w:type="spellEnd"/>
      <w:r w:rsidR="00400380" w:rsidRPr="00400380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400380" w:rsidRPr="00400380">
        <w:rPr>
          <w:rFonts w:asciiTheme="minorHAnsi" w:hAnsiTheme="minorHAnsi"/>
          <w:sz w:val="24"/>
          <w:szCs w:val="24"/>
          <w:lang w:val="pt-BR"/>
        </w:rPr>
        <w:t>Dessai</w:t>
      </w:r>
      <w:proofErr w:type="spellEnd"/>
      <w:r w:rsidR="00474A38" w:rsidRPr="008C423E">
        <w:rPr>
          <w:rFonts w:asciiTheme="minorHAnsi" w:hAnsiTheme="minorHAnsi"/>
          <w:sz w:val="24"/>
          <w:szCs w:val="24"/>
          <w:lang w:val="pt-BR"/>
        </w:rPr>
        <w:t>”</w:t>
      </w:r>
      <w:r w:rsidR="00400380" w:rsidRPr="008C423E">
        <w:rPr>
          <w:rFonts w:asciiTheme="minorHAnsi" w:hAnsiTheme="minorHAnsi"/>
          <w:sz w:val="24"/>
          <w:szCs w:val="24"/>
          <w:lang w:val="pt-BR"/>
        </w:rPr>
        <w:t xml:space="preserve"> de Hélder Garmes</w:t>
      </w:r>
      <w:r w:rsidR="00474A38" w:rsidRPr="008C423E">
        <w:rPr>
          <w:rFonts w:asciiTheme="minorHAnsi" w:hAnsiTheme="minorHAnsi"/>
          <w:sz w:val="24"/>
          <w:szCs w:val="24"/>
          <w:lang w:val="pt-BR"/>
        </w:rPr>
        <w:t>.</w:t>
      </w:r>
    </w:p>
    <w:p w14:paraId="29406F3B" w14:textId="5BB3D9E2" w:rsidR="00622DA0" w:rsidRPr="008C423E" w:rsidRDefault="00FD6F36" w:rsidP="008C423E">
      <w:pPr>
        <w:pStyle w:val="Heading3"/>
        <w:shd w:val="clear" w:color="auto" w:fill="FFFFFF"/>
        <w:spacing w:before="0" w:beforeAutospacing="0" w:after="60" w:afterAutospacing="0"/>
        <w:ind w:right="240"/>
        <w:jc w:val="both"/>
        <w:rPr>
          <w:rFonts w:asciiTheme="minorHAnsi" w:eastAsia="Times New Roman" w:hAnsiTheme="minorHAnsi"/>
          <w:b w:val="0"/>
          <w:bCs w:val="0"/>
          <w:caps/>
          <w:color w:val="111111"/>
          <w:sz w:val="24"/>
          <w:szCs w:val="24"/>
          <w:lang w:val="pt-BR"/>
        </w:rPr>
      </w:pPr>
      <w:r w:rsidRPr="008C423E">
        <w:rPr>
          <w:rFonts w:asciiTheme="minorHAnsi" w:hAnsiTheme="minorHAnsi"/>
          <w:sz w:val="24"/>
          <w:szCs w:val="24"/>
          <w:lang w:val="pt-BR"/>
        </w:rPr>
        <w:t>24</w:t>
      </w:r>
      <w:r w:rsidR="00D30384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D30384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– </w:t>
      </w:r>
      <w:r w:rsidR="00622DA0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Contos </w:t>
      </w:r>
      <w:r w:rsidR="00A34670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“Mary de </w:t>
      </w:r>
      <w:proofErr w:type="spellStart"/>
      <w:r w:rsidR="00A34670" w:rsidRPr="008C423E">
        <w:rPr>
          <w:rFonts w:asciiTheme="minorHAnsi" w:hAnsiTheme="minorHAnsi"/>
          <w:b w:val="0"/>
          <w:sz w:val="24"/>
          <w:szCs w:val="24"/>
          <w:lang w:val="pt-BR"/>
        </w:rPr>
        <w:t>Vitogém</w:t>
      </w:r>
      <w:proofErr w:type="spellEnd"/>
      <w:r w:rsidR="00A34670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” e </w:t>
      </w:r>
      <w:r w:rsidR="00622DA0" w:rsidRPr="008C423E">
        <w:rPr>
          <w:rFonts w:asciiTheme="minorHAnsi" w:hAnsiTheme="minorHAnsi"/>
          <w:b w:val="0"/>
          <w:sz w:val="24"/>
          <w:szCs w:val="24"/>
          <w:lang w:val="pt-BR"/>
        </w:rPr>
        <w:t>“</w:t>
      </w:r>
      <w:proofErr w:type="spellStart"/>
      <w:r w:rsidR="00622DA0" w:rsidRPr="008C423E">
        <w:rPr>
          <w:rFonts w:asciiTheme="minorHAnsi" w:hAnsiTheme="minorHAnsi"/>
          <w:b w:val="0"/>
          <w:sz w:val="24"/>
          <w:szCs w:val="24"/>
          <w:lang w:val="pt-BR"/>
        </w:rPr>
        <w:t>Shivá</w:t>
      </w:r>
      <w:proofErr w:type="spellEnd"/>
      <w:r w:rsidR="00622DA0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, brincando...” do livro </w:t>
      </w:r>
      <w:r w:rsidR="00DE62B7" w:rsidRPr="008C423E">
        <w:rPr>
          <w:rFonts w:asciiTheme="minorHAnsi" w:hAnsiTheme="minorHAnsi"/>
          <w:b w:val="0"/>
          <w:i/>
          <w:sz w:val="24"/>
          <w:szCs w:val="24"/>
          <w:lang w:val="pt-BR"/>
        </w:rPr>
        <w:t>Vivências partilhadas</w:t>
      </w:r>
      <w:r w:rsidR="00DE62B7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 (2005), de Maria Elsa da Rocha</w:t>
      </w:r>
      <w:r w:rsidR="00312922" w:rsidRPr="008C423E">
        <w:rPr>
          <w:rFonts w:asciiTheme="minorHAnsi" w:hAnsiTheme="minorHAnsi"/>
          <w:b w:val="0"/>
          <w:sz w:val="24"/>
          <w:szCs w:val="24"/>
          <w:lang w:val="pt-BR"/>
        </w:rPr>
        <w:t xml:space="preserve">. Ler </w:t>
      </w:r>
      <w:r w:rsidR="00622DA0" w:rsidRPr="008C423E">
        <w:rPr>
          <w:rFonts w:asciiTheme="minorHAnsi" w:hAnsiTheme="minorHAnsi"/>
          <w:b w:val="0"/>
          <w:sz w:val="24"/>
          <w:szCs w:val="24"/>
          <w:lang w:val="pt-BR"/>
        </w:rPr>
        <w:t>o artigo “</w:t>
      </w:r>
      <w:r w:rsidR="00622DA0" w:rsidRPr="008C423E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>Lirismo e conservadorismo na arena política: o conto ‘</w:t>
      </w:r>
      <w:proofErr w:type="spellStart"/>
      <w:r w:rsidR="00622DA0" w:rsidRPr="008C423E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>Shivá</w:t>
      </w:r>
      <w:proofErr w:type="spellEnd"/>
      <w:r w:rsidR="00622DA0" w:rsidRPr="008C423E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 xml:space="preserve">, </w:t>
      </w:r>
      <w:proofErr w:type="gramStart"/>
      <w:r w:rsidR="00622DA0" w:rsidRPr="008C423E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>Brincando</w:t>
      </w:r>
      <w:proofErr w:type="gramEnd"/>
      <w:r w:rsidR="00622DA0" w:rsidRPr="008C423E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 xml:space="preserve">...’ </w:t>
      </w:r>
      <w:r w:rsidR="00C464E1">
        <w:rPr>
          <w:rFonts w:asciiTheme="minorHAnsi" w:eastAsia="Times New Roman" w:hAnsiTheme="minorHAnsi"/>
          <w:b w:val="0"/>
          <w:bCs w:val="0"/>
          <w:color w:val="111111"/>
          <w:sz w:val="24"/>
          <w:szCs w:val="24"/>
          <w:lang w:val="pt-BR"/>
        </w:rPr>
        <w:t>de Hélder Garmes e Paulo Melo e Castro</w:t>
      </w:r>
    </w:p>
    <w:p w14:paraId="7D15FEDB" w14:textId="08729849" w:rsidR="00D30384" w:rsidRPr="008C423E" w:rsidRDefault="00D30384" w:rsidP="008C423E">
      <w:pPr>
        <w:jc w:val="both"/>
        <w:rPr>
          <w:lang w:val="pt-BR"/>
        </w:rPr>
      </w:pPr>
    </w:p>
    <w:p w14:paraId="23E73865" w14:textId="77777777" w:rsidR="00133742" w:rsidRPr="008C423E" w:rsidRDefault="00133742" w:rsidP="008C423E">
      <w:pPr>
        <w:pStyle w:val="BodyText3"/>
        <w:spacing w:after="0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</w:p>
    <w:p w14:paraId="52211088" w14:textId="661C81BF" w:rsidR="00D30384" w:rsidRPr="008C423E" w:rsidRDefault="00D30384" w:rsidP="008C423E">
      <w:pPr>
        <w:pStyle w:val="BodyText3"/>
        <w:spacing w:after="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8C423E">
        <w:rPr>
          <w:rFonts w:asciiTheme="minorHAnsi" w:hAnsiTheme="minorHAnsi"/>
          <w:b/>
          <w:sz w:val="24"/>
          <w:szCs w:val="24"/>
        </w:rPr>
        <w:t>NOVEMBRO</w:t>
      </w:r>
    </w:p>
    <w:p w14:paraId="59841CC7" w14:textId="201C627D" w:rsidR="00D30384" w:rsidRPr="008C423E" w:rsidRDefault="00FB35BC" w:rsidP="008C423E">
      <w:pPr>
        <w:pStyle w:val="p1"/>
        <w:jc w:val="both"/>
        <w:rPr>
          <w:rFonts w:asciiTheme="minorHAnsi" w:hAnsiTheme="minorHAnsi"/>
          <w:sz w:val="24"/>
          <w:szCs w:val="24"/>
          <w:lang w:val="pt-BR"/>
        </w:rPr>
      </w:pPr>
      <w:r w:rsidRPr="008C423E">
        <w:rPr>
          <w:rFonts w:asciiTheme="minorHAnsi" w:hAnsiTheme="minorHAnsi"/>
          <w:b/>
          <w:sz w:val="24"/>
          <w:szCs w:val="24"/>
          <w:lang w:val="pt-BR"/>
        </w:rPr>
        <w:t>07</w:t>
      </w:r>
      <w:r w:rsidR="00D30384" w:rsidRPr="008C423E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D30384" w:rsidRPr="008C423E">
        <w:rPr>
          <w:rFonts w:asciiTheme="minorHAnsi" w:hAnsiTheme="minorHAnsi"/>
          <w:sz w:val="24"/>
          <w:szCs w:val="24"/>
          <w:lang w:val="pt-BR"/>
        </w:rPr>
        <w:t xml:space="preserve">– </w:t>
      </w:r>
      <w:r w:rsidR="00312922" w:rsidRPr="008C423E">
        <w:rPr>
          <w:rFonts w:asciiTheme="minorHAnsi" w:hAnsiTheme="minorHAnsi"/>
          <w:sz w:val="24"/>
          <w:szCs w:val="24"/>
          <w:lang w:val="pt-BR"/>
        </w:rPr>
        <w:t xml:space="preserve">Ler os dois primeiros capítulos da novela </w:t>
      </w:r>
      <w:r w:rsidR="00A8605B" w:rsidRPr="008C423E">
        <w:rPr>
          <w:rFonts w:asciiTheme="minorHAnsi" w:hAnsiTheme="minorHAnsi"/>
          <w:i/>
          <w:sz w:val="24"/>
          <w:szCs w:val="24"/>
          <w:lang w:val="pt-BR"/>
        </w:rPr>
        <w:t>A goiabeira do quintal</w:t>
      </w:r>
      <w:r w:rsidR="00A8605B" w:rsidRPr="008C423E">
        <w:rPr>
          <w:rFonts w:asciiTheme="minorHAnsi" w:hAnsiTheme="minorHAnsi"/>
          <w:sz w:val="24"/>
          <w:szCs w:val="24"/>
          <w:lang w:val="pt-BR"/>
        </w:rPr>
        <w:t xml:space="preserve"> (1</w:t>
      </w:r>
      <w:r w:rsidR="00312922" w:rsidRPr="008C423E">
        <w:rPr>
          <w:rFonts w:asciiTheme="minorHAnsi" w:hAnsiTheme="minorHAnsi"/>
          <w:sz w:val="24"/>
          <w:szCs w:val="24"/>
          <w:lang w:val="pt-BR"/>
        </w:rPr>
        <w:t>960), de</w:t>
      </w:r>
      <w:r w:rsidR="00557C2E" w:rsidRPr="008C423E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312922" w:rsidRPr="008C423E">
        <w:rPr>
          <w:rFonts w:asciiTheme="minorHAnsi" w:hAnsiTheme="minorHAnsi"/>
          <w:sz w:val="24"/>
          <w:szCs w:val="24"/>
          <w:lang w:val="pt-BR"/>
        </w:rPr>
        <w:t>Belmira</w:t>
      </w:r>
      <w:proofErr w:type="spellEnd"/>
      <w:r w:rsidR="00312922" w:rsidRPr="008C423E">
        <w:rPr>
          <w:rFonts w:asciiTheme="minorHAnsi" w:hAnsiTheme="minorHAnsi"/>
          <w:sz w:val="24"/>
          <w:szCs w:val="24"/>
          <w:lang w:val="pt-BR"/>
        </w:rPr>
        <w:t xml:space="preserve"> de Baptista Almeida</w:t>
      </w:r>
    </w:p>
    <w:p w14:paraId="062CAEC2" w14:textId="6FD832FE" w:rsidR="00D30384" w:rsidRPr="008C423E" w:rsidRDefault="00FB35BC" w:rsidP="008C423E">
      <w:pPr>
        <w:pStyle w:val="BodyText3"/>
        <w:spacing w:after="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8C423E">
        <w:rPr>
          <w:rFonts w:asciiTheme="minorHAnsi" w:hAnsiTheme="minorHAnsi"/>
          <w:b/>
          <w:sz w:val="24"/>
          <w:szCs w:val="24"/>
        </w:rPr>
        <w:t>14</w:t>
      </w:r>
      <w:r w:rsidR="00D30384" w:rsidRPr="008C423E">
        <w:rPr>
          <w:rFonts w:asciiTheme="minorHAnsi" w:hAnsiTheme="minorHAnsi"/>
          <w:b/>
          <w:sz w:val="24"/>
          <w:szCs w:val="24"/>
        </w:rPr>
        <w:t xml:space="preserve"> – </w:t>
      </w:r>
      <w:r w:rsidRPr="008C423E">
        <w:rPr>
          <w:rFonts w:asciiTheme="minorHAnsi" w:hAnsiTheme="minorHAnsi"/>
          <w:b/>
          <w:sz w:val="24"/>
          <w:szCs w:val="24"/>
        </w:rPr>
        <w:t>PROVA</w:t>
      </w:r>
    </w:p>
    <w:p w14:paraId="540CB27A" w14:textId="5A124738" w:rsidR="00D30384" w:rsidRPr="008C423E" w:rsidRDefault="00FB35BC" w:rsidP="008C423E">
      <w:pPr>
        <w:widowControl w:val="0"/>
        <w:ind w:left="709" w:hanging="709"/>
        <w:jc w:val="both"/>
        <w:rPr>
          <w:lang w:val="pt-BR"/>
        </w:rPr>
      </w:pPr>
      <w:r w:rsidRPr="008C423E">
        <w:rPr>
          <w:b/>
          <w:lang w:val="pt-BR"/>
        </w:rPr>
        <w:t>21</w:t>
      </w:r>
      <w:r w:rsidR="00D30384" w:rsidRPr="008C423E">
        <w:rPr>
          <w:b/>
          <w:lang w:val="pt-BR"/>
        </w:rPr>
        <w:t xml:space="preserve"> – </w:t>
      </w:r>
      <w:r w:rsidRPr="008C423E">
        <w:rPr>
          <w:b/>
          <w:lang w:val="pt-BR"/>
        </w:rPr>
        <w:t>ENTREGA DAS NOTAS</w:t>
      </w:r>
    </w:p>
    <w:p w14:paraId="25EC6D69" w14:textId="42D03AA5" w:rsidR="00D30384" w:rsidRPr="008C423E" w:rsidRDefault="00FB35BC" w:rsidP="008C423E">
      <w:pPr>
        <w:jc w:val="both"/>
        <w:rPr>
          <w:b/>
          <w:lang w:val="pt-BR"/>
        </w:rPr>
      </w:pPr>
      <w:r w:rsidRPr="008C423E">
        <w:rPr>
          <w:b/>
          <w:lang w:val="pt-BR"/>
        </w:rPr>
        <w:t>28</w:t>
      </w:r>
      <w:r w:rsidR="00D30384" w:rsidRPr="008C423E">
        <w:rPr>
          <w:b/>
          <w:lang w:val="pt-BR"/>
        </w:rPr>
        <w:t xml:space="preserve"> – </w:t>
      </w:r>
      <w:r w:rsidRPr="008C423E">
        <w:rPr>
          <w:b/>
          <w:lang w:val="pt-BR"/>
        </w:rPr>
        <w:t>PROVA DE RECUPERAÇÃO</w:t>
      </w:r>
    </w:p>
    <w:p w14:paraId="3F0D37FC" w14:textId="77777777" w:rsidR="00FD6F36" w:rsidRPr="008C423E" w:rsidRDefault="00FD6F36" w:rsidP="008C423E">
      <w:pPr>
        <w:pStyle w:val="p1"/>
        <w:ind w:left="426" w:hanging="426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71568D5" w14:textId="77777777" w:rsidR="00D30384" w:rsidRPr="008C423E" w:rsidRDefault="00D30384" w:rsidP="008C423E">
      <w:pPr>
        <w:jc w:val="both"/>
        <w:rPr>
          <w:lang w:val="pt-BR"/>
        </w:rPr>
      </w:pPr>
    </w:p>
    <w:p w14:paraId="6929E11A" w14:textId="77777777" w:rsidR="00D30384" w:rsidRPr="008C423E" w:rsidRDefault="00D30384" w:rsidP="008C423E">
      <w:pPr>
        <w:jc w:val="both"/>
        <w:rPr>
          <w:lang w:val="pt-BR"/>
        </w:rPr>
      </w:pPr>
    </w:p>
    <w:sectPr w:rsidR="00D30384" w:rsidRPr="008C423E" w:rsidSect="00AA18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2"/>
    <w:rsid w:val="000175B6"/>
    <w:rsid w:val="000247AF"/>
    <w:rsid w:val="000A7C51"/>
    <w:rsid w:val="000E1B23"/>
    <w:rsid w:val="00107399"/>
    <w:rsid w:val="00133742"/>
    <w:rsid w:val="00146A9D"/>
    <w:rsid w:val="00151452"/>
    <w:rsid w:val="00154799"/>
    <w:rsid w:val="0016167C"/>
    <w:rsid w:val="001740FA"/>
    <w:rsid w:val="00174CF8"/>
    <w:rsid w:val="001842B8"/>
    <w:rsid w:val="001E7890"/>
    <w:rsid w:val="00222845"/>
    <w:rsid w:val="00235FB5"/>
    <w:rsid w:val="00243FD2"/>
    <w:rsid w:val="00255802"/>
    <w:rsid w:val="0029593A"/>
    <w:rsid w:val="002A145B"/>
    <w:rsid w:val="002E7B58"/>
    <w:rsid w:val="002F4349"/>
    <w:rsid w:val="00303A9B"/>
    <w:rsid w:val="00310488"/>
    <w:rsid w:val="00312922"/>
    <w:rsid w:val="003A2666"/>
    <w:rsid w:val="003A40DD"/>
    <w:rsid w:val="003B7B0A"/>
    <w:rsid w:val="003C4826"/>
    <w:rsid w:val="003D5D09"/>
    <w:rsid w:val="003F2D3F"/>
    <w:rsid w:val="00400380"/>
    <w:rsid w:val="00423AC4"/>
    <w:rsid w:val="00427AA2"/>
    <w:rsid w:val="00474A38"/>
    <w:rsid w:val="004A207D"/>
    <w:rsid w:val="004F2E0B"/>
    <w:rsid w:val="004F35BC"/>
    <w:rsid w:val="00514296"/>
    <w:rsid w:val="00515E03"/>
    <w:rsid w:val="00542E55"/>
    <w:rsid w:val="0055312C"/>
    <w:rsid w:val="00557C2E"/>
    <w:rsid w:val="00557D49"/>
    <w:rsid w:val="005745C3"/>
    <w:rsid w:val="0059330F"/>
    <w:rsid w:val="005E7F99"/>
    <w:rsid w:val="006205FA"/>
    <w:rsid w:val="00622DA0"/>
    <w:rsid w:val="006372CF"/>
    <w:rsid w:val="00642FAA"/>
    <w:rsid w:val="00665834"/>
    <w:rsid w:val="0069742A"/>
    <w:rsid w:val="006D4650"/>
    <w:rsid w:val="006E3131"/>
    <w:rsid w:val="006E3162"/>
    <w:rsid w:val="006E4EA0"/>
    <w:rsid w:val="006F65F2"/>
    <w:rsid w:val="007A750E"/>
    <w:rsid w:val="007A7AFB"/>
    <w:rsid w:val="007C6B34"/>
    <w:rsid w:val="007D0BE0"/>
    <w:rsid w:val="007E3F55"/>
    <w:rsid w:val="008409D2"/>
    <w:rsid w:val="00855034"/>
    <w:rsid w:val="00855AAA"/>
    <w:rsid w:val="00872E83"/>
    <w:rsid w:val="008C423E"/>
    <w:rsid w:val="009428B6"/>
    <w:rsid w:val="0095258C"/>
    <w:rsid w:val="00954136"/>
    <w:rsid w:val="009A5F71"/>
    <w:rsid w:val="009E26A4"/>
    <w:rsid w:val="00A34670"/>
    <w:rsid w:val="00A60104"/>
    <w:rsid w:val="00A65BAA"/>
    <w:rsid w:val="00A730FD"/>
    <w:rsid w:val="00A7655F"/>
    <w:rsid w:val="00A76A01"/>
    <w:rsid w:val="00A8605B"/>
    <w:rsid w:val="00A90579"/>
    <w:rsid w:val="00AA180D"/>
    <w:rsid w:val="00AD10B3"/>
    <w:rsid w:val="00AE68FE"/>
    <w:rsid w:val="00B02593"/>
    <w:rsid w:val="00B605F7"/>
    <w:rsid w:val="00B7238B"/>
    <w:rsid w:val="00BA3168"/>
    <w:rsid w:val="00BC6A49"/>
    <w:rsid w:val="00BE1157"/>
    <w:rsid w:val="00C1150D"/>
    <w:rsid w:val="00C13E98"/>
    <w:rsid w:val="00C3110D"/>
    <w:rsid w:val="00C3672D"/>
    <w:rsid w:val="00C464E1"/>
    <w:rsid w:val="00CA6547"/>
    <w:rsid w:val="00CF3073"/>
    <w:rsid w:val="00CF3175"/>
    <w:rsid w:val="00D06032"/>
    <w:rsid w:val="00D30384"/>
    <w:rsid w:val="00D64292"/>
    <w:rsid w:val="00D764C2"/>
    <w:rsid w:val="00DC3959"/>
    <w:rsid w:val="00DE62B7"/>
    <w:rsid w:val="00DF6337"/>
    <w:rsid w:val="00DF7D85"/>
    <w:rsid w:val="00E231CA"/>
    <w:rsid w:val="00E30513"/>
    <w:rsid w:val="00E319FC"/>
    <w:rsid w:val="00E43186"/>
    <w:rsid w:val="00E857BC"/>
    <w:rsid w:val="00EA24E2"/>
    <w:rsid w:val="00ED08D9"/>
    <w:rsid w:val="00F5717A"/>
    <w:rsid w:val="00FB35BC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64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2DA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30384"/>
    <w:pPr>
      <w:spacing w:after="120"/>
    </w:pPr>
    <w:rPr>
      <w:rFonts w:ascii="Cambria" w:eastAsia="Cambria" w:hAnsi="Cambria" w:cs="Times New Roman"/>
      <w:sz w:val="16"/>
      <w:szCs w:val="16"/>
      <w:lang w:val="pt-BR"/>
    </w:rPr>
  </w:style>
  <w:style w:type="character" w:customStyle="1" w:styleId="BodyText3Char">
    <w:name w:val="Body Text 3 Char"/>
    <w:basedOn w:val="DefaultParagraphFont"/>
    <w:link w:val="BodyText3"/>
    <w:uiPriority w:val="99"/>
    <w:rsid w:val="00D30384"/>
    <w:rPr>
      <w:rFonts w:ascii="Cambria" w:eastAsia="Cambria" w:hAnsi="Cambria" w:cs="Times New Roman"/>
      <w:sz w:val="16"/>
      <w:szCs w:val="16"/>
      <w:lang w:val="pt-BR"/>
    </w:rPr>
  </w:style>
  <w:style w:type="paragraph" w:customStyle="1" w:styleId="bibliografia">
    <w:name w:val="bibliografia"/>
    <w:basedOn w:val="Normal"/>
    <w:link w:val="bibliografiaChar"/>
    <w:autoRedefine/>
    <w:qFormat/>
    <w:rsid w:val="00D30384"/>
    <w:pPr>
      <w:ind w:left="425" w:hanging="425"/>
      <w:jc w:val="both"/>
    </w:pPr>
    <w:rPr>
      <w:rFonts w:ascii="Calibri" w:eastAsia="Calibri" w:hAnsi="Calibri" w:cs="Times New Roman"/>
      <w:sz w:val="22"/>
    </w:rPr>
  </w:style>
  <w:style w:type="character" w:customStyle="1" w:styleId="bibliografiaChar">
    <w:name w:val="bibliografia Char"/>
    <w:link w:val="bibliografia"/>
    <w:rsid w:val="00D3038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D30384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val="pt-BR" w:bidi="en-US"/>
    </w:rPr>
  </w:style>
  <w:style w:type="paragraph" w:customStyle="1" w:styleId="p1">
    <w:name w:val="p1"/>
    <w:basedOn w:val="Normal"/>
    <w:rsid w:val="00D30384"/>
    <w:rPr>
      <w:rFonts w:ascii="Helvetica" w:eastAsia="Cambria" w:hAnsi="Helvetica" w:cs="Times New Roman"/>
      <w:sz w:val="17"/>
      <w:szCs w:val="17"/>
    </w:rPr>
  </w:style>
  <w:style w:type="paragraph" w:customStyle="1" w:styleId="p2">
    <w:name w:val="p2"/>
    <w:basedOn w:val="Normal"/>
    <w:rsid w:val="003F2D3F"/>
    <w:rPr>
      <w:rFonts w:ascii="Calibri" w:hAnsi="Calibri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3F2D3F"/>
  </w:style>
  <w:style w:type="character" w:customStyle="1" w:styleId="s1">
    <w:name w:val="s1"/>
    <w:basedOn w:val="DefaultParagraphFont"/>
    <w:rsid w:val="00BC6A49"/>
    <w:rPr>
      <w:rFonts w:ascii="Calibri" w:hAnsi="Calibri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22DA0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24 – Contos “Mary de Vitogém” e “Shivá, brincando...” do livro Vivências partilh</vt:lpstr>
    </vt:vector>
  </TitlesOfParts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Garmes</dc:creator>
  <cp:keywords/>
  <dc:description/>
  <cp:lastModifiedBy>Helder Garmes</cp:lastModifiedBy>
  <cp:revision>2</cp:revision>
  <dcterms:created xsi:type="dcterms:W3CDTF">2019-08-11T12:46:00Z</dcterms:created>
  <dcterms:modified xsi:type="dcterms:W3CDTF">2019-08-11T12:46:00Z</dcterms:modified>
</cp:coreProperties>
</file>