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efefe"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UNIVERSIDADE DE SÃO PAULO</w:t>
      </w:r>
    </w:p>
    <w:p w:rsidR="00000000" w:rsidDel="00000000" w:rsidP="00000000" w:rsidRDefault="00000000" w:rsidRPr="00000000" w14:paraId="00000002">
      <w:pPr>
        <w:shd w:fill="fefefe" w:val="clear"/>
        <w:spacing w:after="1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FACULDADE DE EDUCAÇÃO</w:t>
      </w:r>
    </w:p>
    <w:p w:rsidR="00000000" w:rsidDel="00000000" w:rsidP="00000000" w:rsidRDefault="00000000" w:rsidRPr="00000000" w14:paraId="00000003">
      <w:pPr>
        <w:shd w:fill="fefefe" w:val="clear"/>
        <w:spacing w:after="1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hd w:fill="fefefe" w:val="clear"/>
        <w:spacing w:after="1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hd w:fill="fefefe" w:val="clear"/>
        <w:spacing w:after="1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Fernanda Basualdo Nº USP 9392193</w:t>
      </w:r>
    </w:p>
    <w:p w:rsidR="00000000" w:rsidDel="00000000" w:rsidP="00000000" w:rsidRDefault="00000000" w:rsidRPr="00000000" w14:paraId="0000000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Heloisa Oguisso de Paula Freire Nº USP 9791879</w:t>
      </w:r>
    </w:p>
    <w:p w:rsidR="00000000" w:rsidDel="00000000" w:rsidP="00000000" w:rsidRDefault="00000000" w:rsidRPr="00000000" w14:paraId="00000008">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Kleber Camargo Nº USP 8533295 </w:t>
      </w:r>
    </w:p>
    <w:p w:rsidR="00000000" w:rsidDel="00000000" w:rsidP="00000000" w:rsidRDefault="00000000" w:rsidRPr="00000000" w14:paraId="00000009">
      <w:pPr>
        <w:widowControl w:val="0"/>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z w:val="24"/>
          <w:szCs w:val="24"/>
          <w:rtl w:val="0"/>
        </w:rPr>
        <w:t xml:space="preserve">Lucas Oliveira Nº USP 9794611</w:t>
      </w:r>
      <w:r w:rsidDel="00000000" w:rsidR="00000000" w:rsidRPr="00000000">
        <w:rPr>
          <w:rtl w:val="0"/>
        </w:rPr>
      </w:r>
    </w:p>
    <w:p w:rsidR="00000000" w:rsidDel="00000000" w:rsidP="00000000" w:rsidRDefault="00000000" w:rsidRPr="00000000" w14:paraId="0000000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Thayna Cruz Oliveira Nº USP 9763411</w:t>
      </w:r>
    </w:p>
    <w:p w:rsidR="00000000" w:rsidDel="00000000" w:rsidP="00000000" w:rsidRDefault="00000000" w:rsidRPr="00000000" w14:paraId="0000000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Victória Maria Lopes Corrêa Nº USP 9791632</w:t>
      </w:r>
    </w:p>
    <w:p w:rsidR="00000000" w:rsidDel="00000000" w:rsidP="00000000" w:rsidRDefault="00000000" w:rsidRPr="00000000" w14:paraId="0000000C">
      <w:pPr>
        <w:shd w:fill="fefefe" w:val="clear"/>
        <w:spacing w:after="1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hd w:fill="fefefe" w:val="clear"/>
        <w:spacing w:after="1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hd w:fill="fefefe" w:val="clear"/>
        <w:spacing w:after="1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hd w:fill="fefefe" w:val="clear"/>
        <w:spacing w:after="1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hd w:fill="fefefe" w:val="clear"/>
        <w:spacing w:after="1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hd w:fill="fefefe" w:val="clear"/>
        <w:spacing w:after="160" w:lineRule="auto"/>
        <w:jc w:val="center"/>
        <w:rPr>
          <w:rFonts w:ascii="Times New Roman" w:cs="Times New Roman" w:eastAsia="Times New Roman" w:hAnsi="Times New Roman"/>
          <w:b w:val="1"/>
          <w:color w:val="393939"/>
          <w:sz w:val="28"/>
          <w:szCs w:val="28"/>
        </w:rPr>
      </w:pPr>
      <w:r w:rsidDel="00000000" w:rsidR="00000000" w:rsidRPr="00000000">
        <w:rPr>
          <w:rFonts w:ascii="Times New Roman" w:cs="Times New Roman" w:eastAsia="Times New Roman" w:hAnsi="Times New Roman"/>
          <w:b w:val="1"/>
          <w:sz w:val="28"/>
          <w:szCs w:val="28"/>
          <w:rtl w:val="0"/>
        </w:rPr>
        <w:t xml:space="preserve">OPERAÇÃO DE ADIÇÃO</w:t>
      </w:r>
      <w:r w:rsidDel="00000000" w:rsidR="00000000" w:rsidRPr="00000000">
        <w:rPr>
          <w:rtl w:val="0"/>
        </w:rPr>
      </w:r>
    </w:p>
    <w:p w:rsidR="00000000" w:rsidDel="00000000" w:rsidP="00000000" w:rsidRDefault="00000000" w:rsidRPr="00000000" w14:paraId="00000012">
      <w:pPr>
        <w:shd w:fill="fefefe" w:val="clear"/>
        <w:spacing w:after="160" w:lineRule="auto"/>
        <w:jc w:val="cente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13">
      <w:pPr>
        <w:shd w:fill="fefefe" w:val="clear"/>
        <w:spacing w:after="160" w:lineRule="auto"/>
        <w:jc w:val="cente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14">
      <w:pPr>
        <w:shd w:fill="fefefe" w:val="clear"/>
        <w:spacing w:after="160" w:lineRule="auto"/>
        <w:jc w:val="cente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15">
      <w:pPr>
        <w:shd w:fill="fefefe" w:val="clear"/>
        <w:spacing w:after="1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color w:val="393939"/>
          <w:sz w:val="24"/>
          <w:szCs w:val="24"/>
        </w:rPr>
      </w:pPr>
      <w:r w:rsidDel="00000000" w:rsidR="00000000" w:rsidRPr="00000000">
        <w:rPr>
          <w:rFonts w:ascii="Times New Roman" w:cs="Times New Roman" w:eastAsia="Times New Roman" w:hAnsi="Times New Roman"/>
          <w:color w:val="393939"/>
          <w:sz w:val="24"/>
          <w:szCs w:val="24"/>
          <w:rtl w:val="0"/>
        </w:rPr>
        <w:t xml:space="preserve">São Paulo</w:t>
      </w:r>
    </w:p>
    <w:p w:rsidR="00000000" w:rsidDel="00000000" w:rsidP="00000000" w:rsidRDefault="00000000" w:rsidRPr="00000000" w14:paraId="00000022">
      <w:pPr>
        <w:shd w:fill="fefefe"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93939"/>
          <w:sz w:val="24"/>
          <w:szCs w:val="24"/>
          <w:rtl w:val="0"/>
        </w:rPr>
        <w:t xml:space="preserve">2019</w:t>
      </w:r>
      <w:r w:rsidDel="00000000" w:rsidR="00000000" w:rsidRPr="00000000">
        <w:br w:type="page"/>
      </w:r>
      <w:r w:rsidDel="00000000" w:rsidR="00000000" w:rsidRPr="00000000">
        <w:rPr>
          <w:rtl w:val="0"/>
        </w:rPr>
      </w:r>
    </w:p>
    <w:p w:rsidR="00000000" w:rsidDel="00000000" w:rsidP="00000000" w:rsidRDefault="00000000" w:rsidRPr="00000000" w14:paraId="00000023">
      <w:pPr>
        <w:shd w:fill="fefefe"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UNIVERSIDADE DE SÃO PAULO</w:t>
      </w:r>
    </w:p>
    <w:p w:rsidR="00000000" w:rsidDel="00000000" w:rsidP="00000000" w:rsidRDefault="00000000" w:rsidRPr="00000000" w14:paraId="00000024">
      <w:pPr>
        <w:shd w:fill="fefefe" w:val="clear"/>
        <w:spacing w:after="1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FACULDADE DE EDUCAÇÃO</w:t>
      </w:r>
    </w:p>
    <w:p w:rsidR="00000000" w:rsidDel="00000000" w:rsidP="00000000" w:rsidRDefault="00000000" w:rsidRPr="00000000" w14:paraId="00000025">
      <w:pPr>
        <w:shd w:fill="fefefe" w:val="clear"/>
        <w:spacing w:after="1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hd w:fill="fefefe" w:val="clear"/>
        <w:spacing w:after="1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hd w:fill="fefefe" w:val="clear"/>
        <w:spacing w:after="1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Fernanda Basualdo Nº USP 9392193</w:t>
      </w:r>
    </w:p>
    <w:p w:rsidR="00000000" w:rsidDel="00000000" w:rsidP="00000000" w:rsidRDefault="00000000" w:rsidRPr="00000000" w14:paraId="0000002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Heloisa Oguisso de Paula Freire Nº USP 9791879</w:t>
      </w:r>
    </w:p>
    <w:p w:rsidR="00000000" w:rsidDel="00000000" w:rsidP="00000000" w:rsidRDefault="00000000" w:rsidRPr="00000000" w14:paraId="0000002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Kleber Camargo Nº USP 8533295 </w:t>
      </w:r>
    </w:p>
    <w:p w:rsidR="00000000" w:rsidDel="00000000" w:rsidP="00000000" w:rsidRDefault="00000000" w:rsidRPr="00000000" w14:paraId="0000002B">
      <w:pPr>
        <w:widowControl w:val="0"/>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z w:val="24"/>
          <w:szCs w:val="24"/>
          <w:rtl w:val="0"/>
        </w:rPr>
        <w:t xml:space="preserve">Lucas Oliveira Nº USP 9794611</w:t>
      </w:r>
      <w:r w:rsidDel="00000000" w:rsidR="00000000" w:rsidRPr="00000000">
        <w:rPr>
          <w:rtl w:val="0"/>
        </w:rPr>
      </w:r>
    </w:p>
    <w:p w:rsidR="00000000" w:rsidDel="00000000" w:rsidP="00000000" w:rsidRDefault="00000000" w:rsidRPr="00000000" w14:paraId="0000002C">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Thayna Oliveira Nº USP 9763411</w:t>
      </w:r>
    </w:p>
    <w:p w:rsidR="00000000" w:rsidDel="00000000" w:rsidP="00000000" w:rsidRDefault="00000000" w:rsidRPr="00000000" w14:paraId="0000002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Victória Maria Lopes Corrêa Nº USP 9791632</w:t>
      </w:r>
    </w:p>
    <w:p w:rsidR="00000000" w:rsidDel="00000000" w:rsidP="00000000" w:rsidRDefault="00000000" w:rsidRPr="00000000" w14:paraId="0000002E">
      <w:pPr>
        <w:shd w:fill="fefefe" w:val="clear"/>
        <w:spacing w:after="1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hd w:fill="fefefe" w:val="clear"/>
        <w:spacing w:after="1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hd w:fill="fefefe" w:val="clear"/>
        <w:spacing w:after="1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hd w:fill="fefefe" w:val="clear"/>
        <w:spacing w:after="1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hd w:fill="fefefe" w:val="clear"/>
        <w:spacing w:after="1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hd w:fill="fefefe" w:val="clear"/>
        <w:spacing w:after="160" w:lineRule="auto"/>
        <w:jc w:val="center"/>
        <w:rPr>
          <w:rFonts w:ascii="Times New Roman" w:cs="Times New Roman" w:eastAsia="Times New Roman" w:hAnsi="Times New Roman"/>
          <w:b w:val="1"/>
          <w:color w:val="393939"/>
          <w:sz w:val="28"/>
          <w:szCs w:val="28"/>
        </w:rPr>
      </w:pPr>
      <w:r w:rsidDel="00000000" w:rsidR="00000000" w:rsidRPr="00000000">
        <w:rPr>
          <w:rFonts w:ascii="Times New Roman" w:cs="Times New Roman" w:eastAsia="Times New Roman" w:hAnsi="Times New Roman"/>
          <w:b w:val="1"/>
          <w:sz w:val="28"/>
          <w:szCs w:val="28"/>
          <w:rtl w:val="0"/>
        </w:rPr>
        <w:t xml:space="preserve">OPERAÇÃO DE ADIÇÃO</w:t>
      </w:r>
      <w:r w:rsidDel="00000000" w:rsidR="00000000" w:rsidRPr="00000000">
        <w:rPr>
          <w:rtl w:val="0"/>
        </w:rPr>
      </w:r>
    </w:p>
    <w:p w:rsidR="00000000" w:rsidDel="00000000" w:rsidP="00000000" w:rsidRDefault="00000000" w:rsidRPr="00000000" w14:paraId="00000034">
      <w:pPr>
        <w:shd w:fill="fefefe" w:val="clear"/>
        <w:spacing w:after="160" w:lineRule="auto"/>
        <w:jc w:val="cente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35">
      <w:pPr>
        <w:shd w:fill="fefefe" w:val="clear"/>
        <w:spacing w:after="160" w:lineRule="auto"/>
        <w:jc w:val="cente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36">
      <w:pPr>
        <w:shd w:fill="fefefe" w:val="clear"/>
        <w:spacing w:after="160" w:lineRule="auto"/>
        <w:jc w:val="cente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37">
      <w:pPr>
        <w:shd w:fill="fefefe" w:val="clear"/>
        <w:spacing w:after="1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hd w:fill="fefefe" w:val="clear"/>
        <w:spacing w:after="160" w:lineRule="auto"/>
        <w:ind w:left="43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Trabalho final apresentado à disciplina EDM0615 - Educação Matemática, ministrada pela professora doutora Raquel Milani.</w:t>
      </w:r>
    </w:p>
    <w:p w:rsidR="00000000" w:rsidDel="00000000" w:rsidP="00000000" w:rsidRDefault="00000000" w:rsidRPr="00000000" w14:paraId="00000039">
      <w:pP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43">
      <w:pPr>
        <w:jc w:val="center"/>
        <w:rPr>
          <w:rFonts w:ascii="Times New Roman" w:cs="Times New Roman" w:eastAsia="Times New Roman" w:hAnsi="Times New Roman"/>
          <w:color w:val="393939"/>
          <w:sz w:val="24"/>
          <w:szCs w:val="24"/>
        </w:rPr>
      </w:pPr>
      <w:r w:rsidDel="00000000" w:rsidR="00000000" w:rsidRPr="00000000">
        <w:rPr>
          <w:rFonts w:ascii="Times New Roman" w:cs="Times New Roman" w:eastAsia="Times New Roman" w:hAnsi="Times New Roman"/>
          <w:color w:val="393939"/>
          <w:sz w:val="24"/>
          <w:szCs w:val="24"/>
          <w:rtl w:val="0"/>
        </w:rPr>
        <w:t xml:space="preserve">São Paulo</w:t>
      </w:r>
    </w:p>
    <w:p w:rsidR="00000000" w:rsidDel="00000000" w:rsidP="00000000" w:rsidRDefault="00000000" w:rsidRPr="00000000" w14:paraId="00000044">
      <w:pPr>
        <w:jc w:val="center"/>
        <w:rPr>
          <w:rFonts w:ascii="Times New Roman" w:cs="Times New Roman" w:eastAsia="Times New Roman" w:hAnsi="Times New Roman"/>
          <w:color w:val="393939"/>
          <w:sz w:val="24"/>
          <w:szCs w:val="24"/>
        </w:rPr>
      </w:pPr>
      <w:r w:rsidDel="00000000" w:rsidR="00000000" w:rsidRPr="00000000">
        <w:rPr>
          <w:rFonts w:ascii="Times New Roman" w:cs="Times New Roman" w:eastAsia="Times New Roman" w:hAnsi="Times New Roman"/>
          <w:color w:val="393939"/>
          <w:sz w:val="24"/>
          <w:szCs w:val="24"/>
          <w:rtl w:val="0"/>
        </w:rPr>
        <w:t xml:space="preserve">2019</w:t>
      </w:r>
    </w:p>
    <w:p w:rsidR="00000000" w:rsidDel="00000000" w:rsidP="00000000" w:rsidRDefault="00000000" w:rsidRPr="00000000" w14:paraId="00000045">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SUMÁRIO</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9066"/>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TEMÁTICA E OBJETIVOS DE APRENDIZAGEM</w:t>
              <w:tab/>
              <w:t xml:space="preserve">3</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9066"/>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30j0zl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APRESENTAÇÃO DAS ATIVIDADES COM DESCRIÇÃO DO DESENVOLVIMENTO</w:t>
              <w:tab/>
              <w:t xml:space="preserve">5</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9066"/>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AVALIAÇÃO DA REALIZAÇÃO DAS ATIVIDADES E DO TRABALHO COMO UM TODO</w:t>
              <w:tab/>
              <w:t xml:space="preserve">7</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9066"/>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REFERÊNCIAS BIBLIOGRÁFICAS</w:t>
              <w:tab/>
              <w:t xml:space="preserve">8</w:t>
            </w:r>
          </w:hyperlink>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9066"/>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ANEXOS</w:t>
              <w:tab/>
              <w:t xml:space="preserve">9</w:t>
            </w:r>
          </w:hyperlink>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9066"/>
            </w:tabs>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hyperlink w:anchor="_tyjcw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ANEXO I - Regras do jogo</w:t>
              <w:tab/>
              <w:t xml:space="preserve">9</w:t>
            </w:r>
          </w:hyperlink>
          <w:r w:rsidDel="00000000" w:rsidR="00000000" w:rsidRPr="00000000">
            <w:rPr>
              <w:rtl w:val="0"/>
            </w:rPr>
          </w:r>
        </w:p>
        <w:p w:rsidR="00000000" w:rsidDel="00000000" w:rsidP="00000000" w:rsidRDefault="00000000" w:rsidRPr="00000000" w14:paraId="0000004D">
          <w:pPr>
            <w:rPr/>
          </w:pPr>
          <w:r w:rsidDel="00000000" w:rsidR="00000000" w:rsidRPr="00000000">
            <w:rPr>
              <w:rFonts w:ascii="Times New Roman" w:cs="Times New Roman" w:eastAsia="Times New Roman" w:hAnsi="Times New Roman"/>
              <w:rtl w:val="0"/>
            </w:rPr>
            <w:t xml:space="preserve">       </w:t>
          </w:r>
          <w:hyperlink w:anchor="_tyjcwt">
            <w:r w:rsidDel="00000000" w:rsidR="00000000" w:rsidRPr="00000000">
              <w:rPr>
                <w:rFonts w:ascii="Times New Roman" w:cs="Times New Roman" w:eastAsia="Times New Roman" w:hAnsi="Times New Roman"/>
                <w:rtl w:val="0"/>
              </w:rPr>
              <w:t xml:space="preserve">ANEXO II – Tabuleiro................................................................................................................</w:t>
              <w:tab/>
              <w:t xml:space="preserve">...10</w:t>
            </w:r>
          </w:hyperlink>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right" w:pos="9066"/>
            </w:tabs>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hyperlink w:anchor="_3dy6vk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ANEXO III - Cartas</w:t>
              <w:tab/>
              <w:t xml:space="preserve">11</w:t>
            </w:r>
          </w:hyperlink>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right" w:pos="9066"/>
            </w:tabs>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hyperlink w:anchor="_4d34og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ANEXO IV - Cenários do jogo em sala de aula</w:t>
              <w:tab/>
              <w:t xml:space="preserve">13</w:t>
            </w:r>
          </w:hyperlink>
          <w:r w:rsidDel="00000000" w:rsidR="00000000" w:rsidRPr="00000000">
            <w:rPr>
              <w:rtl w:val="0"/>
            </w:rPr>
          </w:r>
        </w:p>
        <w:p w:rsidR="00000000" w:rsidDel="00000000" w:rsidP="00000000" w:rsidRDefault="00000000" w:rsidRPr="00000000" w14:paraId="00000050">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1">
      <w:pPr>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TEMÁTICA E OBJETIVOS DE APRENDIZAGEM</w:t>
      </w: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presente trabalho busca discorrer sobre a operação de adição nos primeiros anos do Ensino Fundamental I, portanto, </w:t>
      </w:r>
      <w:commentRangeStart w:id="0"/>
      <w:r w:rsidDel="00000000" w:rsidR="00000000" w:rsidRPr="00000000">
        <w:rPr>
          <w:rFonts w:ascii="Times New Roman" w:cs="Times New Roman" w:eastAsia="Times New Roman" w:hAnsi="Times New Roman"/>
          <w:sz w:val="24"/>
          <w:szCs w:val="24"/>
          <w:rtl w:val="0"/>
        </w:rPr>
        <w:t xml:space="preserve">achou-se importante</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trabalhar aspectos e conceitos para o melhor entendimento de alunos e alunas.</w:t>
      </w:r>
    </w:p>
    <w:p w:rsidR="00000000" w:rsidDel="00000000" w:rsidP="00000000" w:rsidRDefault="00000000" w:rsidRPr="00000000" w14:paraId="0000005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adição, segundo definição em dicionário, é uma ação de adicionar ou acrescentar alguma coisa; soma; operação que acrescenta quantidades a; acréscimo ou aumento; o que se acrescenta ou se adiciona. Essa definição é um interessante ponto de partida para trabalhar adição, pois quando olhamos para esse tema da Educação Matemática numa perspectiva histórica, encontramos na contagem a origem da adição.</w:t>
      </w:r>
    </w:p>
    <w:p w:rsidR="00000000" w:rsidDel="00000000" w:rsidP="00000000" w:rsidRDefault="00000000" w:rsidRPr="00000000" w14:paraId="0000005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decorrer da história, diversas civilizações buscaram a solução de questões cotidianas que envolviam contagens de maneiras distintas. Entre essas maneiras, cabe destacar que os egípcios e cretenses. Os babilônios e fenícios utilizavam o princípio ternário; já os romanos utilizavam o princípio quinário. Entre outras soluções criadas para quantificar elementos encontramos os objetos religiosos que também ajudavam na contagem.</w:t>
      </w:r>
    </w:p>
    <w:p w:rsidR="00000000" w:rsidDel="00000000" w:rsidP="00000000" w:rsidRDefault="00000000" w:rsidRPr="00000000" w14:paraId="0000005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correspondência 1 a 1 também servia como uma forma de realizar contagem de elementos. Essa prática consistia em atribuir a cada elemento um objeto correspondente, que facilitava a conferência dos objetos.</w:t>
      </w:r>
    </w:p>
    <w:p w:rsidR="00000000" w:rsidDel="00000000" w:rsidP="00000000" w:rsidRDefault="00000000" w:rsidRPr="00000000" w14:paraId="0000005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Outra estratégia utilizada era a prática do entalhe, que é outra forma de correspondência 1 a 1 e consistia em talhar objetos representando a </w:t>
      </w:r>
      <w:commentRangeStart w:id="1"/>
      <w:r w:rsidDel="00000000" w:rsidR="00000000" w:rsidRPr="00000000">
        <w:rPr>
          <w:rFonts w:ascii="Times New Roman" w:cs="Times New Roman" w:eastAsia="Times New Roman" w:hAnsi="Times New Roman"/>
          <w:sz w:val="24"/>
          <w:szCs w:val="24"/>
          <w:rtl w:val="0"/>
        </w:rPr>
        <w:t xml:space="preserve">contagem de animais, por exemplo. </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Ela foi utilizada por pastores que tinham que contar seu rebanho e levá-lo até um lugar seguro, por exemplo, uma caverna. O corpo também foi utilizado para contagem e princípios aritméticos. Essa estratégia relaciona cada parte do corpo a uma quantidade.</w:t>
      </w:r>
    </w:p>
    <w:p w:rsidR="00000000" w:rsidDel="00000000" w:rsidP="00000000" w:rsidRDefault="00000000" w:rsidRPr="00000000" w14:paraId="0000005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Dessa forma, vê-se que a contagem foi fundamental para o desenvolvimento da adição, que consiste em juntar, acrescentar e transformar quantidades. </w:t>
      </w:r>
    </w:p>
    <w:p w:rsidR="00000000" w:rsidDel="00000000" w:rsidP="00000000" w:rsidRDefault="00000000" w:rsidRPr="00000000" w14:paraId="00000059">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Sobre o ensino da adição, SILVA (2015, p.49) mostra a teoria dos campos conceituais de Vergnaud e suas implicações:</w:t>
      </w:r>
      <w:r w:rsidDel="00000000" w:rsidR="00000000" w:rsidRPr="00000000">
        <w:rPr>
          <w:rtl w:val="0"/>
        </w:rPr>
      </w:r>
    </w:p>
    <w:p w:rsidR="00000000" w:rsidDel="00000000" w:rsidP="00000000" w:rsidRDefault="00000000" w:rsidRPr="00000000" w14:paraId="0000005A">
      <w:pPr>
        <w:spacing w:after="200" w:lineRule="auto"/>
        <w:ind w:left="2267"/>
        <w:jc w:val="both"/>
        <w:rPr>
          <w:rFonts w:ascii="Times New Roman" w:cs="Times New Roman" w:eastAsia="Times New Roman" w:hAnsi="Times New Roman"/>
          <w:sz w:val="24"/>
          <w:szCs w:val="24"/>
        </w:rPr>
      </w:pPr>
      <w:commentRangeStart w:id="2"/>
      <w:r w:rsidDel="00000000" w:rsidR="00000000" w:rsidRPr="00000000">
        <w:rPr>
          <w:rFonts w:ascii="Times New Roman" w:cs="Times New Roman" w:eastAsia="Times New Roman" w:hAnsi="Times New Roman"/>
          <w:sz w:val="20"/>
          <w:szCs w:val="20"/>
          <w:rtl w:val="0"/>
        </w:rPr>
        <w:t xml:space="preserve">A Teoria dos Campos Conceituais de Gerárd Vergnaud (1982), citado por Moreira (2002), consiste em ensinar conceitos e relações matemáticas através de resolução de problemas explorando várias noções relacionadas. Para Vergnaud, “o conhecimento está organizado em campos conceituais, cujo domínio, por parte do aprendiz, ocorre ao longo de um largo período de tempo, através de experiência, maturidade e aprendizagem” (MOREIRA, 2002, p.8).</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5B">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Ainda de acordo com SILVA (2015, p.51)</w:t>
      </w:r>
      <w:r w:rsidDel="00000000" w:rsidR="00000000" w:rsidRPr="00000000">
        <w:rPr>
          <w:rtl w:val="0"/>
        </w:rPr>
      </w:r>
    </w:p>
    <w:p w:rsidR="00000000" w:rsidDel="00000000" w:rsidP="00000000" w:rsidRDefault="00000000" w:rsidRPr="00000000" w14:paraId="0000005C">
      <w:pPr>
        <w:ind w:left="22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O campo conceitual aditivo, definido por Vergnaud, define um conjunto de conhecimentos sobre relações ternárias ou situações que podem ser montadas de diferentes maneiras envolvendo quantidades diversas para oferecer problemas variados que permitem a aquisição de novos saberes. A adição e a subtração são consideradas pelos matemáticos como operações da mesma família, pertencem ao campo das estruturas aditivas e, portanto, devem ser trabalhadas j</w:t>
      </w:r>
      <w:commentRangeStart w:id="3"/>
      <w:r w:rsidDel="00000000" w:rsidR="00000000" w:rsidRPr="00000000">
        <w:rPr>
          <w:rFonts w:ascii="Times New Roman" w:cs="Times New Roman" w:eastAsia="Times New Roman" w:hAnsi="Times New Roman"/>
          <w:sz w:val="20"/>
          <w:szCs w:val="20"/>
          <w:rtl w:val="0"/>
        </w:rPr>
        <w:t xml:space="preserve">untas.</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Feita esta parte tratando da tematização do assunto, tínhamos como objetivos mostrar a operação de adição de uma forma que não lembrasse a chamada “conta armada”, a aplicação de conceitos vistos durante a disciplina (tais como cenários para investigação, uso de jogos, tecnologias, </w:t>
      </w:r>
      <w:commentRangeStart w:id="4"/>
      <w:r w:rsidDel="00000000" w:rsidR="00000000" w:rsidRPr="00000000">
        <w:rPr>
          <w:rFonts w:ascii="Times New Roman" w:cs="Times New Roman" w:eastAsia="Times New Roman" w:hAnsi="Times New Roman"/>
          <w:sz w:val="24"/>
          <w:szCs w:val="24"/>
          <w:rtl w:val="0"/>
        </w:rPr>
        <w:t xml:space="preserve">etc.</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 e outros fortemente destacados pela professora (como o “vai um”, “vão dois” </w:t>
      </w:r>
      <w:commentRangeStart w:id="5"/>
      <w:r w:rsidDel="00000000" w:rsidR="00000000" w:rsidRPr="00000000">
        <w:rPr>
          <w:rFonts w:ascii="Times New Roman" w:cs="Times New Roman" w:eastAsia="Times New Roman" w:hAnsi="Times New Roman"/>
          <w:sz w:val="24"/>
          <w:szCs w:val="24"/>
          <w:rtl w:val="0"/>
        </w:rPr>
        <w:t xml:space="preserve">representando a passagem da unidade para a dezena)</w:t>
      </w:r>
      <w:commentRangeEnd w:id="5"/>
      <w:r w:rsidDel="00000000" w:rsidR="00000000" w:rsidRPr="00000000">
        <w:commentReference w:id="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ind w:firstLine="720"/>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3">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APRESENTAÇÃO DAS ATIVIDADES COM DESCRIÇÃO DO DESENVOLVIMENTO</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trabalhar o tema da operação de adição nos anos iniciais do Ensino Fundamental, </w:t>
      </w:r>
      <w:r w:rsidDel="00000000" w:rsidR="00000000" w:rsidRPr="00000000">
        <w:rPr>
          <w:rFonts w:ascii="Times New Roman" w:cs="Times New Roman" w:eastAsia="Times New Roman" w:hAnsi="Times New Roman"/>
          <w:sz w:val="24"/>
          <w:szCs w:val="24"/>
          <w:rtl w:val="0"/>
        </w:rPr>
        <w:t xml:space="preserve">buscamos</w:t>
      </w:r>
      <w:r w:rsidDel="00000000" w:rsidR="00000000" w:rsidRPr="00000000">
        <w:rPr>
          <w:rFonts w:ascii="Times New Roman" w:cs="Times New Roman" w:eastAsia="Times New Roman" w:hAnsi="Times New Roman"/>
          <w:sz w:val="24"/>
          <w:szCs w:val="24"/>
          <w:rtl w:val="0"/>
        </w:rPr>
        <w:t xml:space="preserve"> confeccionar um material que ajudasse a trabalhar a adição com transformação de unidades em dezenas. Esse conceito geralmente é trabalhado utilizando o algoritmo convencional do quadro de ordens e, quando há transformação de unidades em dezenas, é comum também que seja falado para a criança que “vai um”, sem que haja uma preocupação com o entendimento do conceito por trás da transformação de unidades em dezenas pelas crianças.</w:t>
      </w:r>
    </w:p>
    <w:p w:rsidR="00000000" w:rsidDel="00000000" w:rsidP="00000000" w:rsidRDefault="00000000" w:rsidRPr="00000000" w14:paraId="00000066">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Provocados pela professora e pelas aulas da disciplina em que discutimos e utilizamos jogos, começamos o processo de criação de um jogo que pudesse ser </w:t>
      </w:r>
      <w:commentRangeStart w:id="6"/>
      <w:r w:rsidDel="00000000" w:rsidR="00000000" w:rsidRPr="00000000">
        <w:rPr>
          <w:rFonts w:ascii="Times New Roman" w:cs="Times New Roman" w:eastAsia="Times New Roman" w:hAnsi="Times New Roman"/>
          <w:sz w:val="24"/>
          <w:szCs w:val="24"/>
          <w:rtl w:val="0"/>
        </w:rPr>
        <w:t xml:space="preserve">utilizado para trabalhar</w:t>
      </w:r>
      <w:commentRangeEnd w:id="6"/>
      <w:r w:rsidDel="00000000" w:rsidR="00000000" w:rsidRPr="00000000">
        <w:commentReference w:id="6"/>
      </w:r>
      <w:r w:rsidDel="00000000" w:rsidR="00000000" w:rsidRPr="00000000">
        <w:rPr>
          <w:rFonts w:ascii="Times New Roman" w:cs="Times New Roman" w:eastAsia="Times New Roman" w:hAnsi="Times New Roman"/>
          <w:sz w:val="24"/>
          <w:szCs w:val="24"/>
          <w:rtl w:val="0"/>
        </w:rPr>
        <w:t xml:space="preserve"> essa temática. A opção pelo uso do jogo se deu pelo fato de o compreendermos como um facilitador do ensino de matemática, uma vez que os estudantes demonstram maior motivação para realizar operações quando estas estão inseridas em um </w:t>
      </w:r>
      <w:commentRangeStart w:id="7"/>
      <w:r w:rsidDel="00000000" w:rsidR="00000000" w:rsidRPr="00000000">
        <w:rPr>
          <w:rFonts w:ascii="Times New Roman" w:cs="Times New Roman" w:eastAsia="Times New Roman" w:hAnsi="Times New Roman"/>
          <w:sz w:val="24"/>
          <w:szCs w:val="24"/>
          <w:rtl w:val="0"/>
        </w:rPr>
        <w:t xml:space="preserve">contexto mais lúdico.</w:t>
      </w:r>
      <w:commentRangeEnd w:id="7"/>
      <w:r w:rsidDel="00000000" w:rsidR="00000000" w:rsidRPr="00000000">
        <w:commentReference w:id="7"/>
      </w:r>
      <w:r w:rsidDel="00000000" w:rsidR="00000000" w:rsidRPr="00000000">
        <w:rPr>
          <w:rFonts w:ascii="Times New Roman" w:cs="Times New Roman" w:eastAsia="Times New Roman" w:hAnsi="Times New Roman"/>
          <w:sz w:val="24"/>
          <w:szCs w:val="24"/>
          <w:rtl w:val="0"/>
        </w:rPr>
        <w:t xml:space="preserve"> Também, pelo fato de o jogo ser um material concreto e manipulável pelos estudantes, se bem monitorado, faz com que o processo de aprendizagem tenha uma maior participação do aluno, na medida em que ele age sobre o material e não apenas reproduz. Neste momento, não visamos o material como o fim, mas </w:t>
      </w:r>
      <w:commentRangeStart w:id="8"/>
      <w:r w:rsidDel="00000000" w:rsidR="00000000" w:rsidRPr="00000000">
        <w:rPr>
          <w:rFonts w:ascii="Times New Roman" w:cs="Times New Roman" w:eastAsia="Times New Roman" w:hAnsi="Times New Roman"/>
          <w:sz w:val="24"/>
          <w:szCs w:val="24"/>
          <w:rtl w:val="0"/>
        </w:rPr>
        <w:t xml:space="preserve">o meio.</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67">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Além disso, entendemos o jogo como uma maneira de trabalhar aspectos sociais e emocionais dos estudantes. Nesse sentido, buscamos criar um jogo cooperativo, eliminando conflitos causados pela competição, e estimulando o raciocínio dos estudantes para elaborar estratégias a fim de atingir o objetivo de cruzar a </w:t>
      </w:r>
      <w:commentRangeStart w:id="9"/>
      <w:r w:rsidDel="00000000" w:rsidR="00000000" w:rsidRPr="00000000">
        <w:rPr>
          <w:rFonts w:ascii="Times New Roman" w:cs="Times New Roman" w:eastAsia="Times New Roman" w:hAnsi="Times New Roman"/>
          <w:sz w:val="24"/>
          <w:szCs w:val="24"/>
          <w:rtl w:val="0"/>
        </w:rPr>
        <w:t xml:space="preserve">linha de chegada juntos. </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68">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Apesar de o intuito do jogo ser o trabalho com a operação de adição, durante toda a construção do trabalho queríamos nos afastar do paradigma do exercício, ou seja, utilização de um conjunto de técnicas e algoritmo.</w:t>
      </w:r>
    </w:p>
    <w:p w:rsidR="00000000" w:rsidDel="00000000" w:rsidP="00000000" w:rsidRDefault="00000000" w:rsidRPr="00000000" w14:paraId="00000069">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Inspirados pelo jogo “avançando com o resto”, decidimos elaborar um jogo de tabuleiro em que as transformações de unidades em dezena gerassem algum benefício para os jogadores. Pensando no desenvolvimento das habilidades socioemocionais dos alunos, optamos por incluir nas regras que todos os jogadores deveriam cruzar a linha de chegada juntos. Dessa forma, o jogo tornou-se cooperativo e, ao conquistar uma dezena ou duas dezenas, os jogadores poderiam realizar a compra de uma ou duas cartas que tem a função de acelerar ou desacelerar os jogadores para atingir o objetivo de </w:t>
      </w:r>
      <w:commentRangeStart w:id="10"/>
      <w:r w:rsidDel="00000000" w:rsidR="00000000" w:rsidRPr="00000000">
        <w:rPr>
          <w:rFonts w:ascii="Times New Roman" w:cs="Times New Roman" w:eastAsia="Times New Roman" w:hAnsi="Times New Roman"/>
          <w:sz w:val="24"/>
          <w:szCs w:val="24"/>
          <w:rtl w:val="0"/>
        </w:rPr>
        <w:t xml:space="preserve">cruzar a linha de chegada conjuntamente. </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6A">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w:t>
      </w:r>
      <w:commentRangeStart w:id="11"/>
      <w:r w:rsidDel="00000000" w:rsidR="00000000" w:rsidRPr="00000000">
        <w:rPr>
          <w:rFonts w:ascii="Times New Roman" w:cs="Times New Roman" w:eastAsia="Times New Roman" w:hAnsi="Times New Roman"/>
          <w:sz w:val="24"/>
          <w:szCs w:val="24"/>
          <w:rtl w:val="0"/>
        </w:rPr>
        <w:t xml:space="preserve"> final do jogo</w:t>
      </w:r>
      <w:commentRangeEnd w:id="11"/>
      <w:r w:rsidDel="00000000" w:rsidR="00000000" w:rsidRPr="00000000">
        <w:commentReference w:id="11"/>
      </w:r>
      <w:r w:rsidDel="00000000" w:rsidR="00000000" w:rsidRPr="00000000">
        <w:rPr>
          <w:rFonts w:ascii="Times New Roman" w:cs="Times New Roman" w:eastAsia="Times New Roman" w:hAnsi="Times New Roman"/>
          <w:sz w:val="24"/>
          <w:szCs w:val="24"/>
          <w:rtl w:val="0"/>
        </w:rPr>
        <w:t xml:space="preserve">, </w:t>
      </w:r>
      <w:commentRangeStart w:id="12"/>
      <w:r w:rsidDel="00000000" w:rsidR="00000000" w:rsidRPr="00000000">
        <w:rPr>
          <w:rFonts w:ascii="Times New Roman" w:cs="Times New Roman" w:eastAsia="Times New Roman" w:hAnsi="Times New Roman"/>
          <w:sz w:val="24"/>
          <w:szCs w:val="24"/>
          <w:rtl w:val="0"/>
        </w:rPr>
        <w:t xml:space="preserve">propusemos uma intervenção oral</w:t>
      </w:r>
      <w:commentRangeEnd w:id="12"/>
      <w:r w:rsidDel="00000000" w:rsidR="00000000" w:rsidRPr="00000000">
        <w:commentReference w:id="12"/>
      </w:r>
      <w:r w:rsidDel="00000000" w:rsidR="00000000" w:rsidRPr="00000000">
        <w:rPr>
          <w:rFonts w:ascii="Times New Roman" w:cs="Times New Roman" w:eastAsia="Times New Roman" w:hAnsi="Times New Roman"/>
          <w:sz w:val="24"/>
          <w:szCs w:val="24"/>
          <w:rtl w:val="0"/>
        </w:rPr>
        <w:t xml:space="preserve"> para que os alunos comunicassem uns para os outros quais as estratégias utilizadas deram certo e quais deram erradas, como atingir o objetivo de chegarem juntos no final, e buscar elucidar o motivo de os números que ocupam a casa da dezena proporcionarem o direito de retirar uma carta. </w:t>
      </w:r>
    </w:p>
    <w:p w:rsidR="00000000" w:rsidDel="00000000" w:rsidP="00000000" w:rsidRDefault="00000000" w:rsidRPr="00000000" w14:paraId="0000006B">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Além disso, propusemos também </w:t>
      </w:r>
      <w:commentRangeStart w:id="13"/>
      <w:r w:rsidDel="00000000" w:rsidR="00000000" w:rsidRPr="00000000">
        <w:rPr>
          <w:rFonts w:ascii="Times New Roman" w:cs="Times New Roman" w:eastAsia="Times New Roman" w:hAnsi="Times New Roman"/>
          <w:sz w:val="24"/>
          <w:szCs w:val="24"/>
          <w:rtl w:val="0"/>
        </w:rPr>
        <w:t xml:space="preserve">algumas questões</w:t>
      </w:r>
      <w:commentRangeEnd w:id="13"/>
      <w:r w:rsidDel="00000000" w:rsidR="00000000" w:rsidRPr="00000000">
        <w:commentReference w:id="13"/>
      </w:r>
      <w:r w:rsidDel="00000000" w:rsidR="00000000" w:rsidRPr="00000000">
        <w:rPr>
          <w:rFonts w:ascii="Times New Roman" w:cs="Times New Roman" w:eastAsia="Times New Roman" w:hAnsi="Times New Roman"/>
          <w:sz w:val="24"/>
          <w:szCs w:val="24"/>
          <w:rtl w:val="0"/>
        </w:rPr>
        <w:t xml:space="preserve"> para reflexão dos conteúdos do jogo e algumas situações ou cenários que aconteceram e que poderiam ter acontecido no jogo. Os cenários de investigação, conforme define Skovsmose (2000) são uma alternativa ao paradigma do exercício, tirando do ensino de matemática uma abordagem clássica ou tradicional e passando para uma abordagem investigativa, que gera perguntas (várias) com </w:t>
      </w:r>
      <w:commentRangeStart w:id="14"/>
      <w:r w:rsidDel="00000000" w:rsidR="00000000" w:rsidRPr="00000000">
        <w:rPr>
          <w:rFonts w:ascii="Times New Roman" w:cs="Times New Roman" w:eastAsia="Times New Roman" w:hAnsi="Times New Roman"/>
          <w:sz w:val="24"/>
          <w:szCs w:val="24"/>
          <w:rtl w:val="0"/>
        </w:rPr>
        <w:t xml:space="preserve">várias respostas</w:t>
      </w:r>
      <w:commentRangeEnd w:id="14"/>
      <w:r w:rsidDel="00000000" w:rsidR="00000000" w:rsidRPr="00000000">
        <w:commentReference w:id="14"/>
      </w:r>
      <w:r w:rsidDel="00000000" w:rsidR="00000000" w:rsidRPr="00000000">
        <w:rPr>
          <w:rFonts w:ascii="Times New Roman" w:cs="Times New Roman" w:eastAsia="Times New Roman" w:hAnsi="Times New Roman"/>
          <w:sz w:val="24"/>
          <w:szCs w:val="24"/>
          <w:rtl w:val="0"/>
        </w:rPr>
        <w:t xml:space="preserve"> (e não apenas uma, como acontece no exercício), instigando o aluno para que ele descubra conceitos, tenha ideias, formule hipóteses por si mesmo, sem ficar dependendo da intervenção do professor. No cenário para investigação, o professor exerce uma função de mediador e não mais de detentor do conhecimento. Ou, nas palavras do próprio autor: </w:t>
      </w:r>
    </w:p>
    <w:p w:rsidR="00000000" w:rsidDel="00000000" w:rsidP="00000000" w:rsidRDefault="00000000" w:rsidRPr="00000000" w14:paraId="0000006C">
      <w:pPr>
        <w:ind w:left="22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D">
      <w:pPr>
        <w:ind w:left="22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Mover-se do paradigma do exercício em direção ao cenário para investigação pode contribuir para o enfraquecimento da autoridade da sala de aula tradicional de matemática e engajar os alunos ativamente em seus processos de aprendizagem (SKOVSMOSE, 2000, p.66).</w:t>
      </w: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6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destacamos a adição sendo uma operação de grande importância como conhecimento escolar a ser trabalhado no âmbito da Educação Matemática, a dificuldade de se criar um jogo e suas possíveis variações, as complicações de ensinar a adição saindo do paradigma do exercício e o desafio aos professores para pensar outras formas de ensino de adição para além do método tradicional por meio dos algarismos</w:t>
      </w:r>
      <w:commentRangeStart w:id="15"/>
      <w:r w:rsidDel="00000000" w:rsidR="00000000" w:rsidRPr="00000000">
        <w:rPr>
          <w:rFonts w:ascii="Times New Roman" w:cs="Times New Roman" w:eastAsia="Times New Roman" w:hAnsi="Times New Roman"/>
          <w:sz w:val="24"/>
          <w:szCs w:val="24"/>
          <w:rtl w:val="0"/>
        </w:rPr>
        <w:t xml:space="preserve">.</w:t>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070">
      <w:pPr>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2">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AVALIAÇÃO DA REALIZAÇÃO DAS ATIVIDADES E DO TRABALHO COMO UM TODO</w:t>
      </w:r>
    </w:p>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74">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interação entre o grupo foi harmoniosa desde o início das atividades relacionadas ao trabalho. Apesar de não nos conhecermos anteriormente, foi interessante realizar um trabalho coletivo em que dois alunos eram do curso de Matemática e quatro alunos do curso de Pedagogia, pois pudemos somar nossos conhecimentos específicos para atingir </w:t>
      </w:r>
      <w:commentRangeStart w:id="16"/>
      <w:r w:rsidDel="00000000" w:rsidR="00000000" w:rsidRPr="00000000">
        <w:rPr>
          <w:rFonts w:ascii="Times New Roman" w:cs="Times New Roman" w:eastAsia="Times New Roman" w:hAnsi="Times New Roman"/>
          <w:sz w:val="24"/>
          <w:szCs w:val="24"/>
          <w:rtl w:val="0"/>
        </w:rPr>
        <w:t xml:space="preserve">o objetivo de criar um jogo que tratasse de um conceito matemático para crianças de Ensino Fundamental I. </w:t>
      </w:r>
      <w:commentRangeEnd w:id="16"/>
      <w:r w:rsidDel="00000000" w:rsidR="00000000" w:rsidRPr="00000000">
        <w:commentReference w:id="16"/>
      </w:r>
      <w:r w:rsidDel="00000000" w:rsidR="00000000" w:rsidRPr="00000000">
        <w:rPr>
          <w:rFonts w:ascii="Times New Roman" w:cs="Times New Roman" w:eastAsia="Times New Roman" w:hAnsi="Times New Roman"/>
          <w:sz w:val="24"/>
          <w:szCs w:val="24"/>
          <w:rtl w:val="0"/>
        </w:rPr>
        <w:t xml:space="preserve">Cada membro do grupo contribuiu com suas ideias, conceitos e conhecimentos referentes à sua respectiva área, para formar o trabalho como um todo.</w:t>
      </w:r>
    </w:p>
    <w:p w:rsidR="00000000" w:rsidDel="00000000" w:rsidP="00000000" w:rsidRDefault="00000000" w:rsidRPr="00000000" w14:paraId="00000075">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 membro do grupo colaborou de forma individual e coletiva com o trabalho apresentado e escrito. Cada um pôde contribuir com suas potencialidades e, durante a realização do trabalho, </w:t>
      </w:r>
      <w:commentRangeStart w:id="17"/>
      <w:commentRangeStart w:id="18"/>
      <w:r w:rsidDel="00000000" w:rsidR="00000000" w:rsidRPr="00000000">
        <w:rPr>
          <w:rFonts w:ascii="Times New Roman" w:cs="Times New Roman" w:eastAsia="Times New Roman" w:hAnsi="Times New Roman"/>
          <w:sz w:val="24"/>
          <w:szCs w:val="24"/>
          <w:rtl w:val="0"/>
        </w:rPr>
        <w:t xml:space="preserve">buscamos </w:t>
      </w:r>
      <w:commentRangeEnd w:id="17"/>
      <w:r w:rsidDel="00000000" w:rsidR="00000000" w:rsidRPr="00000000">
        <w:commentReference w:id="17"/>
      </w:r>
      <w:commentRangeEnd w:id="18"/>
      <w:r w:rsidDel="00000000" w:rsidR="00000000" w:rsidRPr="00000000">
        <w:commentReference w:id="18"/>
      </w:r>
      <w:r w:rsidDel="00000000" w:rsidR="00000000" w:rsidRPr="00000000">
        <w:rPr>
          <w:rFonts w:ascii="Times New Roman" w:cs="Times New Roman" w:eastAsia="Times New Roman" w:hAnsi="Times New Roman"/>
          <w:sz w:val="24"/>
          <w:szCs w:val="24"/>
          <w:rtl w:val="0"/>
        </w:rPr>
        <w:t xml:space="preserve">dividir as tarefas de modo que cada dupla de pessoas ficasse responsável por realizar uma parte do trabalho ao longo da semana e, nos encontros de </w:t>
      </w:r>
      <w:commentRangeStart w:id="19"/>
      <w:r w:rsidDel="00000000" w:rsidR="00000000" w:rsidRPr="00000000">
        <w:rPr>
          <w:rFonts w:ascii="Times New Roman" w:cs="Times New Roman" w:eastAsia="Times New Roman" w:hAnsi="Times New Roman"/>
          <w:sz w:val="24"/>
          <w:szCs w:val="24"/>
          <w:rtl w:val="0"/>
        </w:rPr>
        <w:t xml:space="preserve">terça-feira,</w:t>
      </w:r>
      <w:commentRangeEnd w:id="19"/>
      <w:r w:rsidDel="00000000" w:rsidR="00000000" w:rsidRPr="00000000">
        <w:commentReference w:id="19"/>
      </w:r>
      <w:r w:rsidDel="00000000" w:rsidR="00000000" w:rsidRPr="00000000">
        <w:rPr>
          <w:rFonts w:ascii="Times New Roman" w:cs="Times New Roman" w:eastAsia="Times New Roman" w:hAnsi="Times New Roman"/>
          <w:sz w:val="24"/>
          <w:szCs w:val="24"/>
          <w:rtl w:val="0"/>
        </w:rPr>
        <w:t xml:space="preserve"> trocávamos nossas produções. Além disso, durante a semana conversávamos intensamente por meio das redes sociais para afinar as ideias, resolver dúvidas e repensar tópicos do trabalho.</w:t>
      </w:r>
    </w:p>
    <w:p w:rsidR="00000000" w:rsidDel="00000000" w:rsidP="00000000" w:rsidRDefault="00000000" w:rsidRPr="00000000" w14:paraId="00000076">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Apesar da facilidade de comunicação, divisão de tarefas e trabalho coletivo, foi difícil a elaboração do jogo como um todo, pois fazer um jogo inédito e que abordasse conceitos de transformação de unidade em dezena na adição, como foi pedido (o conceito de “vai um” da adição) </w:t>
      </w:r>
      <w:commentRangeStart w:id="20"/>
      <w:r w:rsidDel="00000000" w:rsidR="00000000" w:rsidRPr="00000000">
        <w:rPr>
          <w:rFonts w:ascii="Times New Roman" w:cs="Times New Roman" w:eastAsia="Times New Roman" w:hAnsi="Times New Roman"/>
          <w:sz w:val="24"/>
          <w:szCs w:val="24"/>
          <w:rtl w:val="0"/>
        </w:rPr>
        <w:t xml:space="preserve">não é fácil.</w:t>
      </w:r>
      <w:commentRangeEnd w:id="20"/>
      <w:r w:rsidDel="00000000" w:rsidR="00000000" w:rsidRPr="00000000">
        <w:commentReference w:id="20"/>
      </w:r>
      <w:r w:rsidDel="00000000" w:rsidR="00000000" w:rsidRPr="00000000">
        <w:rPr>
          <w:rFonts w:ascii="Times New Roman" w:cs="Times New Roman" w:eastAsia="Times New Roman" w:hAnsi="Times New Roman"/>
          <w:sz w:val="24"/>
          <w:szCs w:val="24"/>
          <w:rtl w:val="0"/>
        </w:rPr>
        <w:t xml:space="preserve"> O grupo discutiu bastante, algumas vezes a professora também ajudou com ideias e possíveis soluções para o assunto que o grupo iria abordar e qual seria a melhor forma. Passamos por vários temas, regras, montagens de tabuleiro, planejamento de como ele seria e a apresentação do resultado do nosso trabalho para a turma. </w:t>
      </w:r>
    </w:p>
    <w:p w:rsidR="00000000" w:rsidDel="00000000" w:rsidP="00000000" w:rsidRDefault="00000000" w:rsidRPr="00000000" w14:paraId="00000077">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relação à apresentação, talvez precisássemos de um tempo maior para discutir e testar cenários do jogo, os quais foram apenas mencionados durante a apresentação, pois a execução do jogo pela turma demorou mais tempo do que esperávamos ou prevíamos. </w:t>
      </w:r>
      <w:commentRangeStart w:id="21"/>
      <w:r w:rsidDel="00000000" w:rsidR="00000000" w:rsidRPr="00000000">
        <w:rPr>
          <w:rFonts w:ascii="Times New Roman" w:cs="Times New Roman" w:eastAsia="Times New Roman" w:hAnsi="Times New Roman"/>
          <w:sz w:val="24"/>
          <w:szCs w:val="24"/>
          <w:rtl w:val="0"/>
        </w:rPr>
        <w:t xml:space="preserve">Notamos que os grupos gostaram de jogar e com isso o tempo que tínhamos para discutir os conteúdos previstos na apresentação teve uma diminuição.</w:t>
      </w:r>
      <w:commentRangeEnd w:id="21"/>
      <w:r w:rsidDel="00000000" w:rsidR="00000000" w:rsidRPr="00000000">
        <w:commentReference w:id="21"/>
      </w:r>
      <w:r w:rsidDel="00000000" w:rsidR="00000000" w:rsidRPr="00000000">
        <w:rPr>
          <w:rFonts w:ascii="Times New Roman" w:cs="Times New Roman" w:eastAsia="Times New Roman" w:hAnsi="Times New Roman"/>
          <w:sz w:val="24"/>
          <w:szCs w:val="24"/>
          <w:rtl w:val="0"/>
        </w:rPr>
        <w:t xml:space="preserve"> Mas acreditamos que os alunos que executaram as atividades propostas tiveram uma opinião satisfatória sobre elas e sobre a </w:t>
      </w:r>
      <w:commentRangeStart w:id="22"/>
      <w:r w:rsidDel="00000000" w:rsidR="00000000" w:rsidRPr="00000000">
        <w:rPr>
          <w:rFonts w:ascii="Times New Roman" w:cs="Times New Roman" w:eastAsia="Times New Roman" w:hAnsi="Times New Roman"/>
          <w:sz w:val="24"/>
          <w:szCs w:val="24"/>
          <w:rtl w:val="0"/>
        </w:rPr>
        <w:t xml:space="preserve">nossa apresentação.</w:t>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078">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Acreditamos que todo o processo foi válido e teve muito a acrescentar em nossa formação, como resultado final tivemos uma apresentação considerada pelo grupo boa e um material interessante produzido também, podendo ser adaptado e melhor lapidado.</w:t>
      </w:r>
    </w:p>
    <w:p w:rsidR="00000000" w:rsidDel="00000000" w:rsidP="00000000" w:rsidRDefault="00000000" w:rsidRPr="00000000" w14:paraId="00000079">
      <w:pPr>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D">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REFERÊNCIAS BIBLIOGRÁFICAS</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ADIÇÃO. Definição Online. Disponível em: &lt;https://www.dicio.com.br/adicao/&gt;. Acesso em 03 jun 2019.</w:t>
      </w:r>
    </w:p>
    <w:p w:rsidR="00000000" w:rsidDel="00000000" w:rsidP="00000000" w:rsidRDefault="00000000" w:rsidRPr="00000000" w14:paraId="00000080">
      <w:pPr>
        <w:widowControl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ECKHARDT, C. A. Contas de "vai um" e de "pedir emprestado": em busca de um conhecimento emancipação. </w:t>
      </w:r>
      <w:r w:rsidDel="00000000" w:rsidR="00000000" w:rsidRPr="00000000">
        <w:rPr>
          <w:rFonts w:ascii="Times New Roman" w:cs="Times New Roman" w:eastAsia="Times New Roman" w:hAnsi="Times New Roman"/>
          <w:b w:val="1"/>
          <w:sz w:val="24"/>
          <w:szCs w:val="24"/>
          <w:rtl w:val="0"/>
        </w:rPr>
        <w:t xml:space="preserve">Educação Matemática em Revista</w:t>
      </w:r>
      <w:r w:rsidDel="00000000" w:rsidR="00000000" w:rsidRPr="00000000">
        <w:rPr>
          <w:rFonts w:ascii="Times New Roman" w:cs="Times New Roman" w:eastAsia="Times New Roman" w:hAnsi="Times New Roman"/>
          <w:sz w:val="24"/>
          <w:szCs w:val="24"/>
          <w:rtl w:val="0"/>
        </w:rPr>
        <w:t xml:space="preserve"> - RS, Canoas, p. 68 - 78, 01 dez. 2003.</w:t>
      </w:r>
    </w:p>
    <w:p w:rsidR="00000000" w:rsidDel="00000000" w:rsidP="00000000" w:rsidRDefault="00000000" w:rsidRPr="00000000" w14:paraId="00000082">
      <w:pPr>
        <w:widowControl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GRANDO, R. C. Concepções quanto ao uso de jogos no ensino de matemática. Revista de Educação Matemática, v. 10, p. 45-52, 2007.</w:t>
      </w:r>
    </w:p>
    <w:p w:rsidR="00000000" w:rsidDel="00000000" w:rsidP="00000000" w:rsidRDefault="00000000" w:rsidRPr="00000000" w14:paraId="00000084">
      <w:pPr>
        <w:widowControl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IFRAH, Georges. </w:t>
      </w:r>
      <w:r w:rsidDel="00000000" w:rsidR="00000000" w:rsidRPr="00000000">
        <w:rPr>
          <w:rFonts w:ascii="Times New Roman" w:cs="Times New Roman" w:eastAsia="Times New Roman" w:hAnsi="Times New Roman"/>
          <w:b w:val="1"/>
          <w:sz w:val="24"/>
          <w:szCs w:val="24"/>
          <w:rtl w:val="0"/>
        </w:rPr>
        <w:t xml:space="preserve">Os números: histórias de uma grande invenção.</w:t>
      </w:r>
      <w:r w:rsidDel="00000000" w:rsidR="00000000" w:rsidRPr="00000000">
        <w:rPr>
          <w:rFonts w:ascii="Times New Roman" w:cs="Times New Roman" w:eastAsia="Times New Roman" w:hAnsi="Times New Roman"/>
          <w:sz w:val="24"/>
          <w:szCs w:val="24"/>
          <w:rtl w:val="0"/>
        </w:rPr>
        <w:t xml:space="preserve"> Rio de Janeiro, Globo: 1989.</w:t>
      </w:r>
    </w:p>
    <w:p w:rsidR="00000000" w:rsidDel="00000000" w:rsidP="00000000" w:rsidRDefault="00000000" w:rsidRPr="00000000" w14:paraId="00000086">
      <w:pPr>
        <w:widowControl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SILVA, Lilian Cristine Camargos. </w:t>
      </w:r>
      <w:r w:rsidDel="00000000" w:rsidR="00000000" w:rsidRPr="00000000">
        <w:rPr>
          <w:rFonts w:ascii="Times New Roman" w:cs="Times New Roman" w:eastAsia="Times New Roman" w:hAnsi="Times New Roman"/>
          <w:b w:val="1"/>
          <w:sz w:val="24"/>
          <w:szCs w:val="24"/>
          <w:rtl w:val="0"/>
        </w:rPr>
        <w:t xml:space="preserve">Ressignificando a construção dos algoritmos da adição e subtração</w:t>
      </w:r>
      <w:r w:rsidDel="00000000" w:rsidR="00000000" w:rsidRPr="00000000">
        <w:rPr>
          <w:rFonts w:ascii="Times New Roman" w:cs="Times New Roman" w:eastAsia="Times New Roman" w:hAnsi="Times New Roman"/>
          <w:sz w:val="24"/>
          <w:szCs w:val="24"/>
          <w:rtl w:val="0"/>
        </w:rPr>
        <w:t xml:space="preserve">. Dissertação de Mestrado (PUC-MG). Belo Horizonte, 2015.</w:t>
      </w:r>
    </w:p>
    <w:p w:rsidR="00000000" w:rsidDel="00000000" w:rsidP="00000000" w:rsidRDefault="00000000" w:rsidRPr="00000000" w14:paraId="0000008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hd w:fill="fefefe" w:val="clear"/>
        <w:spacing w:after="120" w:before="120" w:lineRule="auto"/>
        <w:rPr>
          <w:color w:val="393939"/>
          <w:sz w:val="20"/>
          <w:szCs w:val="20"/>
        </w:rPr>
      </w:pPr>
      <w:r w:rsidDel="00000000" w:rsidR="00000000" w:rsidRPr="00000000">
        <w:rPr>
          <w:rFonts w:ascii="Times New Roman" w:cs="Times New Roman" w:eastAsia="Times New Roman" w:hAnsi="Times New Roman"/>
          <w:sz w:val="24"/>
          <w:szCs w:val="24"/>
          <w:rtl w:val="0"/>
        </w:rPr>
        <w:t xml:space="preserve">SKOVSMOSE, O. Cenários para Investigação. </w:t>
      </w:r>
      <w:r w:rsidDel="00000000" w:rsidR="00000000" w:rsidRPr="00000000">
        <w:rPr>
          <w:rFonts w:ascii="Times New Roman" w:cs="Times New Roman" w:eastAsia="Times New Roman" w:hAnsi="Times New Roman"/>
          <w:b w:val="1"/>
          <w:sz w:val="24"/>
          <w:szCs w:val="24"/>
          <w:rtl w:val="0"/>
        </w:rPr>
        <w:t xml:space="preserve">Bolema.</w:t>
      </w:r>
      <w:r w:rsidDel="00000000" w:rsidR="00000000" w:rsidRPr="00000000">
        <w:rPr>
          <w:rFonts w:ascii="Times New Roman" w:cs="Times New Roman" w:eastAsia="Times New Roman" w:hAnsi="Times New Roman"/>
          <w:sz w:val="24"/>
          <w:szCs w:val="24"/>
          <w:rtl w:val="0"/>
        </w:rPr>
        <w:t xml:space="preserve"> Rio Claro, n. 14, p. 66-91. 2000.</w:t>
      </w:r>
      <w:r w:rsidDel="00000000" w:rsidR="00000000" w:rsidRPr="00000000">
        <w:rPr>
          <w:rtl w:val="0"/>
        </w:rPr>
      </w:r>
    </w:p>
    <w:p w:rsidR="00000000" w:rsidDel="00000000" w:rsidP="00000000" w:rsidRDefault="00000000" w:rsidRPr="00000000" w14:paraId="0000008A">
      <w:pPr>
        <w:jc w:val="both"/>
        <w:rPr>
          <w:color w:val="393939"/>
          <w:sz w:val="20"/>
          <w:szCs w:val="20"/>
        </w:rPr>
      </w:pPr>
      <w:r w:rsidDel="00000000" w:rsidR="00000000" w:rsidRPr="00000000">
        <w:rPr>
          <w:rtl w:val="0"/>
        </w:rPr>
      </w:r>
    </w:p>
    <w:p w:rsidR="00000000" w:rsidDel="00000000" w:rsidP="00000000" w:rsidRDefault="00000000" w:rsidRPr="00000000" w14:paraId="0000008B">
      <w:pPr>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C">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ANEXOS</w:t>
      </w:r>
    </w:p>
    <w:p w:rsidR="00000000" w:rsidDel="00000000" w:rsidP="00000000" w:rsidRDefault="00000000" w:rsidRPr="00000000" w14:paraId="0000008D">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I - Regras do jogo</w:t>
      </w:r>
    </w:p>
    <w:p w:rsidR="00000000" w:rsidDel="00000000" w:rsidP="00000000" w:rsidRDefault="00000000" w:rsidRPr="00000000" w14:paraId="0000008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REGRAS: JOGO DA ADIÇÃO </w:t>
      </w:r>
    </w:p>
    <w:p w:rsidR="00000000" w:rsidDel="00000000" w:rsidP="00000000" w:rsidRDefault="00000000" w:rsidRPr="00000000" w14:paraId="0000009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Conteúdo: </w:t>
      </w:r>
    </w:p>
    <w:p w:rsidR="00000000" w:rsidDel="00000000" w:rsidP="00000000" w:rsidRDefault="00000000" w:rsidRPr="00000000" w14:paraId="00000092">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dados para cada grupo</w:t>
      </w:r>
    </w:p>
    <w:p w:rsidR="00000000" w:rsidDel="00000000" w:rsidP="00000000" w:rsidRDefault="00000000" w:rsidRPr="00000000" w14:paraId="00000093">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Tabuleiro</w:t>
      </w:r>
    </w:p>
    <w:p w:rsidR="00000000" w:rsidDel="00000000" w:rsidP="00000000" w:rsidRDefault="00000000" w:rsidRPr="00000000" w14:paraId="00000094">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Pinos</w:t>
      </w:r>
    </w:p>
    <w:p w:rsidR="00000000" w:rsidDel="00000000" w:rsidP="00000000" w:rsidRDefault="00000000" w:rsidRPr="00000000" w14:paraId="00000095">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cartas </w:t>
      </w:r>
    </w:p>
    <w:p w:rsidR="00000000" w:rsidDel="00000000" w:rsidP="00000000" w:rsidRDefault="00000000" w:rsidRPr="00000000" w14:paraId="0000009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 do jogo: </w:t>
      </w:r>
    </w:p>
    <w:p w:rsidR="00000000" w:rsidDel="00000000" w:rsidP="00000000" w:rsidRDefault="00000000" w:rsidRPr="00000000" w14:paraId="000000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grupo deve chegar no final do tabuleiro simultaneamente. </w:t>
      </w:r>
    </w:p>
    <w:p w:rsidR="00000000" w:rsidDel="00000000" w:rsidP="00000000" w:rsidRDefault="00000000" w:rsidRPr="00000000" w14:paraId="0000009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Preparação:</w:t>
      </w:r>
    </w:p>
    <w:p w:rsidR="00000000" w:rsidDel="00000000" w:rsidP="00000000" w:rsidRDefault="00000000" w:rsidRPr="00000000" w14:paraId="000000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Quantidade de jogadores: 3+</w:t>
      </w:r>
    </w:p>
    <w:p w:rsidR="00000000" w:rsidDel="00000000" w:rsidP="00000000" w:rsidRDefault="00000000" w:rsidRPr="00000000" w14:paraId="000000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Inicia o jogador que tirar o maior número no dado.</w:t>
      </w:r>
    </w:p>
    <w:p w:rsidR="00000000" w:rsidDel="00000000" w:rsidP="00000000" w:rsidRDefault="00000000" w:rsidRPr="00000000" w14:paraId="000000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cartas deverão estar no montante ao lado do tabuleiro, formando uma pilha de compras.</w:t>
      </w:r>
    </w:p>
    <w:p w:rsidR="00000000" w:rsidDel="00000000" w:rsidP="00000000" w:rsidRDefault="00000000" w:rsidRPr="00000000" w14:paraId="0000009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Vamos jogar: </w:t>
      </w:r>
    </w:p>
    <w:p w:rsidR="00000000" w:rsidDel="00000000" w:rsidP="00000000" w:rsidRDefault="00000000" w:rsidRPr="00000000" w14:paraId="000000A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jogar os dados, o jogador deverá somar os pontos obtidos e, a partir do resultado, avançar no tabuleiro a quantidade de algarismos da ordem das unidades, e o algarismo da ordem das dezenas indicará a quantidade de cartas serão compradas pelo jogador. Por exemplo: a soma dos quatro dados deu 15, isso significa que o jogador andará 5 casas no tabuleiro e comprará 1 carta. </w:t>
      </w:r>
    </w:p>
    <w:p w:rsidR="00000000" w:rsidDel="00000000" w:rsidP="00000000" w:rsidRDefault="00000000" w:rsidRPr="00000000" w14:paraId="000000A1">
      <w:pPr>
        <w:jc w:val="both"/>
        <w:rPr>
          <w:rFonts w:ascii="Times New Roman" w:cs="Times New Roman" w:eastAsia="Times New Roman" w:hAnsi="Times New Roman"/>
          <w:sz w:val="24"/>
          <w:szCs w:val="24"/>
        </w:rPr>
      </w:pPr>
      <w:commentRangeStart w:id="23"/>
      <w:r w:rsidDel="00000000" w:rsidR="00000000" w:rsidRPr="00000000">
        <w:rPr>
          <w:rFonts w:ascii="Times New Roman" w:cs="Times New Roman" w:eastAsia="Times New Roman" w:hAnsi="Times New Roman"/>
          <w:sz w:val="24"/>
          <w:szCs w:val="24"/>
          <w:rtl w:val="0"/>
        </w:rPr>
        <w:t xml:space="preserve">Após </w:t>
      </w:r>
      <w:commentRangeEnd w:id="23"/>
      <w:r w:rsidDel="00000000" w:rsidR="00000000" w:rsidRPr="00000000">
        <w:commentReference w:id="23"/>
      </w:r>
      <w:r w:rsidDel="00000000" w:rsidR="00000000" w:rsidRPr="00000000">
        <w:rPr>
          <w:rFonts w:ascii="Times New Roman" w:cs="Times New Roman" w:eastAsia="Times New Roman" w:hAnsi="Times New Roman"/>
          <w:sz w:val="24"/>
          <w:szCs w:val="24"/>
          <w:rtl w:val="0"/>
        </w:rPr>
        <w:t xml:space="preserve">comprar a carta, o jogador deverá utilizá-la imediatamente (exceto na primeira rodada, quando a carta poderá ser guardada para usar na próxima rodada).</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bookmarkStart w:colFirst="0" w:colLast="0" w:name="_3dy6vkm" w:id="6"/>
      <w:bookmarkEnd w:id="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II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Tabuleiro</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-504188</wp:posOffset>
            </wp:positionH>
            <wp:positionV relativeFrom="paragraph">
              <wp:posOffset>290830</wp:posOffset>
            </wp:positionV>
            <wp:extent cx="6581140" cy="4379595"/>
            <wp:effectExtent b="0" l="0" r="0" t="0"/>
            <wp:wrapTopAndBottom distB="0" dist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581140" cy="4379595"/>
                    </a:xfrm>
                    <a:prstGeom prst="rect"/>
                    <a:ln/>
                  </pic:spPr>
                </pic:pic>
              </a:graphicData>
            </a:graphic>
          </wp:anchor>
        </w:drawing>
      </w:r>
    </w:p>
    <w:p w:rsidR="00000000" w:rsidDel="00000000" w:rsidP="00000000" w:rsidRDefault="00000000" w:rsidRPr="00000000" w14:paraId="000000B2">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III – Cartas</w:t>
      </w:r>
    </w:p>
    <w:p w:rsidR="00000000" w:rsidDel="00000000" w:rsidP="00000000" w:rsidRDefault="00000000" w:rsidRPr="00000000" w14:paraId="000000BC">
      <w:pPr>
        <w:rPr/>
      </w:pPr>
      <w:bookmarkStart w:colFirst="0" w:colLast="0" w:name="_1t3h5sf" w:id="7"/>
      <w:bookmarkEnd w:id="7"/>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-279398</wp:posOffset>
            </wp:positionH>
            <wp:positionV relativeFrom="paragraph">
              <wp:posOffset>167005</wp:posOffset>
            </wp:positionV>
            <wp:extent cx="6153150" cy="3743325"/>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8"/>
                    <a:srcRect b="1483" l="0" r="0" t="0"/>
                    <a:stretch>
                      <a:fillRect/>
                    </a:stretch>
                  </pic:blipFill>
                  <pic:spPr>
                    <a:xfrm>
                      <a:off x="0" y="0"/>
                      <a:ext cx="6153150" cy="3743325"/>
                    </a:xfrm>
                    <a:prstGeom prst="rect"/>
                    <a:ln/>
                  </pic:spPr>
                </pic:pic>
              </a:graphicData>
            </a:graphic>
          </wp:anchor>
        </w:drawing>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-250823</wp:posOffset>
            </wp:positionH>
            <wp:positionV relativeFrom="paragraph">
              <wp:posOffset>36195</wp:posOffset>
            </wp:positionV>
            <wp:extent cx="6083935" cy="3996055"/>
            <wp:effectExtent b="0" l="0" r="0" t="0"/>
            <wp:wrapNone/>
            <wp:docPr id="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6083935" cy="3996055"/>
                    </a:xfrm>
                    <a:prstGeom prst="rect"/>
                    <a:ln/>
                  </pic:spPr>
                </pic:pic>
              </a:graphicData>
            </a:graphic>
          </wp:anchor>
        </w:drawing>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674688</wp:posOffset>
            </wp:positionH>
            <wp:positionV relativeFrom="paragraph">
              <wp:posOffset>-771841</wp:posOffset>
            </wp:positionV>
            <wp:extent cx="4187190" cy="6085205"/>
            <wp:effectExtent b="-949007" l="949007" r="949007" t="-949007"/>
            <wp:wrapNone/>
            <wp:docPr id="2" name="image3.png"/>
            <a:graphic>
              <a:graphicData uri="http://schemas.openxmlformats.org/drawingml/2006/picture">
                <pic:pic>
                  <pic:nvPicPr>
                    <pic:cNvPr id="0" name="image3.png"/>
                    <pic:cNvPicPr preferRelativeResize="0"/>
                  </pic:nvPicPr>
                  <pic:blipFill>
                    <a:blip r:embed="rId10"/>
                    <a:srcRect b="0" l="0" r="0" t="3104"/>
                    <a:stretch>
                      <a:fillRect/>
                    </a:stretch>
                  </pic:blipFill>
                  <pic:spPr>
                    <a:xfrm rot="5400000">
                      <a:off x="0" y="0"/>
                      <a:ext cx="4187190" cy="6085205"/>
                    </a:xfrm>
                    <a:prstGeom prst="rect"/>
                    <a:ln/>
                  </pic:spPr>
                </pic:pic>
              </a:graphicData>
            </a:graphic>
          </wp:anchor>
        </w:drawing>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rPr/>
      </w:pPr>
      <w:bookmarkStart w:colFirst="0" w:colLast="0" w:name="_4d34og8" w:id="8"/>
      <w:bookmarkEnd w:id="8"/>
      <w:r w:rsidDel="00000000" w:rsidR="00000000" w:rsidRPr="00000000">
        <w:rPr>
          <w:rtl w:val="0"/>
        </w:rPr>
        <w:br w:type="textWrapping"/>
        <w:br w:type="textWrapping"/>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1306195</wp:posOffset>
            </wp:positionH>
            <wp:positionV relativeFrom="paragraph">
              <wp:posOffset>2326640</wp:posOffset>
            </wp:positionV>
            <wp:extent cx="3101340" cy="6019800"/>
            <wp:effectExtent b="-1459229" l="1459230" r="1459230" t="-1459229"/>
            <wp:wrapTopAndBottom distB="0" distT="0"/>
            <wp:docPr id="1"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rot="5400000">
                      <a:off x="0" y="0"/>
                      <a:ext cx="3101340" cy="6019800"/>
                    </a:xfrm>
                    <a:prstGeom prst="rect"/>
                    <a:ln/>
                  </pic:spPr>
                </pic:pic>
              </a:graphicData>
            </a:graphic>
          </wp:anchor>
        </w:drawing>
      </w:r>
    </w:p>
    <w:p w:rsidR="00000000" w:rsidDel="00000000" w:rsidP="00000000" w:rsidRDefault="00000000" w:rsidRPr="00000000" w14:paraId="000000C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ANEXO IV - Cenários do jogo em sala de aula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1293495</wp:posOffset>
            </wp:positionH>
            <wp:positionV relativeFrom="paragraph">
              <wp:posOffset>-873758</wp:posOffset>
            </wp:positionV>
            <wp:extent cx="2994660" cy="5487035"/>
            <wp:effectExtent b="-1246187" l="1246187" r="1246187" t="-1246187"/>
            <wp:wrapNone/>
            <wp:docPr id="4" name="image7.jpg"/>
            <a:graphic>
              <a:graphicData uri="http://schemas.openxmlformats.org/drawingml/2006/picture">
                <pic:pic>
                  <pic:nvPicPr>
                    <pic:cNvPr id="0" name="image7.jpg"/>
                    <pic:cNvPicPr preferRelativeResize="0"/>
                  </pic:nvPicPr>
                  <pic:blipFill>
                    <a:blip r:embed="rId12"/>
                    <a:srcRect b="20131" l="17938" r="25786" t="2678"/>
                    <a:stretch>
                      <a:fillRect/>
                    </a:stretch>
                  </pic:blipFill>
                  <pic:spPr>
                    <a:xfrm rot="5400000">
                      <a:off x="0" y="0"/>
                      <a:ext cx="2994660" cy="5487035"/>
                    </a:xfrm>
                    <a:prstGeom prst="rect"/>
                    <a:ln/>
                  </pic:spPr>
                </pic:pic>
              </a:graphicData>
            </a:graphic>
          </wp:anchor>
        </w:drawing>
      </w:r>
    </w:p>
    <w:p w:rsidR="00000000" w:rsidDel="00000000" w:rsidP="00000000" w:rsidRDefault="00000000" w:rsidRPr="00000000" w14:paraId="000000C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977582</wp:posOffset>
            </wp:positionH>
            <wp:positionV relativeFrom="paragraph">
              <wp:posOffset>1789747</wp:posOffset>
            </wp:positionV>
            <wp:extent cx="3723005" cy="5496560"/>
            <wp:effectExtent b="-886777" l="886777" r="886777" t="-886777"/>
            <wp:wrapNone/>
            <wp:docPr id="3" name="image6.jpg"/>
            <a:graphic>
              <a:graphicData uri="http://schemas.openxmlformats.org/drawingml/2006/picture">
                <pic:pic>
                  <pic:nvPicPr>
                    <pic:cNvPr id="0" name="image6.jpg"/>
                    <pic:cNvPicPr preferRelativeResize="0"/>
                  </pic:nvPicPr>
                  <pic:blipFill>
                    <a:blip r:embed="rId13"/>
                    <a:srcRect b="16661" l="13467" r="26968" t="17300"/>
                    <a:stretch>
                      <a:fillRect/>
                    </a:stretch>
                  </pic:blipFill>
                  <pic:spPr>
                    <a:xfrm rot="5400000">
                      <a:off x="0" y="0"/>
                      <a:ext cx="3723005" cy="5496560"/>
                    </a:xfrm>
                    <a:prstGeom prst="rect"/>
                    <a:ln/>
                  </pic:spPr>
                </pic:pic>
              </a:graphicData>
            </a:graphic>
          </wp:anchor>
        </w:drawing>
      </w:r>
    </w:p>
    <w:p w:rsidR="00000000" w:rsidDel="00000000" w:rsidP="00000000" w:rsidRDefault="00000000" w:rsidRPr="00000000" w14:paraId="000000D1">
      <w:pP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73027</wp:posOffset>
            </wp:positionH>
            <wp:positionV relativeFrom="paragraph">
              <wp:posOffset>45720</wp:posOffset>
            </wp:positionV>
            <wp:extent cx="5239385" cy="4066540"/>
            <wp:effectExtent b="0" l="0" r="0" t="0"/>
            <wp:wrapNone/>
            <wp:docPr id="8" name="image5.jpg"/>
            <a:graphic>
              <a:graphicData uri="http://schemas.openxmlformats.org/drawingml/2006/picture">
                <pic:pic>
                  <pic:nvPicPr>
                    <pic:cNvPr id="0" name="image5.jpg"/>
                    <pic:cNvPicPr preferRelativeResize="0"/>
                  </pic:nvPicPr>
                  <pic:blipFill>
                    <a:blip r:embed="rId14"/>
                    <a:srcRect b="10393" l="11479" r="26647" t="25685"/>
                    <a:stretch>
                      <a:fillRect/>
                    </a:stretch>
                  </pic:blipFill>
                  <pic:spPr>
                    <a:xfrm rot="10800000">
                      <a:off x="0" y="0"/>
                      <a:ext cx="5239385" cy="4066540"/>
                    </a:xfrm>
                    <a:prstGeom prst="rect"/>
                    <a:ln/>
                  </pic:spPr>
                </pic:pic>
              </a:graphicData>
            </a:graphic>
          </wp:anchor>
        </w:drawing>
      </w:r>
    </w:p>
    <w:sectPr>
      <w:headerReference r:id="rId15" w:type="default"/>
      <w:footerReference r:id="rId16" w:type="default"/>
      <w:pgSz w:h="16834" w:w="11909"/>
      <w:pgMar w:bottom="1134" w:top="1701" w:left="1701" w:right="1134" w:header="1134" w:footer="567"/>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aquel Milani" w:id="13" w:date="2019-06-24T18:03:25Z">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Elas não aparecem aqui no trabalho.</w:t>
      </w:r>
    </w:p>
  </w:comment>
  <w:comment w:author="Isabella Claro" w:id="16" w:date="2019-06-12T00:02:37Z">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Importante o reconhecimento de unir teorias/estudos para um bem maior, no caso o objetivo de criar o jogo. Este era a intenção quando pensamos em juntá-los.</w:t>
      </w:r>
    </w:p>
  </w:comment>
  <w:comment w:author="Raquel Milani" w:id="11" w:date="2019-06-24T17:52:07Z">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Aqui era importante trazer o texto com as reflexões de Regina Grando sobre jogos e educação matemática, o qual estudamos em aula.</w:t>
      </w:r>
    </w:p>
  </w:comment>
  <w:comment w:author="Isabella Claro" w:id="0" w:date="2019-06-11T23:33:44Z">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Causa estranhamento na leitura, substituir talvez por "entende-se como  questão fundamental"</w:t>
      </w:r>
    </w:p>
  </w:comment>
  <w:comment w:author="Isabella Claro" w:id="4" w:date="2019-06-11T23:49:48Z">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Comunicação nas aulas de Matemática é de grande valia nesse contexto.</w:t>
      </w:r>
    </w:p>
  </w:comment>
  <w:comment w:author="Isabella Claro" w:id="17" w:date="2019-06-12T00:03:13Z">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Neste momento, por exemplo, não há problema em utilizar a primeira pessoa.</w:t>
      </w:r>
    </w:p>
  </w:comment>
  <w:comment w:author="Raquel Milani" w:id="18" w:date="2019-06-24T18:07:13Z">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 esse comentário.</w:t>
      </w:r>
    </w:p>
  </w:comment>
  <w:comment w:author="Isabella Claro" w:id="20" w:date="2019-06-12T00:04:50Z">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nem era para ser... Era preciso se desafiar e ver que tem conhecimento/ideias o suficiente para pensar fora da "área de conforto".</w:t>
      </w:r>
    </w:p>
  </w:comment>
  <w:comment w:author="Isabella Claro" w:id="23" w:date="2019-06-12T00:10:00Z">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seguida" para que o "após" não fique repetitivo.</w:t>
      </w:r>
    </w:p>
  </w:comment>
  <w:comment w:author="Isabella Claro" w:id="8" w:date="2019-06-11T23:55:08Z">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Exatamente!</w:t>
      </w:r>
    </w:p>
  </w:comment>
  <w:comment w:author="Isabella Claro" w:id="2" w:date="2019-06-11T23:48:35Z">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acordo com a ABNT, não é esta a formatação correta para uma citação direta.</w:t>
      </w:r>
    </w:p>
  </w:comment>
  <w:comment w:author="Isabella Claro" w:id="10" w:date="2019-06-11T23:57:50Z">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há a necessidade de repetir esse objetivo/essa instrução novamente neste ponto do texto, já que ele(a) foi repetido diversas vezes nos parágrafos anteriores.</w:t>
      </w:r>
    </w:p>
  </w:comment>
  <w:comment w:author="Isabella Claro" w:id="1" w:date="2019-06-11T23:47:45Z">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elementos e a correspondência um a um era utilizada para a contagem na época de outrora, ou seja, contava-se através do relacionamento entre uma pedra para um carneiro que saiu do pasto. Isso é um exemplo/uma referência trazida do texto "Os números:a história de uma grande invenção" de George Ifrah (1989). Necessita de referência para dar embasamento teórico naquilo que é redigido.</w:t>
      </w:r>
    </w:p>
  </w:comment>
  <w:comment w:author="Isabella Claro" w:id="22" w:date="2019-06-12T00:08:48Z">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Justamente, ela contemplou tudo que tinha para contemplar pois o jogo abraçava diversas potencialidades que não necessariamente, como disse anteriormente, precisa ser exposto através da fala do professor mediador.</w:t>
      </w:r>
    </w:p>
  </w:comment>
  <w:comment w:author="Raquel Milani" w:id="19" w:date="2019-06-24T18:07:34Z">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Foi possível perceber o engajamento de vcs.</w:t>
      </w:r>
    </w:p>
  </w:comment>
  <w:comment w:author="Isabella Claro" w:id="21" w:date="2019-06-12T00:07:35Z">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Devemos considerar que há os imprevistos e, dessa forma, em uma sala de aula, devemos *como professores* ter o "jogo de cintura" necessário para que haja a interação e que ela seja significativa para os estudantes de modo que eles não percam caso não "dê tempo" de contemplar tudo que está planejado da forma como foi.</w:t>
      </w:r>
    </w:p>
  </w:comment>
  <w:comment w:author="Isabella Claro" w:id="14" w:date="2019-06-12T00:00:32Z">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podem ser consideradas corretas a depender do ponto de vista (de referência). E transcende o teor arbitrário.</w:t>
      </w:r>
    </w:p>
  </w:comment>
  <w:comment w:author="Isabella Claro" w:id="7" w:date="2019-06-11T23:54:42Z">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há problema algum inserir um contexto mais lúdico em sala de aula, uma vez que tenha intencionalidade e provoque a criação de hipóteses. Deve ser significativo para quem está em exercício para que haja a compreensão dos conceitos.</w:t>
      </w:r>
    </w:p>
  </w:comment>
  <w:comment w:author="Raquel Milani" w:id="15" w:date="2019-06-24T17:53:57Z">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jogo e as situações são as atividades propostas por vcs e deveram estar aqui no corpo do trabalho.</w:t>
      </w:r>
    </w:p>
  </w:comment>
  <w:comment w:author="Isabella Claro" w:id="5" w:date="2019-06-11T23:50:41Z">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Importância da apresentação e da clareza quanto ao valor posicional do número em um sistema decimal.</w:t>
      </w:r>
    </w:p>
  </w:comment>
  <w:comment w:author="Isabella Claro" w:id="12" w:date="2019-06-11T23:58:58Z">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conversa e o compartilhamento daquilo que apareceu na atividade se torna fundamental para interpretar as diferentes estratégias utilizadas pelos colegas e refletir se elas cabem ou não no contexto pré-determinado.</w:t>
      </w:r>
    </w:p>
  </w:comment>
  <w:comment w:author="Raquel Milani" w:id="3" w:date="2019-06-24T17:44:29Z">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 necessário fazer comentários do grupo sobre as citações e não apenas citar as ideias do autor.</w:t>
      </w:r>
    </w:p>
  </w:comment>
  <w:comment w:author="Isabella Claro" w:id="9" w:date="2019-06-11T23:56:31Z">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Uma perspectiva muito interessante trazida pelo grupo que quebra com o paradigma de competição, no qual o objetivo seja ganhar. Nesse caso, e muito bem pensado, os integrantes devem agir juntos e usufruir de estratégias para que isso aconteça.</w:t>
      </w:r>
    </w:p>
  </w:comment>
  <w:comment w:author="Isabella Claro" w:id="6" w:date="2019-06-11T23:53:24Z">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verbos "utilizar" e "trabalhar" são usados com frequência no texto de vocês e seria interessante, portanto, buscar alguns sinônimos, para que a leitura não seja repetitiva.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center"/>
    </w:pPr>
    <w:rPr>
      <w:b w:val="1"/>
      <w:sz w:val="24"/>
      <w:szCs w:val="24"/>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3.png"/><Relationship Id="rId13" Type="http://schemas.openxmlformats.org/officeDocument/2006/relationships/image" Target="media/image6.jpg"/><Relationship Id="rId12"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4.png"/><Relationship Id="rId15" Type="http://schemas.openxmlformats.org/officeDocument/2006/relationships/header" Target="header1.xml"/><Relationship Id="rId14" Type="http://schemas.openxmlformats.org/officeDocument/2006/relationships/image" Target="media/image5.jpg"/><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