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4088A" w14:textId="05CAC16A" w:rsidR="00D75E01" w:rsidRDefault="00D75E01" w:rsidP="00D75E01">
      <w:pPr>
        <w:pStyle w:val="Default"/>
        <w:spacing w:line="360" w:lineRule="auto"/>
        <w:rPr>
          <w:b/>
          <w:bCs/>
          <w:sz w:val="22"/>
          <w:szCs w:val="22"/>
        </w:rPr>
      </w:pPr>
      <w:bookmarkStart w:id="0" w:name="_Toc478569548"/>
      <w:bookmarkStart w:id="1" w:name="_GoBack"/>
      <w:bookmarkEnd w:id="1"/>
      <w:r>
        <w:rPr>
          <w:b/>
          <w:bCs/>
          <w:sz w:val="22"/>
          <w:szCs w:val="22"/>
        </w:rPr>
        <w:t xml:space="preserve">Redação Científica em Biotecnologia- </w:t>
      </w:r>
      <w:r w:rsidRPr="00D75E01">
        <w:rPr>
          <w:bCs/>
          <w:sz w:val="22"/>
          <w:szCs w:val="22"/>
        </w:rPr>
        <w:t>Professor André Luis Ferraz</w:t>
      </w:r>
    </w:p>
    <w:p w14:paraId="02411DAE" w14:textId="415638F6" w:rsidR="00D75E01" w:rsidRPr="00D75E01" w:rsidRDefault="00D75E01" w:rsidP="00D75E01">
      <w:pPr>
        <w:pStyle w:val="Default"/>
        <w:spacing w:line="360" w:lineRule="auto"/>
        <w:rPr>
          <w:bCs/>
          <w:sz w:val="22"/>
          <w:szCs w:val="22"/>
        </w:rPr>
      </w:pPr>
      <w:r>
        <w:rPr>
          <w:b/>
          <w:bCs/>
          <w:sz w:val="22"/>
          <w:szCs w:val="22"/>
        </w:rPr>
        <w:t xml:space="preserve">Grupo 3: </w:t>
      </w:r>
      <w:r w:rsidRPr="00D75E01">
        <w:rPr>
          <w:bCs/>
          <w:sz w:val="22"/>
          <w:szCs w:val="22"/>
        </w:rPr>
        <w:t>Paula Macêdo Cunha</w:t>
      </w:r>
    </w:p>
    <w:p w14:paraId="41203437" w14:textId="59E22D2A" w:rsidR="00D75E01" w:rsidRPr="00D75E01" w:rsidRDefault="00D75E01" w:rsidP="00D75E01">
      <w:pPr>
        <w:pStyle w:val="Default"/>
        <w:spacing w:line="360" w:lineRule="auto"/>
        <w:rPr>
          <w:bCs/>
          <w:sz w:val="22"/>
          <w:szCs w:val="22"/>
        </w:rPr>
      </w:pPr>
      <w:r w:rsidRPr="00D75E01">
        <w:rPr>
          <w:bCs/>
          <w:sz w:val="22"/>
          <w:szCs w:val="22"/>
        </w:rPr>
        <w:t>Rogger Alessandro Mara da Costa</w:t>
      </w:r>
    </w:p>
    <w:p w14:paraId="54EB8F2E" w14:textId="61DB9E56" w:rsidR="00D75E01" w:rsidRPr="00D75E01" w:rsidRDefault="00D75E01" w:rsidP="00D75E01">
      <w:pPr>
        <w:pStyle w:val="Default"/>
        <w:spacing w:line="360" w:lineRule="auto"/>
        <w:rPr>
          <w:bCs/>
          <w:sz w:val="22"/>
          <w:szCs w:val="22"/>
        </w:rPr>
      </w:pPr>
      <w:r w:rsidRPr="00D75E01">
        <w:rPr>
          <w:bCs/>
          <w:sz w:val="22"/>
          <w:szCs w:val="22"/>
        </w:rPr>
        <w:t>Viviane do Socorro da Costa</w:t>
      </w:r>
    </w:p>
    <w:p w14:paraId="33974B35" w14:textId="77777777" w:rsidR="00D75E01" w:rsidRDefault="00D75E01" w:rsidP="000D2DB0">
      <w:pPr>
        <w:pStyle w:val="Default"/>
        <w:spacing w:line="360" w:lineRule="auto"/>
        <w:jc w:val="center"/>
        <w:rPr>
          <w:b/>
          <w:bCs/>
          <w:sz w:val="22"/>
          <w:szCs w:val="22"/>
        </w:rPr>
      </w:pPr>
    </w:p>
    <w:p w14:paraId="270A62CA" w14:textId="4AD2F619" w:rsidR="00A22F78" w:rsidRDefault="000D2DB0" w:rsidP="000D2DB0">
      <w:pPr>
        <w:pStyle w:val="Default"/>
        <w:spacing w:line="360" w:lineRule="auto"/>
        <w:jc w:val="center"/>
        <w:rPr>
          <w:b/>
          <w:bCs/>
          <w:sz w:val="22"/>
          <w:szCs w:val="22"/>
        </w:rPr>
      </w:pPr>
      <w:r w:rsidRPr="000D2DB0">
        <w:rPr>
          <w:b/>
          <w:bCs/>
          <w:sz w:val="22"/>
          <w:szCs w:val="22"/>
        </w:rPr>
        <w:t xml:space="preserve">AÇÃO INIBITÓRIA DE </w:t>
      </w:r>
      <w:r w:rsidR="00CC036B">
        <w:rPr>
          <w:b/>
          <w:bCs/>
          <w:sz w:val="22"/>
          <w:szCs w:val="22"/>
        </w:rPr>
        <w:t xml:space="preserve">UM NOVO </w:t>
      </w:r>
      <w:r w:rsidRPr="000D2DB0">
        <w:rPr>
          <w:b/>
          <w:bCs/>
          <w:sz w:val="22"/>
          <w:szCs w:val="22"/>
        </w:rPr>
        <w:t>PEPTÍDEO ANTAGONISTA DE INTEGRINA NA ADESÃO, CRESCIMENTO E MIGRAÇÃO D</w:t>
      </w:r>
      <w:r w:rsidR="00A22F78">
        <w:rPr>
          <w:b/>
          <w:bCs/>
          <w:sz w:val="22"/>
          <w:szCs w:val="22"/>
        </w:rPr>
        <w:t>A LINHAGEM</w:t>
      </w:r>
      <w:r w:rsidRPr="000D2DB0">
        <w:rPr>
          <w:b/>
          <w:bCs/>
          <w:sz w:val="22"/>
          <w:szCs w:val="22"/>
        </w:rPr>
        <w:t xml:space="preserve"> B16F10</w:t>
      </w:r>
    </w:p>
    <w:p w14:paraId="1A37F68D" w14:textId="77777777" w:rsidR="00214FE4" w:rsidRDefault="00214FE4" w:rsidP="000D2DB0">
      <w:pPr>
        <w:pStyle w:val="Default"/>
        <w:spacing w:line="360" w:lineRule="auto"/>
        <w:jc w:val="center"/>
        <w:rPr>
          <w:b/>
          <w:bCs/>
          <w:sz w:val="22"/>
          <w:szCs w:val="22"/>
        </w:rPr>
      </w:pPr>
    </w:p>
    <w:p w14:paraId="79AF732B" w14:textId="437C57B9" w:rsidR="00214FE4" w:rsidRPr="00214FE4" w:rsidRDefault="00214FE4" w:rsidP="00214FE4">
      <w:pPr>
        <w:ind w:firstLine="0"/>
        <w:rPr>
          <w:rFonts w:ascii="Arial" w:hAnsi="Arial" w:cs="Arial"/>
          <w:iCs/>
          <w:sz w:val="22"/>
          <w:szCs w:val="22"/>
        </w:rPr>
      </w:pPr>
      <w:r w:rsidRPr="00214FE4">
        <w:rPr>
          <w:rFonts w:ascii="Arial" w:hAnsi="Arial" w:cs="Arial"/>
          <w:b/>
          <w:iCs/>
          <w:sz w:val="22"/>
          <w:szCs w:val="22"/>
        </w:rPr>
        <w:t>Autores:</w:t>
      </w:r>
      <w:r w:rsidRPr="00214FE4">
        <w:rPr>
          <w:rFonts w:ascii="Arial" w:hAnsi="Arial" w:cs="Arial"/>
          <w:iCs/>
          <w:sz w:val="22"/>
          <w:szCs w:val="22"/>
        </w:rPr>
        <w:t xml:space="preserve"> Paula Macedo Cunha</w:t>
      </w:r>
      <w:r w:rsidRPr="00214FE4">
        <w:rPr>
          <w:rFonts w:ascii="Arial" w:hAnsi="Arial" w:cs="Arial"/>
          <w:iCs/>
          <w:sz w:val="22"/>
          <w:szCs w:val="22"/>
          <w:vertAlign w:val="superscript"/>
        </w:rPr>
        <w:t>a</w:t>
      </w:r>
      <w:r w:rsidRPr="00214FE4">
        <w:rPr>
          <w:rFonts w:ascii="Arial" w:hAnsi="Arial" w:cs="Arial"/>
          <w:iCs/>
          <w:sz w:val="22"/>
          <w:szCs w:val="22"/>
        </w:rPr>
        <w:t>, Milton Masahiko Kanashiro</w:t>
      </w:r>
      <w:r w:rsidRPr="00214FE4">
        <w:rPr>
          <w:rFonts w:ascii="Arial" w:hAnsi="Arial" w:cs="Arial"/>
          <w:iCs/>
          <w:sz w:val="22"/>
          <w:szCs w:val="22"/>
          <w:vertAlign w:val="superscript"/>
        </w:rPr>
        <w:t>ab</w:t>
      </w:r>
      <w:r w:rsidRPr="00214FE4">
        <w:rPr>
          <w:rFonts w:ascii="Arial" w:hAnsi="Arial" w:cs="Arial"/>
          <w:iCs/>
          <w:sz w:val="22"/>
          <w:szCs w:val="22"/>
        </w:rPr>
        <w:t>, Jorge Hernandez</w:t>
      </w:r>
      <w:r w:rsidRPr="00214FE4">
        <w:rPr>
          <w:rFonts w:ascii="Arial" w:hAnsi="Arial" w:cs="Arial"/>
          <w:iCs/>
          <w:sz w:val="22"/>
          <w:szCs w:val="22"/>
          <w:vertAlign w:val="superscript"/>
        </w:rPr>
        <w:t xml:space="preserve"> </w:t>
      </w:r>
      <w:r w:rsidRPr="00214FE4">
        <w:rPr>
          <w:rFonts w:ascii="Arial" w:hAnsi="Arial" w:cs="Arial"/>
          <w:iCs/>
          <w:sz w:val="22"/>
          <w:szCs w:val="22"/>
        </w:rPr>
        <w:t>Fernandez</w:t>
      </w:r>
      <w:r w:rsidRPr="00214FE4">
        <w:rPr>
          <w:rFonts w:ascii="Arial" w:hAnsi="Arial" w:cs="Arial"/>
          <w:iCs/>
          <w:sz w:val="22"/>
          <w:szCs w:val="22"/>
          <w:vertAlign w:val="superscript"/>
        </w:rPr>
        <w:t>a</w:t>
      </w:r>
      <w:r w:rsidRPr="00214FE4">
        <w:rPr>
          <w:rFonts w:ascii="Arial" w:hAnsi="Arial" w:cs="Arial"/>
          <w:iCs/>
          <w:sz w:val="22"/>
          <w:szCs w:val="22"/>
        </w:rPr>
        <w:t>.</w:t>
      </w:r>
    </w:p>
    <w:p w14:paraId="5AE24257" w14:textId="2439270E" w:rsidR="00214FE4" w:rsidRPr="00214FE4" w:rsidRDefault="00214FE4" w:rsidP="00214FE4">
      <w:pPr>
        <w:ind w:firstLine="0"/>
        <w:rPr>
          <w:rFonts w:ascii="Arial" w:hAnsi="Arial" w:cs="Arial"/>
          <w:iCs/>
          <w:sz w:val="22"/>
          <w:szCs w:val="22"/>
        </w:rPr>
      </w:pPr>
      <w:r w:rsidRPr="00214FE4">
        <w:rPr>
          <w:rFonts w:ascii="Arial" w:hAnsi="Arial" w:cs="Arial"/>
          <w:b/>
          <w:sz w:val="22"/>
          <w:szCs w:val="22"/>
        </w:rPr>
        <w:t>Affiliações</w:t>
      </w:r>
      <w:r w:rsidRPr="00214FE4">
        <w:rPr>
          <w:rFonts w:ascii="Arial" w:hAnsi="Arial" w:cs="Arial"/>
          <w:b/>
          <w:iCs/>
          <w:sz w:val="22"/>
          <w:szCs w:val="22"/>
        </w:rPr>
        <w:t>:</w:t>
      </w:r>
      <w:r w:rsidRPr="00214FE4">
        <w:rPr>
          <w:rFonts w:ascii="Arial" w:hAnsi="Arial" w:cs="Arial"/>
          <w:iCs/>
          <w:sz w:val="22"/>
          <w:szCs w:val="22"/>
        </w:rPr>
        <w:t xml:space="preserve"> </w:t>
      </w:r>
      <w:r w:rsidRPr="00214FE4">
        <w:rPr>
          <w:rFonts w:ascii="Arial" w:hAnsi="Arial" w:cs="Arial"/>
          <w:iCs/>
          <w:sz w:val="22"/>
          <w:szCs w:val="22"/>
          <w:vertAlign w:val="superscript"/>
        </w:rPr>
        <w:t>a</w:t>
      </w:r>
      <w:r w:rsidRPr="00214FE4">
        <w:rPr>
          <w:rFonts w:ascii="Arial" w:hAnsi="Arial" w:cs="Arial"/>
          <w:iCs/>
          <w:sz w:val="22"/>
          <w:szCs w:val="22"/>
        </w:rPr>
        <w:t>Universidade Estadual do Norte Fluminense</w:t>
      </w:r>
      <w:r w:rsidRPr="00214FE4">
        <w:rPr>
          <w:rFonts w:ascii="Arial" w:hAnsi="Arial" w:cs="Arial"/>
          <w:sz w:val="22"/>
          <w:szCs w:val="22"/>
        </w:rPr>
        <w:t xml:space="preserve"> Darcy Ribeiro</w:t>
      </w:r>
      <w:r w:rsidRPr="00214FE4">
        <w:rPr>
          <w:rFonts w:ascii="Arial" w:hAnsi="Arial" w:cs="Arial"/>
          <w:iCs/>
          <w:sz w:val="22"/>
          <w:szCs w:val="22"/>
        </w:rPr>
        <w:t>, Centro de Biociências e Biotecnologia, Laboratório de Química e Função de Proteínas e Peptídeos.</w:t>
      </w:r>
      <w:r w:rsidRPr="00214FE4">
        <w:rPr>
          <w:rFonts w:ascii="Arial" w:hAnsi="Arial" w:cs="Arial"/>
          <w:iCs/>
          <w:sz w:val="22"/>
          <w:szCs w:val="22"/>
          <w:vertAlign w:val="superscript"/>
        </w:rPr>
        <w:t xml:space="preserve"> b </w:t>
      </w:r>
      <w:r w:rsidRPr="00214FE4">
        <w:rPr>
          <w:rFonts w:ascii="Arial" w:hAnsi="Arial" w:cs="Arial"/>
          <w:iCs/>
          <w:sz w:val="22"/>
          <w:szCs w:val="22"/>
        </w:rPr>
        <w:t>Laboratório de Biologia do Reconhecer</w:t>
      </w:r>
    </w:p>
    <w:p w14:paraId="6EC83965" w14:textId="77777777" w:rsidR="00214FE4" w:rsidRPr="00214FE4" w:rsidRDefault="00214FE4" w:rsidP="00214FE4">
      <w:pPr>
        <w:ind w:firstLine="0"/>
        <w:rPr>
          <w:rFonts w:ascii="Arial" w:hAnsi="Arial" w:cs="Arial"/>
          <w:b/>
          <w:iCs/>
          <w:sz w:val="22"/>
          <w:szCs w:val="22"/>
        </w:rPr>
      </w:pPr>
    </w:p>
    <w:p w14:paraId="7425104D" w14:textId="0F01F213" w:rsidR="00214FE4" w:rsidRPr="00214FE4" w:rsidRDefault="00214FE4" w:rsidP="00214FE4">
      <w:pPr>
        <w:ind w:firstLine="0"/>
        <w:rPr>
          <w:rFonts w:ascii="Arial" w:hAnsi="Arial" w:cs="Arial"/>
          <w:iCs/>
          <w:sz w:val="22"/>
          <w:szCs w:val="22"/>
          <w:u w:val="single"/>
        </w:rPr>
      </w:pPr>
      <w:r w:rsidRPr="00214FE4">
        <w:rPr>
          <w:rFonts w:ascii="Arial" w:hAnsi="Arial" w:cs="Arial"/>
          <w:b/>
          <w:iCs/>
          <w:sz w:val="22"/>
          <w:szCs w:val="22"/>
        </w:rPr>
        <w:t xml:space="preserve">Autor correspondente: </w:t>
      </w:r>
      <w:r w:rsidRPr="00214FE4">
        <w:rPr>
          <w:rFonts w:ascii="Arial" w:hAnsi="Arial" w:cs="Arial"/>
          <w:iCs/>
          <w:sz w:val="22"/>
          <w:szCs w:val="22"/>
        </w:rPr>
        <w:t>Jorge H. Fernandez</w:t>
      </w:r>
      <w:r>
        <w:rPr>
          <w:rFonts w:ascii="Arial" w:hAnsi="Arial" w:cs="Arial"/>
          <w:iCs/>
          <w:sz w:val="22"/>
          <w:szCs w:val="22"/>
        </w:rPr>
        <w:t xml:space="preserve">                    </w:t>
      </w:r>
      <w:r w:rsidRPr="00214FE4">
        <w:rPr>
          <w:rFonts w:ascii="Arial" w:hAnsi="Arial" w:cs="Arial"/>
          <w:b/>
          <w:iCs/>
          <w:sz w:val="22"/>
          <w:szCs w:val="22"/>
        </w:rPr>
        <w:t>Contato:</w:t>
      </w:r>
      <w:r w:rsidRPr="00214FE4">
        <w:rPr>
          <w:rFonts w:ascii="Arial" w:hAnsi="Arial" w:cs="Arial"/>
          <w:iCs/>
          <w:sz w:val="22"/>
          <w:szCs w:val="22"/>
        </w:rPr>
        <w:t xml:space="preserve"> jorgehf@uenf.br</w:t>
      </w:r>
    </w:p>
    <w:p w14:paraId="4CEF4412" w14:textId="54FEEE0C" w:rsidR="00214FE4" w:rsidRPr="00214FE4" w:rsidRDefault="00214FE4" w:rsidP="00214FE4">
      <w:pPr>
        <w:ind w:firstLine="0"/>
        <w:rPr>
          <w:rFonts w:ascii="Arial" w:hAnsi="Arial" w:cs="Arial"/>
          <w:b/>
          <w:iCs/>
          <w:sz w:val="22"/>
          <w:szCs w:val="22"/>
          <w:lang w:val="en-GB"/>
        </w:rPr>
      </w:pPr>
      <w:r w:rsidRPr="00214FE4">
        <w:rPr>
          <w:rFonts w:ascii="Arial" w:hAnsi="Arial" w:cs="Arial"/>
          <w:b/>
          <w:iCs/>
          <w:sz w:val="22"/>
          <w:szCs w:val="22"/>
        </w:rPr>
        <w:t xml:space="preserve">Endereço permanente: </w:t>
      </w:r>
      <w:r w:rsidRPr="00214FE4">
        <w:rPr>
          <w:rFonts w:ascii="Arial" w:hAnsi="Arial" w:cs="Arial"/>
          <w:sz w:val="22"/>
          <w:szCs w:val="22"/>
        </w:rPr>
        <w:t xml:space="preserve">Universidade Estadual do Norte Fluminense Darcy Ribeiro. Centro de Biociências e Biotecnologia. P5, 230. Av. Alberto Lamego, 2000 - Bairro Parque Califórnia. </w:t>
      </w:r>
      <w:r w:rsidRPr="00214FE4">
        <w:rPr>
          <w:rFonts w:ascii="Arial" w:hAnsi="Arial" w:cs="Arial"/>
          <w:sz w:val="22"/>
          <w:szCs w:val="22"/>
          <w:lang w:val="en-GB"/>
        </w:rPr>
        <w:t>CEP: 28013-602. Campos dos Goytacazes, RJ - Brasil.</w:t>
      </w:r>
    </w:p>
    <w:p w14:paraId="54F162F4" w14:textId="77777777" w:rsidR="00214FE4" w:rsidRDefault="00214FE4" w:rsidP="00A22F78">
      <w:pPr>
        <w:pStyle w:val="Default"/>
        <w:spacing w:line="360" w:lineRule="auto"/>
        <w:rPr>
          <w:b/>
          <w:bCs/>
          <w:sz w:val="22"/>
          <w:szCs w:val="22"/>
        </w:rPr>
      </w:pPr>
    </w:p>
    <w:p w14:paraId="692B508F" w14:textId="77777777" w:rsidR="00A22F78" w:rsidRDefault="00A22F78" w:rsidP="00A22F78">
      <w:pPr>
        <w:pStyle w:val="Default"/>
        <w:spacing w:line="360" w:lineRule="auto"/>
        <w:rPr>
          <w:b/>
          <w:bCs/>
          <w:sz w:val="22"/>
          <w:szCs w:val="22"/>
        </w:rPr>
      </w:pPr>
      <w:r>
        <w:rPr>
          <w:b/>
          <w:bCs/>
          <w:sz w:val="22"/>
          <w:szCs w:val="22"/>
        </w:rPr>
        <w:t>RESUMO</w:t>
      </w:r>
    </w:p>
    <w:p w14:paraId="02566820" w14:textId="3DBE6E7E" w:rsidR="000D2DB0" w:rsidRDefault="000D2DB0" w:rsidP="00A22F78">
      <w:pPr>
        <w:pStyle w:val="Default"/>
        <w:spacing w:line="360" w:lineRule="auto"/>
        <w:jc w:val="both"/>
        <w:rPr>
          <w:bCs/>
          <w:sz w:val="22"/>
          <w:szCs w:val="22"/>
        </w:rPr>
      </w:pPr>
    </w:p>
    <w:p w14:paraId="1E5A25A3" w14:textId="63F97F74" w:rsidR="00481F2B" w:rsidRDefault="00DC2964" w:rsidP="00DC2964">
      <w:pPr>
        <w:autoSpaceDE w:val="0"/>
        <w:autoSpaceDN w:val="0"/>
        <w:adjustRightInd w:val="0"/>
        <w:ind w:firstLine="0"/>
        <w:rPr>
          <w:rFonts w:ascii="Arial" w:eastAsiaTheme="minorHAnsi" w:hAnsi="Arial" w:cs="Arial"/>
          <w:sz w:val="22"/>
          <w:szCs w:val="22"/>
        </w:rPr>
      </w:pPr>
      <w:r w:rsidRPr="00DC2964">
        <w:rPr>
          <w:rFonts w:ascii="Arial" w:eastAsiaTheme="minorHAnsi" w:hAnsi="Arial" w:cs="Arial"/>
          <w:sz w:val="22"/>
          <w:szCs w:val="22"/>
        </w:rPr>
        <w:t xml:space="preserve">As integrinas são proteínas de membrana essenciais para a adesão, invasão e migração celular. Subunidades de integrina tais como α4, α5, α6, αV, β1 e β3 são moléculas de adesão cruciais no processo de metástase e a capacidade de bloquear estas proteínas surge como uma abordagem alternativa para o tratamento de tumores metastáticos. Com base no </w:t>
      </w:r>
      <w:r w:rsidRPr="00DC2964">
        <w:rPr>
          <w:rFonts w:ascii="Arial" w:eastAsiaTheme="minorHAnsi" w:hAnsi="Arial" w:cs="Arial"/>
          <w:i/>
          <w:iCs/>
          <w:sz w:val="22"/>
          <w:szCs w:val="22"/>
        </w:rPr>
        <w:t xml:space="preserve">loop </w:t>
      </w:r>
      <w:r w:rsidRPr="00DC2964">
        <w:rPr>
          <w:rFonts w:ascii="Arial" w:eastAsiaTheme="minorHAnsi" w:hAnsi="Arial" w:cs="Arial"/>
          <w:sz w:val="22"/>
          <w:szCs w:val="22"/>
        </w:rPr>
        <w:t>interativo do domínio desintegrina-</w:t>
      </w:r>
      <w:r w:rsidRPr="00DC2964">
        <w:rPr>
          <w:rFonts w:ascii="Arial" w:eastAsiaTheme="minorHAnsi" w:hAnsi="Arial" w:cs="Arial"/>
          <w:i/>
          <w:iCs/>
          <w:sz w:val="22"/>
          <w:szCs w:val="22"/>
        </w:rPr>
        <w:t xml:space="preserve">like </w:t>
      </w:r>
      <w:r w:rsidRPr="00DC2964">
        <w:rPr>
          <w:rFonts w:ascii="Arial" w:eastAsiaTheme="minorHAnsi" w:hAnsi="Arial" w:cs="Arial"/>
          <w:sz w:val="22"/>
          <w:szCs w:val="22"/>
        </w:rPr>
        <w:t xml:space="preserve">da ADAM9 foi desenvolvido </w:t>
      </w:r>
      <w:r w:rsidRPr="00DC2964">
        <w:rPr>
          <w:rFonts w:ascii="Arial" w:eastAsiaTheme="minorHAnsi" w:hAnsi="Arial" w:cs="Arial"/>
          <w:i/>
          <w:iCs/>
          <w:sz w:val="22"/>
          <w:szCs w:val="22"/>
        </w:rPr>
        <w:t xml:space="preserve">in silico </w:t>
      </w:r>
      <w:r w:rsidRPr="00DC2964">
        <w:rPr>
          <w:rFonts w:ascii="Arial" w:eastAsiaTheme="minorHAnsi" w:hAnsi="Arial" w:cs="Arial"/>
          <w:sz w:val="22"/>
          <w:szCs w:val="22"/>
        </w:rPr>
        <w:t xml:space="preserve">o peptídeo cíclico A9s capaz de interagir especificamente com a região MIDAS das integrinas, interrompendo a </w:t>
      </w:r>
      <w:r w:rsidRPr="006409E3">
        <w:rPr>
          <w:rFonts w:ascii="Arial" w:eastAsiaTheme="minorHAnsi" w:hAnsi="Arial" w:cs="Arial"/>
          <w:sz w:val="22"/>
          <w:szCs w:val="22"/>
        </w:rPr>
        <w:t>comunicação entre célula</w:t>
      </w:r>
      <w:r w:rsidR="00134BD0" w:rsidRPr="006409E3">
        <w:rPr>
          <w:rFonts w:ascii="Arial" w:eastAsiaTheme="minorHAnsi" w:hAnsi="Arial" w:cs="Arial"/>
          <w:sz w:val="22"/>
          <w:szCs w:val="22"/>
        </w:rPr>
        <w:t xml:space="preserve"> e </w:t>
      </w:r>
      <w:r w:rsidRPr="006409E3">
        <w:rPr>
          <w:rFonts w:ascii="Arial" w:eastAsiaTheme="minorHAnsi" w:hAnsi="Arial" w:cs="Arial"/>
          <w:sz w:val="22"/>
          <w:szCs w:val="22"/>
        </w:rPr>
        <w:t>matriz extracelular. Para avaliar o efeito inibitório do peptídeo A9s na adesão, migração</w:t>
      </w:r>
      <w:r w:rsidRPr="00DC2964">
        <w:rPr>
          <w:rFonts w:ascii="Arial" w:eastAsiaTheme="minorHAnsi" w:hAnsi="Arial" w:cs="Arial"/>
          <w:sz w:val="22"/>
          <w:szCs w:val="22"/>
        </w:rPr>
        <w:t xml:space="preserve"> e proliferação celular foi utilizada a linhagem de melanoma murino que é altamente metastática B16F10. </w:t>
      </w:r>
      <w:r w:rsidR="00481F2B">
        <w:rPr>
          <w:rFonts w:ascii="Arial" w:eastAsiaTheme="minorHAnsi" w:hAnsi="Arial" w:cs="Arial"/>
          <w:sz w:val="22"/>
          <w:szCs w:val="22"/>
        </w:rPr>
        <w:t xml:space="preserve">Ao </w:t>
      </w:r>
      <w:r w:rsidRPr="00DC2964">
        <w:rPr>
          <w:rFonts w:ascii="Arial" w:eastAsiaTheme="minorHAnsi" w:hAnsi="Arial" w:cs="Arial"/>
          <w:sz w:val="22"/>
          <w:szCs w:val="22"/>
        </w:rPr>
        <w:t>test</w:t>
      </w:r>
      <w:r w:rsidR="00481F2B">
        <w:rPr>
          <w:rFonts w:ascii="Arial" w:eastAsiaTheme="minorHAnsi" w:hAnsi="Arial" w:cs="Arial"/>
          <w:sz w:val="22"/>
          <w:szCs w:val="22"/>
        </w:rPr>
        <w:t>ar</w:t>
      </w:r>
      <w:r w:rsidRPr="00DC2964">
        <w:rPr>
          <w:rFonts w:ascii="Arial" w:eastAsiaTheme="minorHAnsi" w:hAnsi="Arial" w:cs="Arial"/>
          <w:sz w:val="22"/>
          <w:szCs w:val="22"/>
        </w:rPr>
        <w:t xml:space="preserve"> </w:t>
      </w:r>
      <w:r w:rsidR="00481F2B">
        <w:rPr>
          <w:rFonts w:ascii="Arial" w:eastAsiaTheme="minorHAnsi" w:hAnsi="Arial" w:cs="Arial"/>
          <w:sz w:val="22"/>
          <w:szCs w:val="22"/>
        </w:rPr>
        <w:t>a adesão dessa</w:t>
      </w:r>
      <w:r w:rsidRPr="00DC2964">
        <w:rPr>
          <w:rFonts w:ascii="Arial" w:eastAsiaTheme="minorHAnsi" w:hAnsi="Arial" w:cs="Arial"/>
          <w:sz w:val="22"/>
          <w:szCs w:val="22"/>
        </w:rPr>
        <w:t xml:space="preserve"> linhagem em diferentes </w:t>
      </w:r>
      <w:r w:rsidR="00481F2B">
        <w:rPr>
          <w:rFonts w:ascii="Arial" w:eastAsiaTheme="minorHAnsi" w:hAnsi="Arial" w:cs="Arial"/>
          <w:sz w:val="22"/>
          <w:szCs w:val="22"/>
        </w:rPr>
        <w:t xml:space="preserve">proteínas da matriz extracelular </w:t>
      </w:r>
      <w:r w:rsidRPr="00DC2964">
        <w:rPr>
          <w:rFonts w:ascii="Arial" w:eastAsiaTheme="minorHAnsi" w:hAnsi="Arial" w:cs="Arial"/>
          <w:sz w:val="22"/>
          <w:szCs w:val="22"/>
        </w:rPr>
        <w:t xml:space="preserve">as células B16F10 mostraram uma </w:t>
      </w:r>
      <w:r w:rsidR="00481F2B">
        <w:rPr>
          <w:rFonts w:ascii="Arial" w:eastAsiaTheme="minorHAnsi" w:hAnsi="Arial" w:cs="Arial"/>
          <w:sz w:val="22"/>
          <w:szCs w:val="22"/>
        </w:rPr>
        <w:t xml:space="preserve">forte </w:t>
      </w:r>
      <w:r w:rsidRPr="00DC2964">
        <w:rPr>
          <w:rFonts w:ascii="Arial" w:eastAsiaTheme="minorHAnsi" w:hAnsi="Arial" w:cs="Arial"/>
          <w:sz w:val="22"/>
          <w:szCs w:val="22"/>
        </w:rPr>
        <w:t xml:space="preserve">adesão </w:t>
      </w:r>
      <w:r w:rsidR="00481F2B">
        <w:rPr>
          <w:rFonts w:ascii="Arial" w:eastAsiaTheme="minorHAnsi" w:hAnsi="Arial" w:cs="Arial"/>
          <w:sz w:val="22"/>
          <w:szCs w:val="22"/>
        </w:rPr>
        <w:t>à fibronectina</w:t>
      </w:r>
      <w:r w:rsidRPr="00DC2964">
        <w:rPr>
          <w:rFonts w:ascii="Arial" w:eastAsiaTheme="minorHAnsi" w:hAnsi="Arial" w:cs="Arial"/>
          <w:sz w:val="22"/>
          <w:szCs w:val="22"/>
        </w:rPr>
        <w:t xml:space="preserve">. Em ensaios de adesão, o peptídeo A9s foi capaz de inibir </w:t>
      </w:r>
      <w:r w:rsidR="00481F2B">
        <w:rPr>
          <w:rFonts w:ascii="Arial" w:eastAsiaTheme="minorHAnsi" w:hAnsi="Arial" w:cs="Arial"/>
          <w:sz w:val="22"/>
          <w:szCs w:val="22"/>
        </w:rPr>
        <w:t>9</w:t>
      </w:r>
      <w:r w:rsidRPr="00DC2964">
        <w:rPr>
          <w:rFonts w:ascii="Arial" w:eastAsiaTheme="minorHAnsi" w:hAnsi="Arial" w:cs="Arial"/>
          <w:sz w:val="22"/>
          <w:szCs w:val="22"/>
        </w:rPr>
        <w:t xml:space="preserve">8% da adesão celular da B16F10 </w:t>
      </w:r>
      <w:r w:rsidR="00481F2B">
        <w:rPr>
          <w:rFonts w:ascii="Arial" w:eastAsiaTheme="minorHAnsi" w:hAnsi="Arial" w:cs="Arial"/>
          <w:sz w:val="22"/>
          <w:szCs w:val="22"/>
        </w:rPr>
        <w:t>em</w:t>
      </w:r>
      <w:r w:rsidRPr="00DC2964">
        <w:rPr>
          <w:rFonts w:ascii="Arial" w:eastAsiaTheme="minorHAnsi" w:hAnsi="Arial" w:cs="Arial"/>
          <w:sz w:val="22"/>
          <w:szCs w:val="22"/>
        </w:rPr>
        <w:t xml:space="preserve"> fibronectina na concentração 1μM, exibindo IC</w:t>
      </w:r>
      <w:r w:rsidRPr="006E6E1C">
        <w:rPr>
          <w:rFonts w:ascii="Arial" w:eastAsiaTheme="minorHAnsi" w:hAnsi="Arial" w:cs="Arial"/>
          <w:sz w:val="22"/>
          <w:szCs w:val="22"/>
          <w:vertAlign w:val="subscript"/>
        </w:rPr>
        <w:t>50</w:t>
      </w:r>
      <w:r w:rsidRPr="00DC2964">
        <w:rPr>
          <w:rFonts w:ascii="Arial" w:eastAsiaTheme="minorHAnsi" w:hAnsi="Arial" w:cs="Arial"/>
          <w:sz w:val="22"/>
          <w:szCs w:val="22"/>
        </w:rPr>
        <w:t xml:space="preserve"> de </w:t>
      </w:r>
      <w:r w:rsidR="006E6E1C">
        <w:rPr>
          <w:rFonts w:ascii="Arial" w:eastAsiaTheme="minorHAnsi" w:hAnsi="Arial" w:cs="Arial"/>
          <w:sz w:val="22"/>
          <w:szCs w:val="22"/>
        </w:rPr>
        <w:t>0,2n</w:t>
      </w:r>
      <w:r w:rsidRPr="00DC2964">
        <w:rPr>
          <w:rFonts w:ascii="Arial" w:eastAsiaTheme="minorHAnsi" w:hAnsi="Arial" w:cs="Arial"/>
          <w:sz w:val="22"/>
          <w:szCs w:val="22"/>
        </w:rPr>
        <w:t xml:space="preserve">M. Nos testes de crescimento celular o peptídeo A9s </w:t>
      </w:r>
      <w:r w:rsidR="00481F2B">
        <w:rPr>
          <w:rFonts w:ascii="Arial" w:eastAsiaTheme="minorHAnsi" w:hAnsi="Arial" w:cs="Arial"/>
          <w:sz w:val="22"/>
          <w:szCs w:val="22"/>
        </w:rPr>
        <w:t xml:space="preserve">inibiu </w:t>
      </w:r>
      <w:r w:rsidRPr="00DC2964">
        <w:rPr>
          <w:rFonts w:ascii="Arial" w:eastAsiaTheme="minorHAnsi" w:hAnsi="Arial" w:cs="Arial"/>
          <w:sz w:val="22"/>
          <w:szCs w:val="22"/>
        </w:rPr>
        <w:t>em até 55% o crescimento das células B16F10 entre 24 e 72h</w:t>
      </w:r>
      <w:r w:rsidR="00481F2B">
        <w:rPr>
          <w:rFonts w:ascii="Arial" w:eastAsiaTheme="minorHAnsi" w:hAnsi="Arial" w:cs="Arial"/>
          <w:sz w:val="22"/>
          <w:szCs w:val="22"/>
        </w:rPr>
        <w:t xml:space="preserve">. </w:t>
      </w:r>
      <w:r w:rsidRPr="00DC2964">
        <w:rPr>
          <w:rFonts w:ascii="Arial" w:eastAsiaTheme="minorHAnsi" w:hAnsi="Arial" w:cs="Arial"/>
          <w:sz w:val="22"/>
          <w:szCs w:val="22"/>
        </w:rPr>
        <w:t>Ao</w:t>
      </w:r>
      <w:r w:rsidR="00481F2B">
        <w:rPr>
          <w:rFonts w:ascii="Arial" w:eastAsiaTheme="minorHAnsi" w:hAnsi="Arial" w:cs="Arial"/>
          <w:sz w:val="22"/>
          <w:szCs w:val="22"/>
        </w:rPr>
        <w:t xml:space="preserve"> re-adicionar peptídeo a cada 24h</w:t>
      </w:r>
      <w:r w:rsidRPr="00DC2964">
        <w:rPr>
          <w:rFonts w:ascii="Arial" w:eastAsiaTheme="minorHAnsi" w:hAnsi="Arial" w:cs="Arial"/>
          <w:sz w:val="22"/>
          <w:szCs w:val="22"/>
        </w:rPr>
        <w:t xml:space="preserve"> a inibição do crescimento celular alcançou 78%. Os testes de cicatrização mostraram 35% de inibição da proliferação celular em B16F10 tratada com 100nM de A9s em 6h e 12h. Paralelamente, nos testes de migração celular, o peptídeo A9s mostrou uma capacidade de inibir mais de 50% da migração das células B16F10. Além disso, o peptídeo A9s exibiu baixa toxicidade nos ensaios de MTT.</w:t>
      </w:r>
      <w:r w:rsidR="00481F2B">
        <w:rPr>
          <w:rFonts w:ascii="Arial" w:eastAsiaTheme="minorHAnsi" w:hAnsi="Arial" w:cs="Arial"/>
          <w:sz w:val="22"/>
          <w:szCs w:val="22"/>
        </w:rPr>
        <w:t xml:space="preserve"> Ao avaliar a expressão das subunidades de integrinas foi possível observar uma alteração da expressão de </w:t>
      </w:r>
      <w:r w:rsidR="0008253C" w:rsidRPr="00DC2964">
        <w:rPr>
          <w:rFonts w:ascii="Arial" w:eastAsiaTheme="minorHAnsi" w:hAnsi="Arial" w:cs="Arial"/>
          <w:sz w:val="22"/>
          <w:szCs w:val="22"/>
        </w:rPr>
        <w:t>α5</w:t>
      </w:r>
      <w:r w:rsidR="0008253C">
        <w:rPr>
          <w:rFonts w:ascii="Arial" w:eastAsiaTheme="minorHAnsi" w:hAnsi="Arial" w:cs="Arial"/>
          <w:sz w:val="22"/>
          <w:szCs w:val="22"/>
        </w:rPr>
        <w:t xml:space="preserve">, porém não houve alteração na expressão das subunidades </w:t>
      </w:r>
      <w:r w:rsidR="0008253C" w:rsidRPr="00DC2964">
        <w:rPr>
          <w:rFonts w:ascii="Arial" w:eastAsiaTheme="minorHAnsi" w:hAnsi="Arial" w:cs="Arial"/>
          <w:sz w:val="22"/>
          <w:szCs w:val="22"/>
        </w:rPr>
        <w:t>α4, α6, αV, β1 e β3</w:t>
      </w:r>
      <w:r w:rsidR="0008253C">
        <w:rPr>
          <w:rFonts w:ascii="Arial" w:eastAsiaTheme="minorHAnsi" w:hAnsi="Arial" w:cs="Arial"/>
          <w:sz w:val="22"/>
          <w:szCs w:val="22"/>
        </w:rPr>
        <w:t>.</w:t>
      </w:r>
      <w:r w:rsidRPr="00DC2964">
        <w:rPr>
          <w:rFonts w:ascii="Arial" w:eastAsiaTheme="minorHAnsi" w:hAnsi="Arial" w:cs="Arial"/>
          <w:sz w:val="22"/>
          <w:szCs w:val="22"/>
        </w:rPr>
        <w:t xml:space="preserve"> Todos os resultados obtidos</w:t>
      </w:r>
      <w:r w:rsidR="00134BD0">
        <w:rPr>
          <w:rFonts w:ascii="Arial" w:eastAsiaTheme="minorHAnsi" w:hAnsi="Arial" w:cs="Arial"/>
          <w:sz w:val="22"/>
          <w:szCs w:val="22"/>
        </w:rPr>
        <w:t xml:space="preserve"> indicam </w:t>
      </w:r>
      <w:r w:rsidRPr="00DC2964">
        <w:rPr>
          <w:rFonts w:ascii="Arial" w:eastAsiaTheme="minorHAnsi" w:hAnsi="Arial" w:cs="Arial"/>
          <w:sz w:val="22"/>
          <w:szCs w:val="22"/>
        </w:rPr>
        <w:t>que o peptídeo A9s é capaz de interferir na adesão e migração das células B16F10, tendo a qualidade de um antagonista de integrina em baixas concentrações (nM), sem toxicidade celular aparente</w:t>
      </w:r>
      <w:r w:rsidR="0008253C">
        <w:rPr>
          <w:rFonts w:ascii="Arial" w:eastAsiaTheme="minorHAnsi" w:hAnsi="Arial" w:cs="Arial"/>
          <w:sz w:val="22"/>
          <w:szCs w:val="22"/>
        </w:rPr>
        <w:t xml:space="preserve"> e sem afetar </w:t>
      </w:r>
      <w:r w:rsidR="00E851F6" w:rsidRPr="00214FE4">
        <w:rPr>
          <w:rFonts w:ascii="Arial" w:eastAsiaTheme="minorHAnsi" w:hAnsi="Arial" w:cs="Arial"/>
          <w:color w:val="auto"/>
          <w:sz w:val="22"/>
          <w:szCs w:val="22"/>
        </w:rPr>
        <w:t xml:space="preserve">a </w:t>
      </w:r>
      <w:r w:rsidR="0008253C">
        <w:rPr>
          <w:rFonts w:ascii="Arial" w:eastAsiaTheme="minorHAnsi" w:hAnsi="Arial" w:cs="Arial"/>
          <w:sz w:val="22"/>
          <w:szCs w:val="22"/>
        </w:rPr>
        <w:t>expressão de integrinas</w:t>
      </w:r>
      <w:r w:rsidRPr="00DC2964">
        <w:rPr>
          <w:rFonts w:ascii="Arial" w:eastAsiaTheme="minorHAnsi" w:hAnsi="Arial" w:cs="Arial"/>
          <w:sz w:val="22"/>
          <w:szCs w:val="22"/>
        </w:rPr>
        <w:t>. Estes resultados sugerem uma possível função anti-metastática para este peptídeo cíclico específico.</w:t>
      </w:r>
    </w:p>
    <w:p w14:paraId="759B73F5" w14:textId="77777777" w:rsidR="00214FE4" w:rsidRPr="00DC2964" w:rsidRDefault="00214FE4" w:rsidP="00DC2964">
      <w:pPr>
        <w:autoSpaceDE w:val="0"/>
        <w:autoSpaceDN w:val="0"/>
        <w:adjustRightInd w:val="0"/>
        <w:ind w:firstLine="0"/>
        <w:rPr>
          <w:rFonts w:ascii="Arial" w:eastAsiaTheme="minorHAnsi" w:hAnsi="Arial" w:cs="Arial"/>
          <w:sz w:val="22"/>
          <w:szCs w:val="22"/>
        </w:rPr>
      </w:pPr>
    </w:p>
    <w:p w14:paraId="4213800D" w14:textId="2B511333" w:rsidR="000D2DB0" w:rsidRPr="00214FE4" w:rsidRDefault="00DC2964" w:rsidP="000822FE">
      <w:pPr>
        <w:pStyle w:val="Default"/>
        <w:spacing w:line="360" w:lineRule="auto"/>
        <w:jc w:val="both"/>
        <w:rPr>
          <w:bCs/>
          <w:sz w:val="22"/>
          <w:szCs w:val="22"/>
        </w:rPr>
      </w:pPr>
      <w:r w:rsidRPr="00DC2964">
        <w:rPr>
          <w:sz w:val="22"/>
          <w:szCs w:val="22"/>
        </w:rPr>
        <w:t>Palavras-chave: Integrinas, Peptídeo cíclico, Metástase, B16F10</w:t>
      </w:r>
    </w:p>
    <w:p w14:paraId="4753252B" w14:textId="47E5484D" w:rsidR="000822FE" w:rsidRPr="00CC56FB" w:rsidRDefault="000822FE" w:rsidP="000822FE">
      <w:pPr>
        <w:pStyle w:val="Default"/>
        <w:spacing w:line="360" w:lineRule="auto"/>
        <w:jc w:val="both"/>
        <w:rPr>
          <w:sz w:val="22"/>
          <w:szCs w:val="22"/>
        </w:rPr>
      </w:pPr>
      <w:r w:rsidRPr="00CC56FB">
        <w:rPr>
          <w:b/>
          <w:bCs/>
          <w:sz w:val="22"/>
          <w:szCs w:val="22"/>
        </w:rPr>
        <w:lastRenderedPageBreak/>
        <w:t xml:space="preserve">INTRODUÇÃO </w:t>
      </w:r>
    </w:p>
    <w:p w14:paraId="5BC5B5F1" w14:textId="77777777" w:rsidR="000822FE" w:rsidRPr="00CC56FB" w:rsidRDefault="000822FE" w:rsidP="000822FE">
      <w:pPr>
        <w:pStyle w:val="Default"/>
        <w:spacing w:line="360" w:lineRule="auto"/>
        <w:jc w:val="both"/>
        <w:rPr>
          <w:sz w:val="22"/>
          <w:szCs w:val="22"/>
        </w:rPr>
      </w:pPr>
    </w:p>
    <w:p w14:paraId="4AE1B7CA" w14:textId="4C563736" w:rsidR="000822FE" w:rsidRPr="00CC56FB" w:rsidRDefault="000822FE" w:rsidP="00082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212121"/>
          <w:sz w:val="22"/>
          <w:szCs w:val="22"/>
          <w:lang w:eastAsia="pt-BR"/>
        </w:rPr>
      </w:pPr>
      <w:r w:rsidRPr="00CC56FB">
        <w:rPr>
          <w:rFonts w:ascii="Arial" w:eastAsia="Times New Roman" w:hAnsi="Arial" w:cs="Arial"/>
          <w:color w:val="212121"/>
          <w:sz w:val="22"/>
          <w:szCs w:val="22"/>
          <w:lang w:val="pt-PT" w:eastAsia="pt-BR"/>
        </w:rPr>
        <w:tab/>
        <w:t>As integrinas são glicoproteínas transmembranares heterodiméricas</w:t>
      </w:r>
      <w:r w:rsidR="00ED0728">
        <w:rPr>
          <w:rFonts w:ascii="Arial" w:eastAsia="Times New Roman" w:hAnsi="Arial" w:cs="Arial"/>
          <w:color w:val="212121"/>
          <w:sz w:val="22"/>
          <w:szCs w:val="22"/>
          <w:lang w:val="pt-PT" w:eastAsia="pt-BR"/>
        </w:rPr>
        <w:t xml:space="preserve"> pertencentes</w:t>
      </w:r>
      <w:r w:rsidRPr="00CC56FB">
        <w:rPr>
          <w:rFonts w:ascii="Arial" w:eastAsia="Times New Roman" w:hAnsi="Arial" w:cs="Arial"/>
          <w:color w:val="212121"/>
          <w:sz w:val="22"/>
          <w:szCs w:val="22"/>
          <w:lang w:val="pt-PT" w:eastAsia="pt-BR"/>
        </w:rPr>
        <w:t xml:space="preserve"> ao grupo das </w:t>
      </w:r>
      <w:r w:rsidR="00113B25">
        <w:rPr>
          <w:rFonts w:ascii="Arial" w:eastAsia="Times New Roman" w:hAnsi="Arial" w:cs="Arial"/>
          <w:color w:val="212121"/>
          <w:sz w:val="22"/>
          <w:szCs w:val="22"/>
          <w:lang w:val="pt-PT" w:eastAsia="pt-BR"/>
        </w:rPr>
        <w:t>moléculas de adesão celular</w:t>
      </w:r>
      <w:r w:rsidR="0008253C">
        <w:rPr>
          <w:rFonts w:ascii="Arial" w:eastAsia="Times New Roman" w:hAnsi="Arial" w:cs="Arial"/>
          <w:color w:val="212121"/>
          <w:sz w:val="22"/>
          <w:szCs w:val="22"/>
          <w:lang w:val="pt-PT" w:eastAsia="pt-BR"/>
        </w:rPr>
        <w:t xml:space="preserve"> </w:t>
      </w:r>
      <w:r w:rsidR="0008253C">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Communications","id":"ITEM-1","issue":"4","issued":{"date-parts":[["2005"]]},"page":"1269-1275","title":"Interaction between integrin α5 and fibronectin is required for metastasis of B16F10 melanoma cells","type":"article-journal","volume":"333"},"uris":["http://www.mendeley.com/documents/?uuid=75e99ed0-a967-4a9a-84a9-c7a7e3747db3"]}],"mendeley":{"formattedCitation":"[1]","plainTextFormattedCitation":"[1]","previouslyFormattedCitation":"[1]"},"properties":{"noteIndex":0},"schema":"https://github.com/citation-style-language/schema/raw/master/csl-citation.json"}</w:instrText>
      </w:r>
      <w:r w:rsidR="0008253C">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[1]</w:t>
      </w:r>
      <w:r w:rsidR="0008253C">
        <w:rPr>
          <w:rFonts w:ascii="Arial" w:eastAsia="Times New Roman" w:hAnsi="Arial" w:cs="Arial"/>
          <w:color w:val="212121"/>
          <w:sz w:val="22"/>
          <w:szCs w:val="22"/>
          <w:lang w:val="pt-PT" w:eastAsia="pt-BR"/>
        </w:rPr>
        <w:fldChar w:fldCharType="end"/>
      </w:r>
      <w:r w:rsidR="00725969">
        <w:rPr>
          <w:rFonts w:ascii="Arial" w:eastAsia="Times New Roman" w:hAnsi="Arial" w:cs="Arial"/>
          <w:color w:val="212121"/>
          <w:sz w:val="22"/>
          <w:szCs w:val="22"/>
          <w:lang w:val="pt-PT" w:eastAsia="pt-BR"/>
        </w:rPr>
        <w:t>.</w:t>
      </w:r>
      <w:r w:rsidR="00374EE2">
        <w:rPr>
          <w:rFonts w:ascii="Arial" w:eastAsia="Times New Roman" w:hAnsi="Arial" w:cs="Arial"/>
          <w:color w:val="212121"/>
          <w:sz w:val="22"/>
          <w:szCs w:val="22"/>
          <w:lang w:val="pt-PT" w:eastAsia="pt-BR"/>
        </w:rPr>
        <w:t xml:space="preserve"> </w:t>
      </w:r>
      <w:r w:rsidR="00725969">
        <w:rPr>
          <w:rFonts w:ascii="Arial" w:eastAsia="Times New Roman" w:hAnsi="Arial" w:cs="Arial"/>
          <w:color w:val="212121"/>
          <w:sz w:val="22"/>
          <w:szCs w:val="22"/>
          <w:lang w:val="pt-PT" w:eastAsia="pt-BR"/>
        </w:rPr>
        <w:t>Elas</w:t>
      </w:r>
      <w:r w:rsidR="00374EE2" w:rsidRPr="00374EE2">
        <w:rPr>
          <w:rFonts w:ascii="Arial" w:hAnsi="Arial" w:cs="Arial"/>
          <w:sz w:val="22"/>
          <w:szCs w:val="22"/>
        </w:rPr>
        <w:t xml:space="preserve"> estão presentes nas superfícies de praticamente todos os tipos de células de vertebrados</w:t>
      </w:r>
      <w:r w:rsidR="00ED0728">
        <w:rPr>
          <w:rFonts w:ascii="Arial" w:hAnsi="Arial" w:cs="Arial"/>
          <w:sz w:val="22"/>
          <w:szCs w:val="22"/>
        </w:rPr>
        <w:t xml:space="preserve"> </w:t>
      </w:r>
      <w:r w:rsidR="00ED0728">
        <w:rPr>
          <w:rFonts w:ascii="Arial" w:hAnsi="Arial" w:cs="Arial"/>
          <w:sz w:val="22"/>
          <w:szCs w:val="22"/>
        </w:rPr>
        <w:fldChar w:fldCharType="begin" w:fldLock="1"/>
      </w:r>
      <w:r w:rsidR="00FC509E">
        <w:rPr>
          <w:rFonts w:ascii="Arial" w:hAnsi="Arial" w:cs="Arial"/>
          <w:sz w:val="22"/>
          <w:szCs w:val="22"/>
        </w:rPr>
        <w:instrText>ADDIN CSL_CITATION {"citationItems":[{"id":"ITEM-1","itemData":{"ISBN":"978-1118206737","author":[{"dropping-particle":"","family":"Karp","given":"Gerald","non-dropping-particle":"","parse-names":false,"suffix":""}],"edition":"7ª","id":"ITEM-1","issued":{"date-parts":[["2013"]]},"number-of-pages":"874","publisher":"Wiley","title":"Cell and Molecular Biology: Concepts and Experiments","type":"book"},"uris":["http://www.mendeley.com/documents/?uuid=00eb039d-ef32-4bb5-ab94-a5383061d57d"]}],"mendeley":{"formattedCitation":"[2]","plainTextFormattedCitation":"[2]","previouslyFormattedCitation":"[2]"},"properties":{"noteIndex":0},"schema":"https://github.com/citation-style-language/schema/raw/master/csl-citation.json"}</w:instrText>
      </w:r>
      <w:r w:rsidR="00ED0728">
        <w:rPr>
          <w:rFonts w:ascii="Arial" w:hAnsi="Arial" w:cs="Arial"/>
          <w:sz w:val="22"/>
          <w:szCs w:val="22"/>
        </w:rPr>
        <w:fldChar w:fldCharType="separate"/>
      </w:r>
      <w:r w:rsidR="0008253C" w:rsidRPr="0008253C">
        <w:rPr>
          <w:rFonts w:ascii="Arial" w:hAnsi="Arial" w:cs="Arial"/>
          <w:noProof/>
          <w:sz w:val="22"/>
          <w:szCs w:val="22"/>
        </w:rPr>
        <w:t>[2]</w:t>
      </w:r>
      <w:r w:rsidR="00ED0728">
        <w:rPr>
          <w:rFonts w:ascii="Arial" w:hAnsi="Arial" w:cs="Arial"/>
          <w:sz w:val="22"/>
          <w:szCs w:val="22"/>
        </w:rPr>
        <w:fldChar w:fldCharType="end"/>
      </w:r>
      <w:r w:rsidR="002054B9" w:rsidRPr="00374EE2">
        <w:rPr>
          <w:rFonts w:ascii="Arial" w:eastAsia="Times New Roman" w:hAnsi="Arial" w:cs="Arial"/>
          <w:color w:val="212121"/>
          <w:sz w:val="22"/>
          <w:szCs w:val="22"/>
          <w:lang w:val="pt-PT" w:eastAsia="pt-BR"/>
        </w:rPr>
        <w:t>,</w:t>
      </w:r>
      <w:r w:rsidRPr="00CC56FB">
        <w:rPr>
          <w:rFonts w:ascii="Arial" w:eastAsia="Times New Roman" w:hAnsi="Arial" w:cs="Arial"/>
          <w:color w:val="212121"/>
          <w:sz w:val="22"/>
          <w:szCs w:val="22"/>
          <w:lang w:val="pt-PT" w:eastAsia="pt-BR"/>
        </w:rPr>
        <w:t xml:space="preserve"> e </w:t>
      </w:r>
      <w:r w:rsidR="00D14361">
        <w:rPr>
          <w:rFonts w:ascii="Arial" w:eastAsia="Times New Roman" w:hAnsi="Arial" w:cs="Arial"/>
          <w:color w:val="212121"/>
          <w:sz w:val="22"/>
          <w:szCs w:val="22"/>
          <w:lang w:val="pt-PT" w:eastAsia="pt-BR"/>
        </w:rPr>
        <w:t xml:space="preserve">promovem a adesão </w:t>
      </w:r>
      <w:r w:rsidRPr="00CC56FB">
        <w:rPr>
          <w:rFonts w:ascii="Arial" w:eastAsia="Times New Roman" w:hAnsi="Arial" w:cs="Arial"/>
          <w:color w:val="212121"/>
          <w:sz w:val="22"/>
          <w:szCs w:val="22"/>
          <w:lang w:val="pt-PT" w:eastAsia="pt-BR"/>
        </w:rPr>
        <w:t>célula</w:t>
      </w:r>
      <w:r w:rsidR="00D14361">
        <w:rPr>
          <w:rFonts w:ascii="Arial" w:eastAsia="Times New Roman" w:hAnsi="Arial" w:cs="Arial"/>
          <w:color w:val="212121"/>
          <w:sz w:val="22"/>
          <w:szCs w:val="22"/>
          <w:lang w:val="pt-PT" w:eastAsia="pt-BR"/>
        </w:rPr>
        <w:t>-célula</w:t>
      </w:r>
      <w:r w:rsidRPr="00CC56FB">
        <w:rPr>
          <w:rFonts w:ascii="Arial" w:eastAsia="Times New Roman" w:hAnsi="Arial" w:cs="Arial"/>
          <w:color w:val="212121"/>
          <w:sz w:val="22"/>
          <w:szCs w:val="22"/>
          <w:lang w:val="pt-PT" w:eastAsia="pt-BR"/>
        </w:rPr>
        <w:t xml:space="preserve"> e célula</w:t>
      </w:r>
      <w:r w:rsidR="00D14361">
        <w:rPr>
          <w:rFonts w:ascii="Arial" w:eastAsia="Times New Roman" w:hAnsi="Arial" w:cs="Arial"/>
          <w:color w:val="212121"/>
          <w:sz w:val="22"/>
          <w:szCs w:val="22"/>
          <w:lang w:val="pt-PT" w:eastAsia="pt-BR"/>
        </w:rPr>
        <w:t>-</w:t>
      </w:r>
      <w:r w:rsidRPr="00CC56FB">
        <w:rPr>
          <w:rFonts w:ascii="Arial" w:eastAsia="Times New Roman" w:hAnsi="Arial" w:cs="Arial"/>
          <w:color w:val="212121"/>
          <w:sz w:val="22"/>
          <w:szCs w:val="22"/>
          <w:lang w:val="pt-PT" w:eastAsia="pt-BR"/>
        </w:rPr>
        <w:t xml:space="preserve">matriz extracelular (MEC) </w:t>
      </w:r>
      <w:r w:rsidRPr="00CC56FB">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ISBN":"978-1118206737","author":[{"dropping-particle":"","family":"Karp","given":"Gerald","non-dropping-particle":"","parse-names":false,"suffix":""}],"edition":"7ª","id":"ITEM-1","issued":{"date-parts":[["2013"]]},"number-of-pages":"874","publisher":"Wiley","title":"Cell and Molecular Biology: Concepts and Experiments","type":"book"},"uris":["http://www.mendeley.com/documents/?uuid=00eb039d-ef32-4bb5-ab94-a5383061d57d"]},{"id":"ITEM-2","itemData":{"DOI":"10.1101/cshperspect.a005074","ISBN":"0076-6879 (Print) 0076-6879 (Linking)","ISSN":"1943-0264","PMID":"17697879","author":[{"dropping-particle":"","family":"Huttenlocher","given":"Anna","non-dropping-particle":"","parse-names":false,"suffix":""},{"dropping-particle":"","family":"Horwitz","given":"Alan Rick","non-dropping-particle":"","parse-names":false,"suffix":""}],"container-title":"Cold Spring Harbor Perspectives in Biology","id":"ITEM-2","issued":{"date-parts":[["2011"]]},"note":"NULL","page":"50-74","title":"Integrins in Cell Migration","type":"article-journal","volume":"3"},"uris":["http://www.mendeley.com/documents/?uuid=b7d9510e-2835-4256-bf54-723083d453fe"]}],"mendeley":{"formattedCitation":"[2,3]","plainTextFormattedCitation":"[2,3]","previouslyFormattedCitation":"[2,3]"},"properties":{"noteIndex":0},"schema":"https://github.com/citation-style-language/schema/raw/master/csl-citation.json"}</w:instrText>
      </w:r>
      <w:r w:rsidRPr="00CC56FB">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[2,3]</w:t>
      </w:r>
      <w:r w:rsidRPr="00CC56FB">
        <w:rPr>
          <w:rFonts w:ascii="Arial" w:eastAsia="Times New Roman" w:hAnsi="Arial" w:cs="Arial"/>
          <w:color w:val="212121"/>
          <w:sz w:val="22"/>
          <w:szCs w:val="22"/>
          <w:lang w:val="pt-PT" w:eastAsia="pt-BR"/>
        </w:rPr>
        <w:fldChar w:fldCharType="end"/>
      </w:r>
      <w:r w:rsidR="00DB7792">
        <w:rPr>
          <w:rFonts w:ascii="Arial" w:eastAsia="Times New Roman" w:hAnsi="Arial" w:cs="Arial"/>
          <w:color w:val="212121"/>
          <w:sz w:val="22"/>
          <w:szCs w:val="22"/>
          <w:lang w:val="pt-PT" w:eastAsia="pt-BR"/>
        </w:rPr>
        <w:t xml:space="preserve">. </w:t>
      </w:r>
      <w:r w:rsidR="0008253C">
        <w:rPr>
          <w:rFonts w:ascii="Arial" w:eastAsia="Times New Roman" w:hAnsi="Arial" w:cs="Arial"/>
          <w:color w:val="212121"/>
          <w:sz w:val="22"/>
          <w:szCs w:val="22"/>
          <w:lang w:val="pt-PT" w:eastAsia="pt-BR"/>
        </w:rPr>
        <w:t>Por promover</w:t>
      </w:r>
      <w:r w:rsidR="00D14361">
        <w:rPr>
          <w:rFonts w:ascii="Arial" w:eastAsia="Times New Roman" w:hAnsi="Arial" w:cs="Arial"/>
          <w:color w:val="212121"/>
          <w:sz w:val="22"/>
          <w:szCs w:val="22"/>
          <w:lang w:val="pt-PT" w:eastAsia="pt-BR"/>
        </w:rPr>
        <w:t>em</w:t>
      </w:r>
      <w:r w:rsidR="0008253C">
        <w:rPr>
          <w:rFonts w:ascii="Arial" w:eastAsia="Times New Roman" w:hAnsi="Arial" w:cs="Arial"/>
          <w:color w:val="212121"/>
          <w:sz w:val="22"/>
          <w:szCs w:val="22"/>
          <w:lang w:val="pt-PT" w:eastAsia="pt-BR"/>
        </w:rPr>
        <w:t xml:space="preserve"> a adesão </w:t>
      </w:r>
      <w:r w:rsidR="00E851F6" w:rsidRPr="00134BD0">
        <w:rPr>
          <w:rFonts w:ascii="Arial" w:eastAsia="Times New Roman" w:hAnsi="Arial" w:cs="Arial"/>
          <w:color w:val="auto"/>
          <w:sz w:val="22"/>
          <w:szCs w:val="22"/>
          <w:lang w:val="pt-PT" w:eastAsia="pt-BR"/>
        </w:rPr>
        <w:t>celular,</w:t>
      </w:r>
      <w:r w:rsidR="00E851F6">
        <w:rPr>
          <w:rFonts w:ascii="Arial" w:eastAsia="Times New Roman" w:hAnsi="Arial" w:cs="Arial"/>
          <w:color w:val="FF0000"/>
          <w:sz w:val="22"/>
          <w:szCs w:val="22"/>
          <w:lang w:val="pt-PT" w:eastAsia="pt-BR"/>
        </w:rPr>
        <w:t xml:space="preserve"> </w:t>
      </w:r>
      <w:r w:rsidR="0008253C">
        <w:rPr>
          <w:rFonts w:ascii="Arial" w:eastAsia="Times New Roman" w:hAnsi="Arial" w:cs="Arial"/>
          <w:color w:val="212121"/>
          <w:sz w:val="22"/>
          <w:szCs w:val="22"/>
          <w:lang w:val="pt-PT" w:eastAsia="pt-BR"/>
        </w:rPr>
        <w:t>a</w:t>
      </w:r>
      <w:r w:rsidR="00DB7792">
        <w:rPr>
          <w:rFonts w:ascii="Arial" w:eastAsia="Times New Roman" w:hAnsi="Arial" w:cs="Arial"/>
          <w:color w:val="212121"/>
          <w:sz w:val="22"/>
          <w:szCs w:val="22"/>
          <w:lang w:val="pt-PT" w:eastAsia="pt-BR"/>
        </w:rPr>
        <w:t xml:space="preserve">s integrinas </w:t>
      </w:r>
      <w:r w:rsidRPr="00CC56FB">
        <w:rPr>
          <w:rFonts w:ascii="Arial" w:eastAsia="Times New Roman" w:hAnsi="Arial" w:cs="Arial"/>
          <w:color w:val="212121"/>
          <w:sz w:val="22"/>
          <w:szCs w:val="22"/>
          <w:lang w:val="pt-PT" w:eastAsia="pt-BR"/>
        </w:rPr>
        <w:t>est</w:t>
      </w:r>
      <w:r w:rsidR="00DB7792">
        <w:rPr>
          <w:rFonts w:ascii="Arial" w:eastAsia="Times New Roman" w:hAnsi="Arial" w:cs="Arial"/>
          <w:color w:val="212121"/>
          <w:sz w:val="22"/>
          <w:szCs w:val="22"/>
          <w:lang w:val="pt-PT" w:eastAsia="pt-BR"/>
        </w:rPr>
        <w:t>ão</w:t>
      </w:r>
      <w:r w:rsidRPr="00CC56FB">
        <w:rPr>
          <w:rFonts w:ascii="Arial" w:eastAsia="Times New Roman" w:hAnsi="Arial" w:cs="Arial"/>
          <w:color w:val="212121"/>
          <w:sz w:val="22"/>
          <w:szCs w:val="22"/>
          <w:lang w:val="pt-PT" w:eastAsia="pt-BR"/>
        </w:rPr>
        <w:t xml:space="preserve"> envolvidas em uma ampla gama de processos fisiológicos e patológicos</w:t>
      </w:r>
      <w:r w:rsidR="00A07825">
        <w:rPr>
          <w:rFonts w:ascii="Arial" w:eastAsia="Times New Roman" w:hAnsi="Arial" w:cs="Arial"/>
          <w:color w:val="212121"/>
          <w:sz w:val="22"/>
          <w:szCs w:val="22"/>
          <w:lang w:val="pt-PT" w:eastAsia="pt-BR"/>
        </w:rPr>
        <w:t xml:space="preserve"> </w:t>
      </w:r>
      <w:r w:rsidR="00A07825" w:rsidRPr="00A07825">
        <w:rPr>
          <w:rFonts w:ascii="Arial" w:hAnsi="Arial" w:cs="Arial"/>
          <w:sz w:val="22"/>
          <w:szCs w:val="22"/>
        </w:rPr>
        <w:t xml:space="preserve">como o </w:t>
      </w:r>
      <w:bookmarkStart w:id="2" w:name="_Hlk11762902"/>
      <w:r w:rsidR="00A07825" w:rsidRPr="00A07825">
        <w:rPr>
          <w:rFonts w:ascii="Arial" w:hAnsi="Arial" w:cs="Arial"/>
          <w:sz w:val="22"/>
          <w:szCs w:val="22"/>
        </w:rPr>
        <w:t xml:space="preserve">desenvolvimento embrionário, </w:t>
      </w:r>
      <w:r w:rsidR="00D14361">
        <w:rPr>
          <w:rFonts w:ascii="Arial" w:hAnsi="Arial" w:cs="Arial"/>
          <w:sz w:val="22"/>
          <w:szCs w:val="22"/>
        </w:rPr>
        <w:t>respostas</w:t>
      </w:r>
      <w:r w:rsidR="00A07825" w:rsidRPr="00A07825">
        <w:rPr>
          <w:rFonts w:ascii="Arial" w:hAnsi="Arial" w:cs="Arial"/>
          <w:sz w:val="22"/>
          <w:szCs w:val="22"/>
        </w:rPr>
        <w:t xml:space="preserve"> imunológicos </w:t>
      </w:r>
      <w:bookmarkEnd w:id="2"/>
      <w:r w:rsidR="00A07825" w:rsidRPr="00A07825">
        <w:rPr>
          <w:rFonts w:ascii="Arial" w:hAnsi="Arial" w:cs="Arial"/>
          <w:sz w:val="22"/>
          <w:szCs w:val="22"/>
        </w:rPr>
        <w:t xml:space="preserve">e </w:t>
      </w:r>
      <w:r w:rsidR="00D14361">
        <w:rPr>
          <w:rFonts w:ascii="Arial" w:hAnsi="Arial" w:cs="Arial"/>
          <w:sz w:val="22"/>
          <w:szCs w:val="22"/>
        </w:rPr>
        <w:t>mecanismos</w:t>
      </w:r>
      <w:r w:rsidR="00A07825" w:rsidRPr="00A07825">
        <w:rPr>
          <w:rFonts w:ascii="Arial" w:hAnsi="Arial" w:cs="Arial"/>
          <w:sz w:val="22"/>
          <w:szCs w:val="22"/>
        </w:rPr>
        <w:t xml:space="preserve"> relacionado com a oncogênese</w:t>
      </w:r>
      <w:r w:rsidR="00A07825">
        <w:rPr>
          <w:sz w:val="23"/>
          <w:szCs w:val="23"/>
        </w:rPr>
        <w:t xml:space="preserve"> </w:t>
      </w:r>
      <w:r w:rsidRPr="00CC56FB">
        <w:rPr>
          <w:rFonts w:ascii="Arial" w:eastAsia="Times New Roman" w:hAnsi="Arial" w:cs="Arial"/>
          <w:color w:val="212121"/>
          <w:sz w:val="22"/>
          <w:szCs w:val="22"/>
          <w:lang w:val="pt-PT" w:eastAsia="pt-BR"/>
        </w:rPr>
        <w:t xml:space="preserve"> </w:t>
      </w:r>
      <w:r w:rsidRPr="00CC56FB">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{"citationItems":[{"id":"ITEM-1","itemData":{"DOI":"10.1016/j.tcb.2014.12.006","ISBN":"1879-3088 (Electronic) 0962-8924 (Linking)","ISSN":"18793088","PMID":"25572304","abstract":"Interactions between cancer cells and their surroundings can trigger essential signaling cues that determine cell fate and influence the evolution of the malignant phenotype. As the primary receptors involved in cell-matrix adhesion, integrins present on the surface of tumor and stromal cells have a profound impact on the ability to survive in specific locations, but in some cases, these receptors can also function in the absence of ligand binding to promote stemness and survival in the presence of environmental and therapeutic stresses. Understanding how integrin expression and function is regulated in this context will enable the development of new therapeutic approaches to sensitize tumors to therapy and suppress their metastatic phenotype.","author":[{"dropping-particle":"","family":"Seguin","given":"Laetitia","non-dropping-particle":"","parse-names":false,"suffix":""},{"dropping-particle":"","family":"Desgrosellier","given":"Jay S.","non-dropping-particle":"","parse-names":false,"suffix":""},{"dropping-particle":"","family":"Weis","given":"Sara M.","non-dropping-particle":"","parse-names":false,"suffix":""},{"dropping-particle":"","family":"Cheresh","given":"David A.","non-dropping-particle":"","parse-names":false,"suffix":""}],"container-title":"Trends in Cell Biology","id":"ITEM-1","issue":"4","issued":{"date-parts":[["2015"]]},"page":"234-240","publisher":"Elsevier Ltd","title":"Integrins and cancer: Regulators of cancer stemness, metastasis, and drug resistance","type":"article-journal","volume":"25"},"uris":["http://www.mendeley.com/documents/?uuid=0720daa2-1b2a-439e-a077-190bd6541a30"]}],"mendeley":{"formattedCitation":"[4]","plainTextFormattedCitation":"[4]","previouslyFormattedCitation":"[4]"},"properties":{"noteIndex":0},"schema":"https://github.com/citation-style-language/schema/raw/master/csl-citation.json"}</w:instrText>
      </w:r>
      <w:r w:rsidRPr="00CC56FB">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[4]</w:t>
      </w:r>
      <w:r w:rsidRPr="00CC56FB">
        <w:rPr>
          <w:rFonts w:ascii="Arial" w:eastAsia="Times New Roman" w:hAnsi="Arial" w:cs="Arial"/>
          <w:color w:val="212121"/>
          <w:sz w:val="22"/>
          <w:szCs w:val="22"/>
          <w:lang w:val="pt-PT" w:eastAsia="pt-BR"/>
        </w:rPr>
        <w:fldChar w:fldCharType="end"/>
      </w:r>
      <w:r w:rsidRPr="00CC56FB">
        <w:rPr>
          <w:rFonts w:ascii="Arial" w:eastAsia="Times New Roman" w:hAnsi="Arial" w:cs="Arial"/>
          <w:color w:val="212121"/>
          <w:sz w:val="22"/>
          <w:szCs w:val="22"/>
          <w:lang w:val="pt-PT" w:eastAsia="pt-BR"/>
        </w:rPr>
        <w:t>.</w:t>
      </w:r>
    </w:p>
    <w:p w14:paraId="767D23C5" w14:textId="23E25B65" w:rsidR="00DB7792" w:rsidRDefault="000822FE" w:rsidP="000822FE">
      <w:pPr>
        <w:pStyle w:val="Default"/>
        <w:spacing w:line="360" w:lineRule="auto"/>
        <w:ind w:firstLine="708"/>
        <w:jc w:val="both"/>
        <w:rPr>
          <w:sz w:val="22"/>
          <w:szCs w:val="22"/>
        </w:rPr>
      </w:pPr>
      <w:r w:rsidRPr="00CC56FB">
        <w:rPr>
          <w:sz w:val="22"/>
          <w:szCs w:val="22"/>
        </w:rPr>
        <w:t>Diferentes integrinas como a</w:t>
      </w:r>
      <w:r w:rsidR="00882003">
        <w:rPr>
          <w:sz w:val="22"/>
          <w:szCs w:val="22"/>
        </w:rPr>
        <w:t>s</w:t>
      </w:r>
      <w:r w:rsidRPr="00CC56FB">
        <w:rPr>
          <w:sz w:val="22"/>
          <w:szCs w:val="22"/>
        </w:rPr>
        <w:t xml:space="preserve"> αVβ3, αVβ5, α5β1, α6β4, α4β1 e αVβ6 estão presentes na superfície de células tumorais e tem impacto importante na sobrevivência destas células em locais específicos, promovendo um fenótipo metastático e invasivo para as células cancerígenas </w:t>
      </w:r>
      <w:r w:rsidRPr="00CC56FB">
        <w:rPr>
          <w:sz w:val="22"/>
          <w:szCs w:val="22"/>
        </w:rPr>
        <w:fldChar w:fldCharType="begin" w:fldLock="1"/>
      </w:r>
      <w:r w:rsidR="00FC509E">
        <w:rPr>
          <w:sz w:val="22"/>
          <w:szCs w:val="22"/>
        </w:rPr>
        <w:instrText>ADDIN CSL_CITATION {"citationItems":[{"id":"ITEM-1","itemData":{"DOI":"10.1016/j.tcb.2014.12.006","ISBN":"1879-3088 (Electronic) 0962-8924 (Linking)","ISSN":"18793088","PMID":"25572304","abstract":"Interactions between cancer cells and their surroundings can trigger essential signaling cues that determine cell fate and influence the evolution of the malignant phenotype. As the primary receptors involved in cell-matrix adhesion, integrins present on the surface of tumor and stromal cells have a profound impact on the ability to survive in specific locations, but in some cases, these receptors can also function in the absence of ligand binding to promote stemness and survival in the presence of environmental and therapeutic stresses. Understanding how integrin expression and function is regulated in this context will enable the development of new therapeutic approaches to sensitize tumors to therapy and suppress their metastatic phenotype.","author":[{"dropping-particle":"","family":"Seguin","given":"Laetitia","non-dropping-particle":"","parse-names":false,"suffix":""},{"dropping-particle":"","family":"Desgrosellier","given":"Jay S.","non-dropping-particle":"","parse-names":false,"suffix":""},{"dropping-particle":"","family":"Weis","given":"Sara M.","non-dropping-particle":"","parse-names":false,"suffix":""},{"dropping-particle":"","family":"Cheresh","given":"David A.","non-dropping-particle":"","parse-names":false,"suffix":""}],"container-title":"Trends in Cell Biology","id":"ITEM-1","issue":"4","issued":{"date-parts":[["2015"]]},"page":"234-240","publisher":"Elsevier Ltd","title":"Integrins and cancer: Regulators of cancer stemness, metastasis, and drug resistance","type":"article-journal","volume":"25"},"uris":["http://www.mendeley.com/documents/?uuid=0720daa2-1b2a-439e-a077-190bd6541a30"]},{"id":"ITEM-2","itemData":{"DOI":"10.1038/nrc2748\\rnrc2748 [pii]","ISBN":"1474-1768 (Electronic)\\r1474-175X (Linking)","ISSN":"1474-1768 (Electronic) 1474-1768 (Linking)","PMID":"20029421","abstract":"The integrin family of cell adhesion receptors regulates a diverse array of cellular functions crucial to the initiation, progression and metastasis of solid tumours. The importance of integrins in several cell types that affect tumour progression has made them an appealing target for cancer therapy. Integrin antagonists, including the alphavbeta3 and alphavbeta5 inhibitor cilengitide, have shown encouraging activity in Phase II clinical trials and cilengitide is currently being tested in a Phase III trial in patients with glioblastoma. These exciting clinical developments emphasize the need to identify how integrin antagonists influence the tumour and its microenvironment.","author":[{"dropping-particle":"","family":"Desgrosellier","given":"J S","non-dropping-particle":"","parse-names":false,"suffix":""},{"dropping-particle":"","family":"Cheresh","given":"D a","non-dropping-particle":"","parse-names":false,"suffix":""}],"container-title":"Nat Rev Cancer","id":"ITEM-2","issue":"1","issued":{"date-parts":[["2010"]]},"page":"9-22","publisher":"Nature Publishing Group","title":"Integrins in cancer: biological implications and therapeutic opportunities","type":"article-journal","volume":"10"},"uris":["http://www.mendeley.com/documents/?uuid=e63d8c2b-02cb-4b78-86c5-33a998e79942"]}],"mendeley":{"formattedCitation":"[4,5]","plainTextFormattedCitation":"[4,5]","previouslyFormattedCitation":"[4,5]"},"properties":{"noteIndex":0},"schema":"https://github.com/citation-style-language/schema/raw/master/csl-citation.json"}</w:instrText>
      </w:r>
      <w:r w:rsidRPr="00CC56FB">
        <w:rPr>
          <w:sz w:val="22"/>
          <w:szCs w:val="22"/>
        </w:rPr>
        <w:fldChar w:fldCharType="separate"/>
      </w:r>
      <w:r w:rsidR="0008253C" w:rsidRPr="0008253C">
        <w:rPr>
          <w:noProof/>
          <w:sz w:val="22"/>
          <w:szCs w:val="22"/>
        </w:rPr>
        <w:t>[4,5]</w:t>
      </w:r>
      <w:r w:rsidRPr="00CC56FB">
        <w:rPr>
          <w:sz w:val="22"/>
          <w:szCs w:val="22"/>
        </w:rPr>
        <w:fldChar w:fldCharType="end"/>
      </w:r>
      <w:r w:rsidRPr="00CC56FB">
        <w:rPr>
          <w:sz w:val="22"/>
          <w:szCs w:val="22"/>
        </w:rPr>
        <w:t xml:space="preserve">. A integrina αVβ3, por exemplo, está envolvida em diversas etapas da cascata metastática de células neoplásicas de mama, próstata e melanomas invasivos </w:t>
      </w:r>
      <w:r w:rsidRPr="00CC56FB">
        <w:rPr>
          <w:sz w:val="22"/>
          <w:szCs w:val="22"/>
        </w:rPr>
        <w:fldChar w:fldCharType="begin" w:fldLock="1"/>
      </w:r>
      <w:r w:rsidR="00FC509E">
        <w:rPr>
          <w:sz w:val="22"/>
          <w:szCs w:val="22"/>
        </w:rPr>
        <w:instrText>ADDIN CSL_CITATION {"citationItems":[{"id":"ITEM-1","itemData":{"DOI":"10.1590/S1516-93322007000100002","ISSN":"1516-9332","abstract":"O câncer é, atualmente, uma das principais causas de morte no mundo. A angiogênese, formação de novos vasos capilares a partir de células endoteliais, é essencial para vários processos fisiopatológicos, tais como o desenvolvimento e a disseminação dos tumores. As integrinas são uma família de receptores de superfície que estão envolvidos na angiogênese, na qual a integrina αvβ3 exerce papel importante. Os antagonistas da integrina αvβ3 têm efeitos diretos na prevenção do crescimento, angiogênese e metástase tumorais. A avaliação in vitro frente à integrina αvβ3 de coleções de ciclopeptídeos levou a compostos muito ativos e seletivos. Antagonistas não-peptídicos da integrina αvβ3 também foram planejados e sintetizados. A partir da determinação da estrutura tridimensional da integrina αvβ3 complexada com um inibidor, tornou-se possível o planejamento racional de ligantes com alta afinidade. Além disto, estes estudos permitiram a validação e o refinamento de modelo farmacofórico para os inibidores da integrina αvβ3. O câncer é, atualmente, uma das principais causas de morte. Estima-se que mais de 126 mil pessoas no Brasil e cerca de 6 milhões de pessoas em todo o mundo morrem em decorrência da doença (Instituto Nacional do Câncer, 2003). Segundo o Instituto Nacional do Câncer – INCA (2006), deverão ocorrer mais de 472 mil casos novos de câncer em 2006 . O quadro atual é caracterizado pela exis-tência de tratamentos de elevado custo e índice terapêutico relativamente reduzido. Há diversas classes farmacológicas disponíveis de agentes quimioterápicos para tratamento do câncer, mas nenhuma delas tem se mostrado capaz de erradicar as células cancerosas sem afetar tecidos normais (Salmon, Sartorelli, 2003). Qualquer que seja a causa, o câncer (ou neoplasia) é essencialmente uma doença de cé-lulas, caracterizada por um desvio nos mecanismos de con-trole dos processos de proliferação e diferenciação celular. As lesões expansivas, denominadas tumores quando ocor-rem em órgãos sólidos, à medida que se desenvolvem, po-dem comprimir ou invadir estruturas adjacentes normais. Os tumores benignos são essencialmente bem delimi-tados, crescem geralmente de forma esférica e não invadem os tecidos ao seu redor, enquanto os tumores malignos","author":[{"dropping-particle":"","family":"Horta","given":"Thais","non-dropping-particle":"","parse-names":false,"suffix":""},{"dropping-particle":"","family":"Butera","given":"Anna Paola","non-dropping-particle":"","parse-names":false,"suffix":""},{"dropping-particle":"","family":"Henriques","given":"Daniel","non-dropping-particle":"","parse-names":false,"suffix":""},{"dropping-particle":"","family":"Leal","given":"Soares","non-dropping-particle":"","parse-names":false,"suffix":""},{"dropping-particle":"","family":"Alves","given":"Ricardo José","non-dropping-particle":"","parse-names":false,"suffix":""},{"dropping-particle":"Da","family":"Silva","given":"Thais Horta Álvares","non-dropping-particle":"","parse-names":false,"suffix":""},{"dropping-particle":"","family":"Butera","given":"Anna Paola","non-dropping-particle":"","parse-names":false,"suffix":""},{"dropping-particle":"","family":"Leal","given":"Daniel Henriques Soares","non-dropping-particle":"","parse-names":false,"suffix":""},{"dropping-particle":"","family":"Alves","given":"Ricardo José","non-dropping-particle":"","parse-names":false,"suffix":""}],"container-title":"Revista Brasileira de Ciências Farmacêuticas","id":"ITEM-1","issue":"1","issued":{"date-parts":[["2007"]]},"page":"1-17","title":"Agentes antitumorais inibidores da angiogênese: modelos farmacofóricos para inibidores da integrina &lt;FONT FACE=Symbol&gt;anb&lt;/FONT&gt;3","type":"article-journal","volume":"43"},"uris":["http://www.mendeley.com/documents/?uuid=c28a009b-d5ad-40ab-b0a3-4cb1a57c5f82"]}],"mendeley":{"formattedCitation":"[6]","plainTextFormattedCitation":"[6]","previouslyFormattedCitation":"[6]"},"properties":{"noteIndex":0},"schema":"https://github.com/citation-style-language/schema/raw/master/csl-citation.json"}</w:instrText>
      </w:r>
      <w:r w:rsidRPr="00CC56FB">
        <w:rPr>
          <w:sz w:val="22"/>
          <w:szCs w:val="22"/>
        </w:rPr>
        <w:fldChar w:fldCharType="separate"/>
      </w:r>
      <w:r w:rsidR="0008253C" w:rsidRPr="0008253C">
        <w:rPr>
          <w:noProof/>
          <w:sz w:val="22"/>
          <w:szCs w:val="22"/>
        </w:rPr>
        <w:t>[6]</w:t>
      </w:r>
      <w:r w:rsidRPr="00CC56FB">
        <w:rPr>
          <w:sz w:val="22"/>
          <w:szCs w:val="22"/>
        </w:rPr>
        <w:fldChar w:fldCharType="end"/>
      </w:r>
      <w:r w:rsidRPr="00CC56FB">
        <w:rPr>
          <w:sz w:val="22"/>
          <w:szCs w:val="22"/>
        </w:rPr>
        <w:t xml:space="preserve">. </w:t>
      </w:r>
    </w:p>
    <w:p w14:paraId="5A98D843" w14:textId="6EDC72DA" w:rsidR="000822FE" w:rsidRPr="00CC56FB" w:rsidRDefault="000822FE" w:rsidP="000822FE">
      <w:pPr>
        <w:pStyle w:val="Default"/>
        <w:spacing w:line="360" w:lineRule="auto"/>
        <w:ind w:firstLine="708"/>
        <w:jc w:val="both"/>
        <w:rPr>
          <w:color w:val="auto"/>
          <w:sz w:val="22"/>
          <w:szCs w:val="22"/>
        </w:rPr>
      </w:pPr>
      <w:r w:rsidRPr="0055302E">
        <w:rPr>
          <w:sz w:val="22"/>
          <w:szCs w:val="22"/>
        </w:rPr>
        <w:t>A habilidade de bloquear a capacidade invasiva e migratória de células tumorais</w:t>
      </w:r>
      <w:r w:rsidR="00DB7792" w:rsidRPr="0055302E">
        <w:rPr>
          <w:sz w:val="22"/>
          <w:szCs w:val="22"/>
        </w:rPr>
        <w:t xml:space="preserve"> </w:t>
      </w:r>
      <w:r w:rsidRPr="0055302E">
        <w:rPr>
          <w:sz w:val="22"/>
          <w:szCs w:val="22"/>
        </w:rPr>
        <w:t xml:space="preserve">oferece uma nova abordagem no tratamento de pacientes com câncer </w:t>
      </w:r>
      <w:r w:rsidRPr="0055302E">
        <w:rPr>
          <w:sz w:val="22"/>
          <w:szCs w:val="22"/>
        </w:rPr>
        <w:fldChar w:fldCharType="begin" w:fldLock="1"/>
      </w:r>
      <w:r w:rsidR="00FC509E" w:rsidRPr="0055302E">
        <w:rPr>
          <w:sz w:val="22"/>
          <w:szCs w:val="22"/>
        </w:rPr>
        <w:instrText>ADDIN CSL_CITATION {"citationItems":[{"id":"ITEM-1","itemData":{"DOI":"10.1038/nrc727","ISSN":"1474-175X","author":[{"dropping-particle":"","family":"Hood","given":"John D.","non-dropping-particle":"","parse-names":false,"suffix":""},{"dropping-particle":"","family":"Cheresh","given":"David A.","non-dropping-particle":"","parse-names":false,"suffix":""}],"container-title":"Nature Reviews Cancer","id":"ITEM-1","issue":"2","issued":{"date-parts":[["2002"]]},"note":"NULL","page":"91-100","title":"Role of Integrins in Cell Invasion and Migration","type":"article-journal","volume":"2"},"uris":["http://www.mendeley.com/documents/?uuid=0fde2d3f-6cdc-4c41-82b5-91fcc162b4c1"]}],"mendeley":{"formattedCitation":"[7]","plainTextFormattedCitation":"[7]","previouslyFormattedCitation":"[7]"},"properties":{"noteIndex":0},"schema":"https://github.com/citation-style-language/schema/raw/master/csl-citation.json"}</w:instrText>
      </w:r>
      <w:r w:rsidRPr="0055302E">
        <w:rPr>
          <w:sz w:val="22"/>
          <w:szCs w:val="22"/>
        </w:rPr>
        <w:fldChar w:fldCharType="separate"/>
      </w:r>
      <w:r w:rsidR="0008253C" w:rsidRPr="0055302E">
        <w:rPr>
          <w:noProof/>
          <w:sz w:val="22"/>
          <w:szCs w:val="22"/>
        </w:rPr>
        <w:t>[7]</w:t>
      </w:r>
      <w:r w:rsidRPr="0055302E">
        <w:rPr>
          <w:sz w:val="22"/>
          <w:szCs w:val="22"/>
        </w:rPr>
        <w:fldChar w:fldCharType="end"/>
      </w:r>
      <w:r w:rsidR="0055302E" w:rsidRPr="0055302E">
        <w:rPr>
          <w:sz w:val="22"/>
          <w:szCs w:val="22"/>
        </w:rPr>
        <w:t>, pois</w:t>
      </w:r>
      <w:r w:rsidR="00A41CBA" w:rsidRPr="0055302E">
        <w:rPr>
          <w:sz w:val="22"/>
          <w:szCs w:val="22"/>
        </w:rPr>
        <w:t xml:space="preserve"> </w:t>
      </w:r>
      <w:r w:rsidR="0055302E" w:rsidRPr="0055302E">
        <w:rPr>
          <w:sz w:val="22"/>
          <w:szCs w:val="22"/>
        </w:rPr>
        <w:t>muitos pacientes não exibem resposta adequada aos tratamento convencionais</w:t>
      </w:r>
      <w:r w:rsidRPr="0055302E">
        <w:rPr>
          <w:sz w:val="22"/>
          <w:szCs w:val="22"/>
        </w:rPr>
        <w:t xml:space="preserve"> </w:t>
      </w:r>
      <w:r w:rsidR="0055302E" w:rsidRPr="0055302E">
        <w:rPr>
          <w:sz w:val="22"/>
          <w:szCs w:val="22"/>
        </w:rPr>
        <w:t xml:space="preserve">de </w:t>
      </w:r>
      <w:r w:rsidRPr="0055302E">
        <w:rPr>
          <w:sz w:val="22"/>
          <w:szCs w:val="22"/>
        </w:rPr>
        <w:t xml:space="preserve">quimioterapia, radioterapia e medicamentos </w:t>
      </w:r>
      <w:r w:rsidRPr="0055302E">
        <w:rPr>
          <w:sz w:val="22"/>
          <w:szCs w:val="22"/>
        </w:rPr>
        <w:fldChar w:fldCharType="begin" w:fldLock="1"/>
      </w:r>
      <w:r w:rsidR="00FC509E" w:rsidRPr="0055302E">
        <w:rPr>
          <w:sz w:val="22"/>
          <w:szCs w:val="22"/>
        </w:rPr>
        <w:instrText>ADDIN CSL_CITATION {"citationItems":[{"id":"ITEM-1","itemData":{"DOI":"10.3322/caac.21349","ISBN":"1542-4863 (Electronic)\\n0007-9235 (Linking)","ISSN":"1542-4863","PMID":"27253694","abstract":"The number of cancer survivors continues to increase because of both advances in early detection and treatment and the aging and growth of the population. For the public health community to better serve these survivors, the American Cancer Society and the National Cancer Institute collaborate to estimate the number of current and future cancer survivors using data from the Surveillance, Epidemiology, and End Results cancer registries. In addition, current treatment patterns for the most prevalent cancer types are presented based on information in the National Cancer Data Base and treatment-related side effects are briefly described. More than 15.5 million Americans with a history of cancer were alive on January 1, 2016, and this number is projected to reach more than 20 million by January 1, 2026. The 3 most prevalent cancers are prostate (3,306,760), colon and rectum (724,690), and melanoma (614,460) among males and breast (3,560,570), uterine corpus (757,190), and colon and rectum (727,350) among females. More than one-half (56%) of survivors were diagnosed within the past 10 years, and almost one-half (47%) are aged 70 years or older. People with a history of cancer have unique medical and psychosocial needs that require proactive assessment and management by primary care providers. Although there are a growing number of tools that can assist patients, caregivers, and clinicians in navigating the various phases of cancer survivorship, further evidence-based resources are needed to optimize care. CA Cancer J Clin 2016;66:271-289. © 2016 American Cancer Society.","author":[{"dropping-particle":"","family":"Miller","given":"Kimberly D","non-dropping-particle":"","parse-names":false,"suffix":""},{"dropping-particle":"","family":"Siegel","given":"Rebecca L","non-dropping-particle":"","parse-names":false,"suffix":""},{"dropping-particle":"","family":"Lin","given":"Chun Chieh","non-dropping-particle":"","parse-names":false,"suffix":""},{"dropping-particle":"","family":"Mariotto","given":"Angela B","non-dropping-particle":"","parse-names":false,"suffix":""},{"dropping-particle":"","family":"Kramer","given":"Joan L","non-dropping-particle":"","parse-names":false,"suffix":""},{"dropping-particle":"","family":"Rowland","given":"Julia H","non-dropping-particle":"","parse-names":false,"suffix":""},{"dropping-particle":"","family":"Stein","given":"Kevin D","non-dropping-particle":"","parse-names":false,"suffix":""},{"dropping-particle":"","family":"Alteri","given":"Rick","non-dropping-particle":"","parse-names":false,"suffix":""},{"dropping-particle":"","family":"Jemal","given":"Ahmedin","non-dropping-particle":"","parse-names":false,"suffix":""}],"container-title":"CA: a cancer journal for clinicians","id":"ITEM-1","issue":"4","issued":{"date-parts":[["2016"]]},"page":"271-89","title":"Cancer treatment and survivorship statistics, 2016.","type":"article-journal","volume":"66"},"uris":["http://www.mendeley.com/documents/?uuid=8490fd4a-191b-4756-82a2-73bedac60d74"]}],"mendeley":{"formattedCitation":"[8]","plainTextFormattedCitation":"[8]","previouslyFormattedCitation":"[8]"},"properties":{"noteIndex":0},"schema":"https://github.com/citation-style-language/schema/raw/master/csl-citation.json"}</w:instrText>
      </w:r>
      <w:r w:rsidRPr="0055302E">
        <w:rPr>
          <w:sz w:val="22"/>
          <w:szCs w:val="22"/>
        </w:rPr>
        <w:fldChar w:fldCharType="separate"/>
      </w:r>
      <w:r w:rsidR="0008253C" w:rsidRPr="0055302E">
        <w:rPr>
          <w:noProof/>
          <w:sz w:val="22"/>
          <w:szCs w:val="22"/>
        </w:rPr>
        <w:t>[8]</w:t>
      </w:r>
      <w:r w:rsidRPr="0055302E">
        <w:rPr>
          <w:sz w:val="22"/>
          <w:szCs w:val="22"/>
        </w:rPr>
        <w:fldChar w:fldCharType="end"/>
      </w:r>
      <w:r w:rsidRPr="0055302E">
        <w:rPr>
          <w:sz w:val="22"/>
          <w:szCs w:val="22"/>
        </w:rPr>
        <w:t xml:space="preserve">. </w:t>
      </w:r>
      <w:r w:rsidR="0055302E" w:rsidRPr="0055302E">
        <w:rPr>
          <w:sz w:val="22"/>
          <w:szCs w:val="22"/>
        </w:rPr>
        <w:t>P</w:t>
      </w:r>
      <w:r w:rsidRPr="0055302E">
        <w:rPr>
          <w:color w:val="auto"/>
          <w:sz w:val="22"/>
          <w:szCs w:val="22"/>
        </w:rPr>
        <w:t xml:space="preserve">eptídeos </w:t>
      </w:r>
      <w:r w:rsidR="0055302E" w:rsidRPr="0055302E">
        <w:rPr>
          <w:color w:val="auto"/>
          <w:sz w:val="22"/>
          <w:szCs w:val="22"/>
        </w:rPr>
        <w:t xml:space="preserve">antagonistas de integrinas tais como o cilengitide </w:t>
      </w:r>
      <w:r w:rsidR="0055302E" w:rsidRPr="0055302E">
        <w:rPr>
          <w:color w:val="auto"/>
          <w:sz w:val="22"/>
          <w:szCs w:val="22"/>
        </w:rPr>
        <w:fldChar w:fldCharType="begin" w:fldLock="1"/>
      </w:r>
      <w:r w:rsidR="0055302E" w:rsidRPr="0055302E">
        <w:rPr>
          <w:color w:val="auto"/>
          <w:sz w:val="22"/>
          <w:szCs w:val="22"/>
        </w:rPr>
        <w:instrText>ADDIN CSL_CITATION {"citationItems":[{"id":"ITEM-1","itemData":{"DOI":"10.1016/j.bbrc.2007.04.060","ISSN":"0006291X","author":[{"dropping-particle":"","family":"Loges","given":"Sonja","non-dropping-particle":"","parse-names":false,"suffix":""},{"dropping-particle":"","family":"Butzal","given":"Martin","non-dropping-particle":"","parse-names":false,"suffix":""},{"dropping-particle":"","family":"Otten","given":"Jasmin","non-dropping-particle":"","parse-names":false,"suffix":""},{"dropping-particle":"","family":"Schweizer","given":"Michaela","non-dropping-particle":"","parse-names":false,"suffix":""},{"dropping-particle":"","family":"Fischer","given":"Uta","non-dropping-particle":"","parse-names":false,"suffix":""},{"dropping-particle":"","family":"Bokemeyer","given":"Carsten","non-dropping-particle":"","parse-names":false,"suffix":""},{"dropping-particle":"","family":"Hossfeld","given":"Dieter K.","non-dropping-particle":"","parse-names":false,"suffix":""},{"dropping-particle":"","family":"Schuch","given":"Gunter","non-dropping-particle":"","parse-names":false,"suffix":""},{"dropping-particle":"","family":"Fiedler","given":"Walter","non-dropping-particle":"","parse-names":false,"suffix":""}],"container-title":"Biochemical and Biophysical Research Communications","id":"ITEM-1","issue":"4","issued":{"date-parts":[["2007"]]},"page":"1016-1020","title":"Cilengitide inhibits proliferation and differentiation of human endothelial progenitor cells in vitro","type":"article-journal","volume":"357"},"uris":["http://www.mendeley.com/documents/?uuid=e51e10e2-9879-4830-bfee-86d04e7f56ae"]}],"mendeley":{"formattedCitation":"[9]","plainTextFormattedCitation":"[9]","previouslyFormattedCitation":"[9]"},"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[9]</w:t>
      </w:r>
      <w:r w:rsidR="0055302E" w:rsidRPr="0055302E">
        <w:rPr>
          <w:color w:val="auto"/>
          <w:sz w:val="22"/>
          <w:szCs w:val="22"/>
        </w:rPr>
        <w:fldChar w:fldCharType="end"/>
      </w:r>
      <w:r w:rsidR="0055302E" w:rsidRPr="0055302E">
        <w:rPr>
          <w:color w:val="auto"/>
          <w:sz w:val="22"/>
          <w:szCs w:val="22"/>
        </w:rPr>
        <w:t xml:space="preserve">, ATN-161 </w:t>
      </w:r>
      <w:r w:rsidR="0055302E" w:rsidRPr="0055302E">
        <w:rPr>
          <w:color w:val="auto"/>
          <w:sz w:val="22"/>
          <w:szCs w:val="22"/>
        </w:rPr>
        <w:fldChar w:fldCharType="begin" w:fldLock="1"/>
      </w:r>
      <w:r w:rsidR="0055302E" w:rsidRPr="0055302E">
        <w:rPr>
          <w:color w:val="auto"/>
          <w:sz w:val="22"/>
          <w:szCs w:val="22"/>
        </w:rPr>
        <w:instrText>ADDIN CSL_CITATION {"citationItems":[{"id":"ITEM-1","itemData":{"DOI":"10.1002/ijc.10958","ISBN":"7137924689","ISSN":"00207136","PMID":"12584749","abstract":"Integrin alpha(5)beta(1) is expressed on activated endothelial cells and plays a critical role in tumor angiogenesis. We hypothesized that a novel integrin alpha(5)beta(1) antagonist, ATN-161, would inhibit angiogenesis and growth of liver metastases in a murine model. We further hypothesized that combining ATN-161 with 5-fluorouracil (5-FU) chemotherapy would enhance the antineoplastic effect. Murine colon cancer cells (CT26) were injected into spleens of BALB/c mice to produce liver metastases. Four days thereafter, mice were given either ATN-161 (100 mg/kg, every 3rd day) or saline by intraperitoneal injection, with or without combination of continuous-infusion 5-FU (100 mg/kg/2 weeks), which was started on day 7. On day 20 after tumor cell inoculation, mice were killed and liver weights and number of liver metastases were determined. A follow-up study on survival was also conducted in which mice were randomized to receive ATN-161, 5-FU or ATN-161+5-FU. Combination therapy with ATN-161+5-FU significantly reduced tumor burden (liver weight) and number of liver metastases (p&lt;0.02). Liver tumors in the ATN-161 and ATN-161+5-FU groups had significantly fewer microvessels (p&lt;0.05) than tumors in the control or 5-FU-treated groups. Unlike treatment with either agent alone, ATN-161+5-FU significantly increased tumor cell apoptosis and decreased tumor cell proliferation (p&lt;0.03) and improved overall survival (p&lt;0.03, log-rank test). Targeting integrin alpha(5)beta(1) in combination with 5-FU infusion reduced liver metastases formation and improved survival in this colon cancer model. The enhancement of antineoplastic activity from the combination of anti-angiogenic therapy and chemotherapy may be a promising approach for treating metastatic colorectal cancer.","author":[{"dropping-particle":"","family":"Stoeltzing","given":"Oliver","non-dropping-particle":"","parse-names":false,"suffix":""},{"dropping-particle":"","family":"Liu","given":"Wenbiao","non-dropping-particle":"","parse-names":false,"suffix":""},{"dropping-particle":"","family":"Reinmuth","given":"Niels","non-dropping-particle":"","parse-names":false,"suffix":""},{"dropping-particle":"","family":"Fan","given":"Fan","non-dropping-particle":"","parse-names":false,"suffix":""},{"dropping-particle":"","family":"Parry","given":"Graham C.","non-dropping-particle":"","parse-names":false,"suffix":""},{"dropping-particle":"","family":"Parikh","given":"Alexander a.","non-dropping-particle":"","parse-names":false,"suffix":""},{"dropping-particle":"","family":"McCarty","given":"Marya F.","non-dropping-particle":"","parse-names":false,"suffix":""},{"dropping-particle":"","family":"Bucana","given":"Corazon D.","non-dropping-particle":"","parse-names":false,"suffix":""},{"dropping-particle":"","family":"Mazar","given":"Andrew P.","non-dropping-particle":"","parse-names":false,"suffix":""},{"dropping-particle":"","family":"Ellis","given":"Lee M.","non-dropping-particle":"","parse-names":false,"suffix":""}],"container-title":"International Journal of Cancer","id":"ITEM-1","issue":"4","issued":{"date-parts":[["2003"]]},"page":"496-503","title":"Inhibition of integrin α5β1 function with a small peptide (ATN-161) plus continuous 5-fu infusion reduces colorectal liver metastases and improves survival in mice","type":"article-journal","volume":"104"},"uris":["http://www.mendeley.com/documents/?uuid=2bdc8069-7b59-423c-a541-1e29eba21797"]}],"mendeley":{"formattedCitation":"[10]","plainTextFormattedCitation":"[10]","previouslyFormattedCitation":"[10]"},"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[10]</w:t>
      </w:r>
      <w:r w:rsidR="0055302E" w:rsidRPr="0055302E">
        <w:rPr>
          <w:color w:val="auto"/>
          <w:sz w:val="22"/>
          <w:szCs w:val="22"/>
        </w:rPr>
        <w:fldChar w:fldCharType="end"/>
      </w:r>
      <w:r w:rsidR="0055302E" w:rsidRPr="0055302E">
        <w:rPr>
          <w:color w:val="auto"/>
          <w:sz w:val="22"/>
          <w:szCs w:val="22"/>
        </w:rPr>
        <w:t xml:space="preserve"> e PHSCNK </w:t>
      </w:r>
      <w:r w:rsidR="0055302E" w:rsidRPr="0055302E">
        <w:rPr>
          <w:color w:val="auto"/>
          <w:sz w:val="22"/>
          <w:szCs w:val="22"/>
        </w:rPr>
        <w:fldChar w:fldCharType="begin" w:fldLock="1"/>
      </w:r>
      <w:r w:rsidR="007D5B4E">
        <w:rPr>
          <w:color w:val="auto"/>
          <w:sz w:val="22"/>
          <w:szCs w:val="22"/>
        </w:rPr>
        <w:instrText>ADDIN CSL_CITATION {"citationItems":[{"id":"ITEM-1","itemData":{"DOI":"10.1016/j.nano.2012.01.003","ISBN":"1549-9634","ISSN":"1549-9642","PMID":"22306158","abstract":"UNLABELLED: As an integrin α(5)β(1) antagonist, N-acetyl-proline-histidine-serine-cysteine-asparagine-amide (Ac-PHSCN-NH(2)) is currently in phase II trials for various cancer therapies. In this study Ac-PHSCNK-NH(2) (PHSCNK) was used as a novel homing peptide to prepare ligand-targeted liposomes loaded with doxorubicin (PHSCNK-PL-DOX), with the hypothesis that the therapy target of integrin α(5)β(1) may also serve as a delivery target. The stealth liposomes loaded with doxorubicin (PL-DOX) were used as the control. PHSCNK-PL-DOX demonstrated an enhanced intracellular uptake and a greater cytotoxicity against melanoma B16F10 cells in comparison with PL-DOX. The novel targeted formulation displayed stronger tumor inhibition and prolonged survival time in comparison with controls in C57BL/6 mice bearing B16F10 tumors, and it exhibited less heart toxicity in hematoxylin-eosin (H&amp;E) staining of tissues. Taking the pharmacokinetics and biodistribution results into account, the authors conclude that α(5)β(1) integrin-mediated liposomes might be used as a potential delivery system for targeted tumor therapy.\\n\\nFROM THE CLINICAL EDITOR: Lactosyl-norcantharidin TMC nanoparticles were found superior in comparison with Lac-NCTD and Lac-NCTD chitosan nanoparticles from the standpoint of antitumor activity on murine hepatocarcinoma 22 subcutaneous model.","author":[{"dropping-particle":"","family":"Dai","given":"Wenbing","non-dropping-particle":"","parse-names":false,"suffix":""},{"dropping-particle":"","family":"Yang","given":"Tingyuan","non-dropping-particle":"","parse-names":false,"suffix":""},{"dropping-particle":"","family":"Wang","given":"Yiguang","non-dropping-particle":"","parse-names":false,"suffix":""},{"dropping-particle":"","family":"Wang","given":"Xueqing","non-dropping-particle":"","parse-names":false,"suffix":""},{"dropping-particle":"","family":"Wang","given":"Jiancheng","non-dropping-particle":"","parse-names":false,"suffix":""},{"dropping-particle":"","family":"Zhang","given":"Xuan","non-dropping-particle":"","parse-names":false,"suffix":""},{"dropping-particle":"","family":"Zhang","given":"Qiang","non-dropping-particle":"","parse-names":false,"suffix":""}],"container-title":"Nanomedicine : nanotechnology, biology, and medicine","id":"ITEM-1","issue":"7","issued":{"date-parts":[["2012"]]},"note":"NULL","page":"1152-61","publisher":"Elsevier Inc.","title":"Peptide PHSCNK as an integrin α5β1 antagonist targets stealth liposomes to integrin-overexpressing melanoma.","type":"article-journal","volume":"8"},"uris":["http://www.mendeley.com/documents/?uuid=4d81bd42-116b-4a35-953f-4775a567cb80"]}],"mendeley":{"formattedCitation":"[11]","plainTextFormattedCitation":"[11]","previouslyFormattedCitation":"[11]"},"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[11]</w:t>
      </w:r>
      <w:r w:rsidR="0055302E" w:rsidRPr="0055302E">
        <w:rPr>
          <w:color w:val="auto"/>
          <w:sz w:val="22"/>
          <w:szCs w:val="22"/>
        </w:rPr>
        <w:fldChar w:fldCharType="end"/>
      </w:r>
      <w:r w:rsidR="0055302E" w:rsidRPr="0055302E">
        <w:rPr>
          <w:color w:val="auto"/>
          <w:sz w:val="22"/>
          <w:szCs w:val="22"/>
        </w:rPr>
        <w:t xml:space="preserve"> já </w:t>
      </w:r>
      <w:r w:rsidRPr="0055302E">
        <w:rPr>
          <w:color w:val="auto"/>
          <w:sz w:val="22"/>
          <w:szCs w:val="22"/>
        </w:rPr>
        <w:t xml:space="preserve">se mostraram </w:t>
      </w:r>
      <w:r w:rsidR="0055302E" w:rsidRPr="0055302E">
        <w:rPr>
          <w:color w:val="auto"/>
          <w:sz w:val="22"/>
          <w:szCs w:val="22"/>
        </w:rPr>
        <w:t>aptos como</w:t>
      </w:r>
      <w:r w:rsidRPr="0055302E">
        <w:rPr>
          <w:color w:val="auto"/>
          <w:sz w:val="22"/>
          <w:szCs w:val="22"/>
        </w:rPr>
        <w:t xml:space="preserve"> agentes terapêuticos no tratamento de câncer e do processo metastático</w:t>
      </w:r>
      <w:r w:rsidR="00DC4FE4">
        <w:rPr>
          <w:color w:val="auto"/>
          <w:sz w:val="22"/>
          <w:szCs w:val="22"/>
        </w:rPr>
        <w:t xml:space="preserve"> </w:t>
      </w:r>
      <w:r w:rsidRPr="0055302E">
        <w:rPr>
          <w:color w:val="auto"/>
          <w:sz w:val="22"/>
          <w:szCs w:val="22"/>
        </w:rPr>
        <w:fldChar w:fldCharType="begin" w:fldLock="1"/>
      </w:r>
      <w:r w:rsidR="007D5B4E">
        <w:rPr>
          <w:color w:val="auto"/>
          <w:sz w:val="22"/>
          <w:szCs w:val="22"/>
        </w:rPr>
        <w:instrText>ADDIN CSL_CITATION {"citationItems":[{"id":"ITEM-1","itemData":{"DOI":"10.1155/2012/967347","ISSN":"2090-0104","author":[{"dropping-particle":"","family":"Thundimadathil","given":"Jyothi","non-dropping-particle":"","parse-names":false,"suffix":""}],"container-title":"Journal of Amino Acids","id":"ITEM-1","issued":{"date-parts":[["2012"]]},"page":"1-13","title":"Cancer Treatment Using Peptides: Current Therapies and Future Prospects","type":"article-journal","volume":"2012"},"uris":["http://www.mendeley.com/documents/?uuid=426496c0-3583-4c63-9034-294cf0550249"]}],"mendeley":{"formattedCitation":"[12]","plainTextFormattedCitation":"[12]","previouslyFormattedCitation":"[12]"},"properties":{"noteIndex":0},"schema":"https://github.com/citation-style-language/schema/raw/master/csl-citation.json"}</w:instrText>
      </w:r>
      <w:r w:rsidRPr="0055302E">
        <w:rPr>
          <w:color w:val="auto"/>
          <w:sz w:val="22"/>
          <w:szCs w:val="22"/>
        </w:rPr>
        <w:fldChar w:fldCharType="separate"/>
      </w:r>
      <w:r w:rsidR="0055302E" w:rsidRPr="0055302E">
        <w:rPr>
          <w:noProof/>
          <w:color w:val="auto"/>
          <w:sz w:val="22"/>
          <w:szCs w:val="22"/>
        </w:rPr>
        <w:t>[12]</w:t>
      </w:r>
      <w:r w:rsidRPr="0055302E">
        <w:rPr>
          <w:color w:val="auto"/>
          <w:sz w:val="22"/>
          <w:szCs w:val="22"/>
        </w:rPr>
        <w:fldChar w:fldCharType="end"/>
      </w:r>
      <w:r w:rsidRPr="0055302E">
        <w:rPr>
          <w:color w:val="auto"/>
          <w:sz w:val="22"/>
          <w:szCs w:val="22"/>
        </w:rPr>
        <w:t>.</w:t>
      </w:r>
      <w:r w:rsidRPr="00CC56FB">
        <w:rPr>
          <w:color w:val="auto"/>
          <w:sz w:val="22"/>
          <w:szCs w:val="22"/>
        </w:rPr>
        <w:t xml:space="preserve"> </w:t>
      </w:r>
    </w:p>
    <w:p w14:paraId="34AD73EF" w14:textId="70993592"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Peptídeos possuem muitas vantagens para uso em terapias, tais como  facilidade de síntese</w:t>
      </w:r>
      <w:r w:rsidR="00D72995">
        <w:rPr>
          <w:color w:val="auto"/>
          <w:sz w:val="22"/>
          <w:szCs w:val="22"/>
        </w:rPr>
        <w:t>,</w:t>
      </w:r>
      <w:r w:rsidRPr="00CC56FB">
        <w:rPr>
          <w:color w:val="auto"/>
          <w:sz w:val="22"/>
          <w:szCs w:val="22"/>
        </w:rPr>
        <w:t xml:space="preserve"> de modificação estrutural, </w:t>
      </w:r>
      <w:r w:rsidR="00A41CBA">
        <w:rPr>
          <w:color w:val="auto"/>
          <w:sz w:val="22"/>
          <w:szCs w:val="22"/>
        </w:rPr>
        <w:t xml:space="preserve"> </w:t>
      </w:r>
      <w:r w:rsidRPr="00CC56FB">
        <w:rPr>
          <w:color w:val="auto"/>
          <w:sz w:val="22"/>
          <w:szCs w:val="22"/>
        </w:rPr>
        <w:t xml:space="preserve">biocompatibilidade </w:t>
      </w:r>
      <w:r w:rsidRPr="00CC56FB">
        <w:rPr>
          <w:color w:val="auto"/>
          <w:sz w:val="22"/>
          <w:szCs w:val="22"/>
        </w:rPr>
        <w:fldChar w:fldCharType="begin" w:fldLock="1"/>
      </w:r>
      <w:r w:rsidR="007D5B4E">
        <w:rPr>
          <w:color w:val="auto"/>
          <w:sz w:val="22"/>
          <w:szCs w:val="22"/>
        </w:rPr>
        <w:instrText>ADDIN CSL_CITATION {"citationItems":[{"id":"ITEM-1","itemData":{"DOI":"10.1002/psc.717","ISSN":"1075-2617","author":[{"dropping-particle":"","family":"Borghouts","given":"Corina","non-dropping-particle":"","parse-names":false,"suffix":""},{"dropping-particle":"","family":"Kunz","given":"Christian","non-dropping-particle":"","parse-names":false,"suffix":""},{"dropping-particle":"","family":"Groner","given":"Bernd","non-dropping-particle":"","parse-names":false,"suffix":""}],"container-title":"Journal of Peptide Science","id":"ITEM-1","issue":"11","issued":{"date-parts":[["2005"]]},"page":"713-726","title":"Current strategies for the development of peptide-based anti-cancer therapeutics","type":"article-journal","volume":"11"},"uris":["http://www.mendeley.com/documents/?uuid=182605c3-41cc-4801-9bee-fc549354a2e7"]},{"id":"ITEM-2","itemData":{"author":[{"dropping-particle":"","family":"Ann M. Thayer","given":"","non-dropping-particle":"","parse-names":false,"suffix":""}],"container-title":"Chemical and Engineering News","id":"ITEM-2","issue":"22","issued":{"date-parts":[["2011"]]},"page":"13-20","title":"Improving Peptides: Small firms develop better peptide drug candidates to expand this pharmaceutical class and attract big pharma partners","type":"article-journal","volume":"89"},"uris":["http://www.mendeley.com/documents/?uuid=d4daf39e-217e-4e20-bbd0-ec2d66cd8f68"]}],"mendeley":{"formattedCitation":"[13,14]","plainTextFormattedCitation":"[13,14]","previouslyFormattedCitation":"[13,14]"},"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[13,14]</w:t>
      </w:r>
      <w:r w:rsidRPr="00CC56FB">
        <w:rPr>
          <w:color w:val="auto"/>
          <w:sz w:val="22"/>
          <w:szCs w:val="22"/>
        </w:rPr>
        <w:fldChar w:fldCharType="end"/>
      </w:r>
      <w:r w:rsidRPr="00CC56FB">
        <w:rPr>
          <w:color w:val="auto"/>
          <w:sz w:val="22"/>
          <w:szCs w:val="22"/>
        </w:rPr>
        <w:t xml:space="preserve"> e especificidade com baixa toxicidade </w:t>
      </w:r>
      <w:r w:rsidRPr="00CC56FB">
        <w:rPr>
          <w:color w:val="auto"/>
          <w:sz w:val="22"/>
          <w:szCs w:val="22"/>
        </w:rPr>
        <w:fldChar w:fldCharType="begin" w:fldLock="1"/>
      </w:r>
      <w:r w:rsidR="00C35F03">
        <w:rPr>
          <w:color w:val="auto"/>
          <w:sz w:val="22"/>
          <w:szCs w:val="22"/>
        </w:rPr>
        <w:instrText>ADDIN CSL_CITATION {"citationItems":[{"id":"ITEM-1","itemData":{"DOI":"10.1002/anie.201102190","ISBN":"1521-3773","ISSN":"14337851","PMID":"21812076","author":[{"dropping-particle":"","family":"Knappe","given":"Thomas A.","non-dropping-particle":"","parse-names":false,"suffix":""},{"dropping-particle":"","family":"Manzenrieder","given":"Florian","non-dropping-particle":"","parse-names":false,"suffix":""},{"dropping-particle":"","family":"Mas-Moruno","given":"Carlos","non-dropping-particle":"","parse-names":false,"suffix":""},{"dropping-particle":"","family":"Linne","given":"Uwe","non-dropping-particle":"","parse-names":false,"suffix":""},{"dropping-particle":"","family":"Sasse","given":"Florenz","non-dropping-particle":"","parse-names":false,"suffix":""},{"dropping-particle":"","family":"Kessler","given":"Horst","non-dropping-particle":"","parse-names":false,"suffix":""},{"dropping-particle":"","family":"Xie","given":"Xiulan","non-dropping-particle":"","parse-names":false,"suffix":""},{"dropping-particle":"","family":"Marahiel","given":"Mohamed A.","non-dropping-particle":"","parse-names":false,"suffix":""}],"container-title":"Angewandte Chemie - International Edition","id":"ITEM-1","issue":"37","issued":{"date-parts":[["2011"]]},"note":"NULL","page":"8714-8717","title":"Introducing lasso peptides as molecular scaffolds for drug design: Engineering of an integrin antagonist","type":"article-journal","volume":"50"},"uris":["http://www.mendeley.com/documents/?uuid=42a88430-bb52-4a2d-a0b2-81733bea6028"]},{"id":"ITEM-2","itemData":{"DOI":"10.1126/science.279.5349.377","ISSN":"00368075","author":[{"dropping-particle":"","family":"Arap","given":"Wadih","non-dropping-particle":"","parse-names":false,"suffix":""}],"id":"ITEM-2","issue":"JANUARY","issued":{"date-parts":[["1998"]]},"page":"377-380","title":"Cancer Treatment by Targeted Drug Delivery to Tumor Vasculature in a Mouse Model Selection of phage-displayed accessible recombinant targeted antibodies (SPARTA) methodology and applications View project","type":"article-journal","volume":"279"},"uris":["http://www.mendeley.com/documents/?uuid=0f8adb74-f76b-4f88-8e06-edf31a02e856"]},{"id":"ITEM-3","itemData":{"DOI":"10.1158/1078-0432.CCR-07-1881","ISSN":"10780432","abstract":"Purpose: To determine the toxicity, safety, and immunogenicity of a human papillomavirus 16 (HPV16) E6 and E7 long peptide vaccine administered to end-stage cervical cancer patients. Experimental Design:Three groups of end-stage cervical cancer patients (in total n = 35) were s.c. vaccinated with HPV16 E6 combined with or separated from HPV16 E7 overlapping long peptides in Montanide ISA-51 adjuvant, four times at 3-week intervals. Group 1received 300 μg/peptide at a single site and group 2 received 100 μg/peptide of the E6 peptides in one limb and 300 μg/peptide of the E7 peptides in a second limb. Group 3 received separate injections of E6 and E7 peptides, each at a dose of 50 μg/peptide. The primary end point was to determine safety and toxicity of the HPV16 long peptides vaccine. In addition, the vaccine-induced T-cell response was assessed by IFNγ enzyme-linked immunospot. Results: No toxicity beyond grade 2 was observed during and after four vaccinations. In a few patients, transient flu-like symptoms were observed. Enzyme-linked immunospot analysis of the vaccine-induced immune response revealed that coinjection of the E6 and E7 peptides resulted in a strong and broad T-cell response dominated by immunity against E6. Injection of the E6 and E7 peptides at two different sites increased the E7 response but did not affect the magnitude of the E6-induced immune response. Conclusions:The HPV16 E6 and E7 long peptide-based vaccine is well tolerated and capable of inducing a broad IFNγ-associated T-cell response even in end-stage cervical cancer patients. © 2008 American Association for Cancer Research.","author":[{"dropping-particle":"","family":"Kenter","given":"Gemma G.","non-dropping-particle":"","parse-names":false,"suffix":""},{"dropping-particle":"","family":"Welters","given":"Marij J.P.","non-dropping-particle":"","parse-names":false,"suffix":""},{"dropping-particle":"","family":"Valentijn","given":"A. Rob P.M.","non-dropping-particle":"","parse-names":false,"suffix":""},{"dropping-particle":"","family":"Löwik","given":"Margriet J.G.","non-dropping-particle":"","parse-names":false,"suffix":""},{"dropping-particle":"","family":"Berends-van Der Meer","given":"Dorien M.A.","non-dropping-particle":"","parse-names":false,"suffix":""},{"dropping-particle":"","family":"Vloon","given":"Annelies P.G.","non-dropping-particle":"","parse-names":false,"suffix":""},{"dropping-particle":"","family":"Drijfhout","given":"Jan W.","non-dropping-particle":"","parse-names":false,"suffix":""},{"dropping-particle":"","family":"Wafelman","given":"Amon R.","non-dropping-particle":"","parse-names":false,"suffix":""},{"dropping-particle":"","family":"Oostendorp","given":"Jaap","non-dropping-particle":"","parse-names":false,"suffix":""},{"dropping-particle":"","family":"Fleuren","given":"Gert Jan","non-dropping-particle":"","parse-names":false,"suffix":""},{"dropping-particle":"","family":"Offringa","given":"Rienk","non-dropping-particle":"","parse-names":false,"suffix":""},{"dropping-particle":"","family":"Burg","given":"Sjoerd H.","non-dropping-particle":"Van Der","parse-names":false,"suffix":""},{"dropping-particle":"","family":"Melief","given":"Cornelis J.M.","non-dropping-particle":"","parse-names":false,"suffix":""}],"container-title":"Clinical Cancer Research","id":"ITEM-3","issue":"1","issued":{"date-parts":[["2008"]]},"page":"169-177","title":"Phase I immunotherapeutic trial with long peptides spanning the E6 and E7 sequences of high-risk human papillomavirus 16 in end-stage cervical cancer patients shows low toxicity and robust immunogenicity","type":"article-journal","volume":"14"},"uris":["http://www.mendeley.com/documents/?uuid=e2c3d69a-7bd1-4e1b-b71c-fef34c456d6d"]}],"mendeley":{"formattedCitation":"[15–17]","plainTextFormattedCitation":"[15–17]","previouslyFormattedCitation":"[15–17]"},"properties":{"noteIndex":0},"schema":"https://github.com/citation-style-language/schema/raw/master/csl-citation.json"}</w:instrText>
      </w:r>
      <w:r w:rsidRPr="00CC56FB">
        <w:rPr>
          <w:color w:val="auto"/>
          <w:sz w:val="22"/>
          <w:szCs w:val="22"/>
        </w:rPr>
        <w:fldChar w:fldCharType="separate"/>
      </w:r>
      <w:r w:rsidR="00285352" w:rsidRPr="00285352">
        <w:rPr>
          <w:noProof/>
          <w:color w:val="auto"/>
          <w:sz w:val="22"/>
          <w:szCs w:val="22"/>
        </w:rPr>
        <w:t>[15–17]</w:t>
      </w:r>
      <w:r w:rsidRPr="00CC56FB">
        <w:rPr>
          <w:color w:val="auto"/>
          <w:sz w:val="22"/>
          <w:szCs w:val="22"/>
        </w:rPr>
        <w:fldChar w:fldCharType="end"/>
      </w:r>
      <w:r w:rsidRPr="00CC56FB">
        <w:rPr>
          <w:color w:val="auto"/>
          <w:sz w:val="22"/>
          <w:szCs w:val="22"/>
        </w:rPr>
        <w:t xml:space="preserve">. A forma cíclica de peptídeos confere restrição conformacional e, se a estrutura formada for semelhante à conformação bioativa, ocorre aumento da afinidade e da seletividade </w:t>
      </w:r>
      <w:r w:rsidRPr="00CC56FB">
        <w:rPr>
          <w:color w:val="auto"/>
          <w:sz w:val="22"/>
          <w:szCs w:val="22"/>
        </w:rPr>
        <w:fldChar w:fldCharType="begin" w:fldLock="1"/>
      </w:r>
      <w:r w:rsidR="00FC509E">
        <w:rPr>
          <w:color w:val="auto"/>
          <w:sz w:val="22"/>
          <w:szCs w:val="22"/>
        </w:rPr>
        <w:instrText>ADDIN CSL_CITATION {"citationItems":[{"id":"ITEM-1","itemData":{"DOI":"10.1590/S1516-93322007000100002","ISSN":"1516-9332","abstract":"O câncer é, atualmente, uma das principais causas de morte no mundo. A angiogênese, formação de novos vasos capilares a partir de células endoteliais, é essencial para vários processos fisiopatológicos, tais como o desenvolvimento e a disseminação dos tumores. As integrinas são uma família de receptores de superfície que estão envolvidos na angiogênese, na qual a integrina αvβ3 exerce papel importante. Os antagonistas da integrina αvβ3 têm efeitos diretos na prevenção do crescimento, angiogênese e metástase tumorais. A avaliação in vitro frente à integrina αvβ3 de coleções de ciclopeptídeos levou a compostos muito ativos e seletivos. Antagonistas não-peptídicos da integrina αvβ3 também foram planejados e sintetizados. A partir da determinação da estrutura tridimensional da integrina αvβ3 complexada com um inibidor, tornou-se possível o planejamento racional de ligantes com alta afinidade. Além disto, estes estudos permitiram a validação e o refinamento de modelo farmacofórico para os inibidores da integrina αvβ3. O câncer é, atualmente, uma das principais causas de morte. Estima-se que mais de 126 mil pessoas no Brasil e cerca de 6 milhões de pessoas em todo o mundo morrem em decorrência da doença (Instituto Nacional do Câncer, 2003). Segundo o Instituto Nacional do Câncer – INCA (2006), deverão ocorrer mais de 472 mil casos novos de câncer em 2006 . O quadro atual é caracterizado pela exis-tência de tratamentos de elevado custo e índice terapêutico relativamente reduzido. Há diversas classes farmacológicas disponíveis de agentes quimioterápicos para tratamento do câncer, mas nenhuma delas tem se mostrado capaz de erradicar as células cancerosas sem afetar tecidos normais (Salmon, Sartorelli, 2003). Qualquer que seja a causa, o câncer (ou neoplasia) é essencialmente uma doença de cé-lulas, caracterizada por um desvio nos mecanismos de con-trole dos processos de proliferação e diferenciação celular. As lesões expansivas, denominadas tumores quando ocor-rem em órgãos sólidos, à medida que se desenvolvem, po-dem comprimir ou invadir estruturas adjacentes normais. Os tumores benignos são essencialmente bem delimi-tados, crescem geralmente de forma esférica e não invadem os tecidos ao seu redor, enquanto os tumores malignos","author":[{"dropping-particle":"","family":"Horta","given":"Thais","non-dropping-particle":"","parse-names":false,"suffix":""},{"dropping-particle":"","family":"Butera","given":"Anna Paola","non-dropping-particle":"","parse-names":false,"suffix":""},{"dropping-particle":"","family":"Henriques","given":"Daniel","non-dropping-particle":"","parse-names":false,"suffix":""},{"dropping-particle":"","family":"Leal","given":"Soares","non-dropping-particle":"","parse-names":false,"suffix":""},{"dropping-particle":"","family":"Alves","given":"Ricardo José","non-dropping-particle":"","parse-names":false,"suffix":""},{"dropping-particle":"Da","family":"Silva","given":"Thais Horta Álvares","non-dropping-particle":"","parse-names":false,"suffix":""},{"dropping-particle":"","family":"Butera","given":"Anna Paola","non-dropping-particle":"","parse-names":false,"suffix":""},{"dropping-particle":"","family":"Leal","given":"Daniel Henriques Soares","non-dropping-particle":"","parse-names":false,"suffix":""},{"dropping-particle":"","family":"Alves","given":"Ricardo José","non-dropping-particle":"","parse-names":false,"suffix":""}],"container-title":"Revista Brasileira de Ciências Farmacêuticas","id":"ITEM-1","issue":"1","issued":{"date-parts":[["2007"]]},"page":"1-17","title":"Agentes antitumorais inibidores da angiogênese: modelos farmacofóricos para inibidores da integrina &lt;FONT FACE=Symbol&gt;anb&lt;/FONT&gt;3","type":"article-journal","volume":"43"},"uris":["http://www.mendeley.com/documents/?uuid=c28a009b-d5ad-40ab-b0a3-4cb1a57c5f82"]}],"mendeley":{"formattedCitation":"[6]","plainTextFormattedCitation":"[6]","previouslyFormattedCitation":"[6]"},"properties":{"noteIndex":0},"schema":"https://github.com/citation-style-language/schema/raw/master/csl-citation.json"}</w:instrText>
      </w:r>
      <w:r w:rsidRPr="00CC56FB">
        <w:rPr>
          <w:color w:val="auto"/>
          <w:sz w:val="22"/>
          <w:szCs w:val="22"/>
        </w:rPr>
        <w:fldChar w:fldCharType="separate"/>
      </w:r>
      <w:r w:rsidR="0008253C" w:rsidRPr="0008253C">
        <w:rPr>
          <w:noProof/>
          <w:color w:val="auto"/>
          <w:sz w:val="22"/>
          <w:szCs w:val="22"/>
        </w:rPr>
        <w:t>[6]</w:t>
      </w:r>
      <w:r w:rsidRPr="00CC56FB">
        <w:rPr>
          <w:color w:val="auto"/>
          <w:sz w:val="22"/>
          <w:szCs w:val="22"/>
        </w:rPr>
        <w:fldChar w:fldCharType="end"/>
      </w:r>
      <w:r w:rsidRPr="00CC56FB">
        <w:rPr>
          <w:color w:val="auto"/>
          <w:sz w:val="22"/>
          <w:szCs w:val="22"/>
        </w:rPr>
        <w:t xml:space="preserve">. A obtenção de peptídeos cíclicos trouxe grandes contribuições para a observação da seletividade dos antagonistas de integrinas. O caso clínico mais eficiente atualmente é o do peptídeo cíclico Cilengitide que inibe as integrinas </w:t>
      </w:r>
      <w:r w:rsidRPr="00CC56FB">
        <w:rPr>
          <w:sz w:val="22"/>
          <w:szCs w:val="22"/>
        </w:rPr>
        <w:t>αVβ3 e αVβ5 em glioblastoma</w:t>
      </w:r>
      <w:r w:rsidR="00DC4FE4">
        <w:rPr>
          <w:sz w:val="22"/>
          <w:szCs w:val="22"/>
        </w:rPr>
        <w:t xml:space="preserve"> e possui um IC</w:t>
      </w:r>
      <w:r w:rsidR="00DC4FE4" w:rsidRPr="00DC4FE4">
        <w:rPr>
          <w:sz w:val="22"/>
          <w:szCs w:val="22"/>
          <w:vertAlign w:val="subscript"/>
        </w:rPr>
        <w:t>50</w:t>
      </w:r>
      <w:r w:rsidR="00DC4FE4">
        <w:rPr>
          <w:sz w:val="22"/>
          <w:szCs w:val="22"/>
        </w:rPr>
        <w:t xml:space="preserve"> de 79</w:t>
      </w:r>
      <w:r w:rsidR="00443BB8">
        <w:rPr>
          <w:sz w:val="22"/>
          <w:szCs w:val="22"/>
        </w:rPr>
        <w:t xml:space="preserve"> </w:t>
      </w:r>
      <w:r w:rsidR="00DC4FE4">
        <w:rPr>
          <w:sz w:val="22"/>
          <w:szCs w:val="22"/>
        </w:rPr>
        <w:t>nM</w:t>
      </w:r>
      <w:r w:rsidRPr="00CC56FB">
        <w:rPr>
          <w:sz w:val="22"/>
          <w:szCs w:val="22"/>
        </w:rPr>
        <w:t xml:space="preserve"> </w:t>
      </w:r>
      <w:r w:rsidRPr="00CC56FB">
        <w:rPr>
          <w:sz w:val="22"/>
          <w:szCs w:val="22"/>
        </w:rPr>
        <w:fldChar w:fldCharType="begin" w:fldLock="1"/>
      </w:r>
      <w:r w:rsidR="00C35F03">
        <w:rPr>
          <w:sz w:val="22"/>
          <w:szCs w:val="22"/>
        </w:rPr>
        <w:instrText>ADDIN CSL_CITATION {"citationItems":[{"id":"ITEM-1","itemData":{"DOI":"10.1016/S1470-2045(14)70379-1","ISSN":"14702045","author":[{"dropping-particle":"","family":"Stupp","given":"Roger","non-dropping-particle":"","parse-names":false,"suffix":""},{"dropping-particle":"","family":"Hegi","given":"Monika E","non-dropping-particle":"","parse-names":false,"suffix":""},{"dropping-particle":"","family":"Gorlia","given":"Thierry","non-dropping-particle":"","parse-names":false,"suffix":""},{"dropping-particle":"","family":"Erridge","given":"Sara C","non-dropping-particle":"","parse-names":false,"suffix":""},{"dropping-particle":"","family":"Perry","given":"James","non-dropping-particle":"","parse-names":false,"suffix":""},{"dropping-particle":"","family":"Hong","given":"Yong-Kil","non-dropping-particle":"","parse-names":false,"suffix":""},{"dropping-particle":"","family":"Aldape","given":"Kenneth D","non-dropping-particle":"","parse-names":false,"suffix":""},{"dropping-particle":"","family":"Lhermitte","given":"Benoit","non-dropping-particle":"","parse-names":false,"suffix":""},{"dropping-particle":"","family":"Pietsch","given":"Torsten","non-dropping-particle":"","parse-names":false,"suffix":""},{"dropping-particle":"","family":"Grujicic","given":"Danica","non-dropping-particle":"","parse-names":false,"suffix":""},{"dropping-particle":"","family":"Steinbach","given":"Joachim Peter","non-dropping-particle":"","parse-names":false,"suffix":""},{"dropping-particle":"","family":"Wick","given":"Wolfgang","non-dropping-particle":"","parse-names":false,"suffix":""},{"dropping-particle":"","family":"Tarnawski","given":"Rafał","non-dropping-particle":"","parse-names":false,"suffix":""},{"dropping-particle":"","family":"Nam","given":"Do-Hyun","non-dropping-particle":"","parse-names":false,"suffix":""},{"dropping-particle":"","family":"Hau","given":"Peter","non-dropping-particle":"","parse-names":false,"suffix":""},{"dropping-particle":"","family":"Weyerbrock","given":"Astrid","non-dropping-particle":"","parse-names":false,"suffix":""},{"dropping-particle":"","family":"Taphoorn","given":"Martin J B","non-dropping-particle":"","parse-names":false,"suffix":""},{"dropping-particle":"","family":"Shen","given":"Chiung-Chyi","non-dropping-particle":"","parse-names":false,"suffix":""},{"dropping-particle":"","family":"Rao","given":"Nalini","non-dropping-particle":"","parse-names":false,"suffix":""},{"dropping-particle":"","family":"Thurzo","given":"László","non-dropping-particle":"","parse-names":false,"suffix":""},{"dropping-particle":"","family":"Herrlinger","given":"Ulrich","non-dropping-particle":"","parse-names":false,"suffix":""},{"dropping-particle":"","family":"Gupta","given":"Tejpal","non-dropping-particle":"","parse-names":false,"suffix":""},{"dropping-particle":"","family":"Kortmann","given":"Rolf-Dieter","non-dropping-particle":"","parse-names":false,"suffix":""},{"dropping-particle":"","family":"Adamska","given":"Krystyna","non-dropping-particle":"","parse-names":false,"suffix":""},{"dropping-particle":"","family":"McBain","given":"Catherine","non-dropping-particle":"","parse-names":false,"suffix":""},{"dropping-particle":"","family":"Brandes","given":"Alba a","non-dropping-particle":"","parse-names":false,"suffix":""},{"dropping-particle":"","family":"Tonn","given":"Joerg Christian","non-dropping-particle":"","parse-names":false,"suffix":""},{"dropping-particle":"","family":"Schnell","given":"Oliver","non-dropping-particle":"","parse-names":false,"suffix":""},{"dropping-particle":"","family":"Wiegel","given":"Thomas","non-dropping-particle":"","parse-names":false,"suffix":""},{"dropping-particle":"","family":"Kim","given":"Chae-Yong","non-dropping-particle":"","parse-names":false,"suffix":""},{"dropping-particle":"","family":"Nabors","given":"Louis Burt","non-dropping-particle":"","parse-names":false,"suffix":""},{"dropping-particle":"","family":"Reardon","given":"David a","non-dropping-particle":"","parse-names":false,"suffix":""},{"dropping-particle":"","family":"Bent","given":"Martin J","non-dropping-particle":"van den","parse-names":false,"suffix":""},{"dropping-particle":"","family":"Hicking","given":"Christine","non-dropping-particle":"","parse-names":false,"suffix":""},{"dropping-particle":"","family":"Markivskyy","given":"Andriy","non-dropping-particle":"","parse-names":false,"suffix":""},{"dropping-particle":"","family":"Picard","given":"Martin","non-dropping-particle":"","parse-names":false,"suffix":""},{"dropping-particle":"","family":"Weller","given":"Michael","non-dropping-particle":"","parse-names":false,"suffix":""}],"container-title":"The Lancet Oncology","id":"ITEM-1","issue":"10","issued":{"date-parts":[["2014"]]},"page":"1100-1108","title":"Cilengitide combined with standard treatment for patients with newly diagnosed glioblastoma with methylated MGMT promoter (CENTRIC EORTC 26071-22072 study): a multicentre, randomised, open-label, phase 3 trial","type":"article-journal","volume":"15"},"uris":["http://www.mendeley.com/documents/?uuid=42487d48-33d3-4707-9c59-b181e3f58073"]},{"id":"ITEM-2","itemData":{"DOI":"10.1038/nrc2748\\rnrc2748 [pii]","ISBN":"1474-1768 (Electronic)\\r1474-175X (Linking)","ISSN":"1474-1768 (Electronic) 1474-1768 (Linking)","PMID":"20029421","abstract":"The integrin family of cell adhesion receptors regulates a diverse array of cellular functions crucial to the initiation, progression and metastasis of solid tumours. The importance of integrins in several cell types that affect tumour progression has made them an appealing target for cancer therapy. Integrin antagonists, including the alphavbeta3 and alphavbeta5 inhibitor cilengitide, have shown encouraging activity in Phase II clinical trials and cilengitide is currently being tested in a Phase III trial in patients with glioblastoma. These exciting clinical developments emphasize the need to identify how integrin antagonists influence the tumour and its microenvironment.","author":[{"dropping-particle":"","family":"Desgrosellier","given":"J S","non-dropping-particle":"","parse-names":false,"suffix":""},{"dropping-particle":"","family":"Cheresh","given":"D a","non-dropping-particle":"","parse-names":false,"suffix":""}],"container-title":"Nat Rev Cancer","id":"ITEM-2","issue":"1","issued":{"date-parts":[["2010"]]},"page":"9-22","publisher":"Nature Publishing Group","title":"Integrins in cancer: biological implications and therapeutic opportunities","type":"article-journal","volume":"10"},"uris":["http://www.mendeley.com/documents/?uuid=e63d8c2b-02cb-4b78-86c5-33a998e79942"]},{"id":"ITEM-3","itemData":{"DOI":"10.1093/annonc/mdm140","ISBN":"0923-7534 (Print)","ISSN":"0923-7534","PMID":"17693653","abstract":"BACKGROUND: Cilengitide, an antiangiogenic agent that inhibits the binding of integrins alpha(nu)beta(3) and alpha(nu)beta(5) to the extracellular matrix, was studied at two dose levels in cancer patients to determine the optimal biological dose. PATIENTS AND METHODS: The doses of cilengitide were 600 or 1200 mg/m(2) as a 1-h infusion twice weekly every 28 days. A novel dose escalation scheme was utilized that relied upon the biological activity rate. RESULTS: Twenty patients received 50 courses of cilengitide with no dose-limiting toxic effects. The pharmacokinetic (PK) profile revealed a short elimination half-life of 4 h, supporting twice weekly dosing. Of the six soluble angiogenic molecules assessed, only E-selectin increased significantly from baseline. Analysis of tumor microvessel density and gene expression was not informative due to intrapatient tumor heterogeneity. Although several patients with evaluable tumor biopsy pairs did reveal posttreatment increases in tumor and endothelial cell apoptosis, these results did not reach statistical significance due to the aforementioned heterogeneity. CONCLUSIONS: Cilengitide is a well-tolerated antiangiogenic agent. The biomarkers chosen in this study underscore the difficulty in assessing the biological activity of antiangiogenic agents in the absence of validated biological assays.","author":[{"dropping-particle":"","family":"Hariharan","given":"S","non-dropping-particle":"","parse-names":false,"suffix":""},{"dropping-particle":"","family":"Gustafson","given":"D","non-dropping-particle":"","parse-names":false,"suffix":""},{"dropping-particle":"","family":"Holden","given":"S","non-dropping-particle":"","parse-names":false,"suffix":""},{"dropping-particle":"","family":"McConkey","given":"D","non-dropping-particle":"","parse-names":false,"suffix":""},{"dropping-particle":"","family":"Davis","given":"D","non-dropping-particle":"","parse-names":false,"suffix":""},{"dropping-particle":"","family":"Morrow","given":"M","non-dropping-particle":"","parse-names":false,"suffix":""},{"dropping-particle":"","family":"Basche","given":"M","non-dropping-particle":"","parse-names":false,"suffix":""},{"dropping-particle":"","family":"Gore","given":"L","non-dropping-particle":"","parse-names":false,"suffix":""},{"dropping-particle":"","family":"Zang","given":"C","non-dropping-particle":"","parse-names":false,"suffix":""},{"dropping-particle":"","family":"O'Bryant","given":"C L","non-dropping-particle":"","parse-names":false,"suffix":""},{"dropping-particle":"","family":"Baron","given":"a","non-dropping-particle":"","parse-names":false,"suffix":""},{"dropping-particle":"","family":"Gallemann","given":"D","non-dropping-particle":"","parse-names":false,"suffix":""},{"dropping-particle":"","family":"Colevas","given":"D","non-dropping-particle":"","parse-names":false,"suffix":""},{"dropping-particle":"","family":"Eckhardt","given":"S G","non-dropping-particle":"","parse-names":false,"suffix":""}],"container-title":"Annals of oncology : official journal of the European Society for Medical Oncology / ESMO","id":"ITEM-3","issue":"8","issued":{"date-parts":[["2007"]]},"page":"1400-1407","title":"Assessment of the biological and pharmacological effects of the alpha nu beta3 and alpha nu beta5 integrin receptor antagonist, cilengitide (EMD 121974), in patients with advanced solid tumors.","type":"article-journal","volume":"18"},"uris":["http://www.mendeley.com/documents/?uuid=1862e2c2-0a97-49b2-a3ec-789de05c6e26"]}],"mendeley":{"formattedCitation":"[5,18,19]","plainTextFormattedCitation":"[5,18,19]","previouslyFormattedCitation":"[5,18,19]"},"properties":{"noteIndex":0},"schema":"https://github.com/citation-style-language/schema/raw/master/csl-citation.json"}</w:instrText>
      </w:r>
      <w:r w:rsidRPr="00CC56FB">
        <w:rPr>
          <w:sz w:val="22"/>
          <w:szCs w:val="22"/>
        </w:rPr>
        <w:fldChar w:fldCharType="separate"/>
      </w:r>
      <w:r w:rsidR="00285352" w:rsidRPr="00285352">
        <w:rPr>
          <w:noProof/>
          <w:sz w:val="22"/>
          <w:szCs w:val="22"/>
        </w:rPr>
        <w:t>[5,18,19]</w:t>
      </w:r>
      <w:r w:rsidRPr="00CC56FB">
        <w:rPr>
          <w:sz w:val="22"/>
          <w:szCs w:val="22"/>
        </w:rPr>
        <w:fldChar w:fldCharType="end"/>
      </w:r>
      <w:r w:rsidRPr="00CC56FB">
        <w:rPr>
          <w:color w:val="auto"/>
          <w:sz w:val="22"/>
          <w:szCs w:val="22"/>
        </w:rPr>
        <w:t xml:space="preserve">. </w:t>
      </w:r>
    </w:p>
    <w:p w14:paraId="7D455962" w14:textId="5A94A5AA"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 xml:space="preserve">As desintegrinas de veneno de serpente são um tipo de inibidor natural da interação entre integrina-ligante </w:t>
      </w:r>
      <w:r w:rsidRPr="00CC56FB">
        <w:rPr>
          <w:color w:val="auto"/>
          <w:sz w:val="22"/>
          <w:szCs w:val="22"/>
        </w:rPr>
        <w:fldChar w:fldCharType="begin" w:fldLock="1"/>
      </w:r>
      <w:r w:rsidR="00C35F03">
        <w:rPr>
          <w:color w:val="auto"/>
          <w:sz w:val="22"/>
          <w:szCs w:val="22"/>
        </w:rPr>
        <w:instrText>ADDIN CSL_CITATION {"citationItems":[{"id":"ITEM-1","itemData":{"ISBN":"0021-9258 (Print)\\r0021-9258 (Linking)","ISSN":"0021-9258","PMID":"8051114","abstract":"The binding of purified fibrinogen receptor alpha IIb beta 3, vitronectin receptor alpha V beta 3, and fibronectin receptor alpha 5 beta 1 to their corresponding ligands in solid-phase binding assays was used to examine the inhibitory activity of various linear and cyclic penta- and hexapeptides of different conformation containing RGD or RAD sequences. Cyclic peptides with different defined backbone conformations were designed by introducing a single D-amino acid or a proline at different positions in the ring. The data were calibrated for alpha IIb beta 3 integrin incorporated into a planar lipid bilayer by a physical method (total internal reflection fluorescence microscopy) which yielded KD = 1.7 microM for a linear RGD peptide and KD = 0.03 microM for fibrinogen. With this integrin, three cyclic hexapeptides ([GRGDFL], [ARGDFV], [GRGDFV]) were 2-4-fold more inhibitory than the linear GRGDS peptide in solid-phase assays and showed similar inhibition as the fibrinogen ligand. Six peptides had the same or a 2-fold lower activity as the linear reference peptide, and three peptides were up to 7-fold less active. Replacement of Arg or Asp by their stereoisomers or Gly by Ala resulted in a 100-1000-fold reduction in activity. With the two other integrins, a single cyclic pentapeptide [RGDFV] was 10-fold more active (alpha V beta 3) or equal in activity (alpha 5 beta 1) to linear GRGDS, while all of the other cyclic peptides were moderately or distinctly less active. Changes in the RGD sequence caused a less dramatic reduction in binding strength for alpha V beta 3 and alpha 5 beta 1 than for alpha II beta 3. Inhibitory activity was compared with the distance between the C beta atoms of Arg and Asp residues as determined by NMR and indicated that the optimum distance is in the range of 0.75-0.85 nm for alpha IIb beta 3 and at or below 0.67 nm for alpha V beta 3 and alpha 5 beta 1. This indicates that alpha IIb beta 3 less sensitive to variations in the RGD backbone structure and can accommodate a larger distance than the integrins alpha V beta 3 and alpha 5 beta 1.","author":[{"dropping-particle":"","family":"Pfaff","given":"M","non-dropping-particle":"","parse-names":false,"suffix":""},{"dropping-particle":"","family":"Tangemann","given":"K","non-dropping-particle":"","parse-names":false,"suffix":""},{"dropping-particle":"","family":"Müller","given":"B","non-dropping-particle":"","parse-names":false,"suffix":""},{"dropping-particle":"","family":"Gurrath","given":"M","non-dropping-particle":"","parse-names":false,"suffix":""},{"dropping-particle":"","family":"Müller","given":"G","non-dropping-particle":"","parse-names":false,"suffix":""},{"dropping-particle":"","family":"Kessler","given":"H","non-dropping-particle":"","parse-names":false,"suffix":""},{"dropping-particle":"","family":"Timpl","given":"R","non-dropping-particle":"","parse-names":false,"suffix":""},{"dropping-particle":"","family":"Engel","given":"J","non-dropping-particle":"","parse-names":false,"suffix":""}],"container-title":"The Journal of biological chemistry","id":"ITEM-1","issue":"32","issued":{"date-parts":[["1994"]]},"page":"20233-20238","title":"Selective recognition of cyclic RGD peptides of NMR defined conformation by alpha IIb beta 3, alpha V beta 3, and alpha 5 beta 1 integrins.","type":"article-journal","volume":"269"},"uris":["http://www.mendeley.com/documents/?uuid=9bca82b9-0509-47fa-bda5-50c8605579a0"]},{"id":"ITEM-2","itemData":{"DOI":"10.1016/j.procbio.2012.04.020","ISSN":"1359-5113","author":[{"dropping-particle":"","family":"Thangam","given":"Ramar","non-dropping-particle":"","parse-names":false,"suffix":""},{"dropping-particle":"","family":"Gunasekaran","given":"Palani","non-dropping-particle":"","parse-names":false,"suffix":""},{"dropping-particle":"","family":"Kaveri","given":"Krishnasamy","non-dropping-particle":"","parse-names":false,"suffix":""},{"dropping-particle":"","family":"Sridevi","given":"Gnanaiah","non-dropping-particle":"","parse-names":false,"suffix":""},{"dropping-particle":"","family":"Sundarraj","given":"Shenbagamoorthy","non-dropping-particle":"","parse-names":false,"suffix":""},{"dropping-particle":"","family":"Paulpandi","given":"Manickam","non-dropping-particle":"","parse-names":false,"suffix":""},{"dropping-particle":"","family":"Kannan","given":"Soundarapandian","non-dropping-particle":"","parse-names":false,"suffix":""}],"container-title":"Process Biochemistry","id":"ITEM-2","issue":"8","issued":{"date-parts":[["2012"]]},"note":"NULL","page":"1243-1249","publisher":"Elsevier Ltd","title":"A novel disintegrin protein from Naja naja venom induces cytotoxicity and apoptosis in human cancer cell lines in vitro","type":"article-journal","volume":"47"},"uris":["http://www.mendeley.com/documents/?uuid=412ad926-f0c2-4aea-a019-14f99c076f60"]}],"mendeley":{"formattedCitation":"[20,21]","plainTextFormattedCitation":"[20,21]","previouslyFormattedCitation":"[20,21]"},"properties":{"noteIndex":0},"schema":"https://github.com/citation-style-language/schema/raw/master/csl-citation.json"}</w:instrText>
      </w:r>
      <w:r w:rsidRPr="00CC56FB">
        <w:rPr>
          <w:color w:val="auto"/>
          <w:sz w:val="22"/>
          <w:szCs w:val="22"/>
        </w:rPr>
        <w:fldChar w:fldCharType="separate"/>
      </w:r>
      <w:r w:rsidR="00285352" w:rsidRPr="00285352">
        <w:rPr>
          <w:noProof/>
          <w:color w:val="auto"/>
          <w:sz w:val="22"/>
          <w:szCs w:val="22"/>
        </w:rPr>
        <w:t>[20,21]</w:t>
      </w:r>
      <w:r w:rsidRPr="00CC56FB">
        <w:rPr>
          <w:color w:val="auto"/>
          <w:sz w:val="22"/>
          <w:szCs w:val="22"/>
        </w:rPr>
        <w:fldChar w:fldCharType="end"/>
      </w:r>
      <w:r w:rsidRPr="00CC56FB">
        <w:rPr>
          <w:color w:val="auto"/>
          <w:sz w:val="22"/>
          <w:szCs w:val="22"/>
        </w:rPr>
        <w:t xml:space="preserve">. </w:t>
      </w:r>
      <w:r w:rsidR="00443BB8">
        <w:rPr>
          <w:color w:val="auto"/>
          <w:sz w:val="22"/>
          <w:szCs w:val="22"/>
        </w:rPr>
        <w:t>Essas</w:t>
      </w:r>
      <w:r w:rsidRPr="00CC56FB">
        <w:rPr>
          <w:color w:val="auto"/>
          <w:sz w:val="22"/>
          <w:szCs w:val="22"/>
        </w:rPr>
        <w:t xml:space="preserve"> desintegrinas apresentam homologia com a proteína humana ADAM (proteína desintegrina e metaloprotease) </w:t>
      </w:r>
      <w:r w:rsidRPr="00CC56FB">
        <w:rPr>
          <w:color w:val="auto"/>
          <w:sz w:val="22"/>
          <w:szCs w:val="22"/>
        </w:rPr>
        <w:fldChar w:fldCharType="begin" w:fldLock="1"/>
      </w:r>
      <w:r w:rsidR="00C35F03">
        <w:rPr>
          <w:color w:val="auto"/>
          <w:sz w:val="22"/>
          <w:szCs w:val="22"/>
        </w:rPr>
        <w:instrText>ADDIN CSL_CITATION {"citationItems":[{"id":"ITEM-1","itemData":{"DOI":"10.1023/A:1020692710029","ISBN":"0277-8033","ISSN":"02778033","PMID":"10449042","abstract":"The ADAMs belong to a disintegrin-like and metalloproteinase-containing protein family that are zinc-dependent metalloproteinases. These proteins share all or some of the following domain structure: a signal peptide, a propeptide, a metalloproteinase, a disintegrin, a cysteine-rich, and an epidermal growth factor (EGF)-like domains, a transmembrane region, and a cytoplasmic tail. ADAMs are widely distributed in many organs, tissues, and cells, such as brain, testis, epididymis, ovary, breast, placenta, liver, heart, lung, bone, and muscle. These proteins are capable of four potential functions: proteolysis, adhesion, fusion, and intracellular signaling. Because the number of ADAM genes has grown rapidly and the biological functions of most members are unclear, this review analyzes the protein structures and functions, their activation and processing, their known and potential activities, and their evolutionary relationships. A sequence alignment of human ADAMs is compiled and their homology and physical data are calculated. The conceivable functions of ADAMs in reproduction, development, and diseases are also discussed.","author":[{"dropping-particle":"","family":"Stone","given":"Anne L.","non-dropping-particle":"","parse-names":false,"suffix":""},{"dropping-particle":"","family":"Kroeger","given":"Michaela","non-dropping-particle":"","parse-names":false,"suffix":""},{"dropping-particle":"","family":"Sang","given":"Qing Xiang Amy","non-dropping-particle":"","parse-names":false,"suffix":""}],"container-title":"Journal of Protein Chemistry","id":"ITEM-1","issue":"4","issued":{"date-parts":[["1999"]]},"page":"447-465","title":"Structure-function analysis of the ADAM family of disintegrin-like and metalloproteinase-containing proteins (review)","type":"article-journal","volume":"18"},"uris":["http://www.mendeley.com/documents/?uuid=0a11a174-56fb-4769-972a-e904ece12eba"]}],"mendeley":{"formattedCitation":"[22]","plainTextFormattedCitation":"[22]","previouslyFormattedCitation":"[22]"},"properties":{"noteIndex":0},"schema":"https://github.com/citation-style-language/schema/raw/master/csl-citation.json"}</w:instrText>
      </w:r>
      <w:r w:rsidRPr="00CC56FB">
        <w:rPr>
          <w:color w:val="auto"/>
          <w:sz w:val="22"/>
          <w:szCs w:val="22"/>
        </w:rPr>
        <w:fldChar w:fldCharType="separate"/>
      </w:r>
      <w:r w:rsidR="00285352" w:rsidRPr="00285352">
        <w:rPr>
          <w:noProof/>
          <w:color w:val="auto"/>
          <w:sz w:val="22"/>
          <w:szCs w:val="22"/>
        </w:rPr>
        <w:t>[22]</w:t>
      </w:r>
      <w:r w:rsidRPr="00CC56FB">
        <w:rPr>
          <w:color w:val="auto"/>
          <w:sz w:val="22"/>
          <w:szCs w:val="22"/>
        </w:rPr>
        <w:fldChar w:fldCharType="end"/>
      </w:r>
      <w:r w:rsidRPr="00CC56FB">
        <w:rPr>
          <w:color w:val="auto"/>
          <w:sz w:val="22"/>
          <w:szCs w:val="22"/>
        </w:rPr>
        <w:t xml:space="preserve"> a qual possui um</w:t>
      </w:r>
      <w:r w:rsidR="00A41CBA">
        <w:rPr>
          <w:color w:val="auto"/>
          <w:sz w:val="22"/>
          <w:szCs w:val="22"/>
        </w:rPr>
        <w:t xml:space="preserve">a região </w:t>
      </w:r>
      <w:r w:rsidR="00A41CBA" w:rsidRPr="00CC56FB">
        <w:rPr>
          <w:color w:val="auto"/>
          <w:sz w:val="22"/>
          <w:szCs w:val="22"/>
        </w:rPr>
        <w:t xml:space="preserve">de interação </w:t>
      </w:r>
      <w:r w:rsidR="00A41CBA">
        <w:rPr>
          <w:color w:val="auto"/>
          <w:sz w:val="22"/>
          <w:szCs w:val="22"/>
        </w:rPr>
        <w:t>em forma de</w:t>
      </w:r>
      <w:r w:rsidRPr="00CC56FB">
        <w:rPr>
          <w:color w:val="auto"/>
          <w:sz w:val="22"/>
          <w:szCs w:val="22"/>
        </w:rPr>
        <w:t xml:space="preserve"> </w:t>
      </w:r>
      <w:r w:rsidRPr="00443BB8">
        <w:rPr>
          <w:i/>
          <w:iCs/>
          <w:color w:val="auto"/>
          <w:sz w:val="22"/>
          <w:szCs w:val="22"/>
        </w:rPr>
        <w:t>loop</w:t>
      </w:r>
      <w:r w:rsidR="00A41CBA">
        <w:rPr>
          <w:color w:val="auto"/>
          <w:sz w:val="22"/>
          <w:szCs w:val="22"/>
        </w:rPr>
        <w:t>,</w:t>
      </w:r>
      <w:r w:rsidRPr="00CC56FB">
        <w:rPr>
          <w:color w:val="auto"/>
          <w:sz w:val="22"/>
          <w:szCs w:val="22"/>
        </w:rPr>
        <w:t xml:space="preserve"> capaz de reconhecer integrinas </w:t>
      </w:r>
      <w:r w:rsidRPr="00CC56FB">
        <w:rPr>
          <w:color w:val="auto"/>
          <w:sz w:val="22"/>
          <w:szCs w:val="22"/>
        </w:rPr>
        <w:fldChar w:fldCharType="begin" w:fldLock="1"/>
      </w:r>
      <w:r w:rsidR="00C35F03">
        <w:rPr>
          <w:color w:val="auto"/>
          <w:sz w:val="22"/>
          <w:szCs w:val="22"/>
        </w:rPr>
        <w:instrText>ADDIN CSL_CITATION {"citationItems":[{"id":"ITEM-1","itemData":{"ISSN":"0021-9533","PMID":"10825303","abstract":"The ADAMs (A Disintegrin and Metalloprotease Domains) are a family of membrane-anchored proteins that play a role in fertilisation, myoblast fusion and ectodomain shedding of cell surface proteins. Meltrin gamma (ADAM-9) is a widely expressed member of this family and is involved in the shedding of heparin binding epidermal growth factor. Here we report that meltrin gamma can function as a cell adhesion molecule via its disintegrin domain. Using solid-phase binding assays and antibody inhibition experiments, we demonstrate that a murine meltrin gamma-Fc (Mel gamma -Fc) fusion protein binds to the integrin alpha(6)beta(1) on the surface of fibroblast cell lines, HT1080 and Wehi 164 in a specific manner. Since alpha(6)beta(1) is important for the motility of several cell types on laminin, cell migration studies using time-lapse video microscopy were performed. Cells adhering to Mel gamma-Fc displayed a rounded morphology and a marked increase (eight- to tenfold) in their motility compared to that on laminin. Furthermore, the p160 ROCK kinase inhibitor Y-27632 specifically reduced the migration of cells on meltrin gamma but had no effect on migration of cells on laminin, whilst the general tyrosine phoshorylation inhibitor, genistein, inhibited cell migration on both substrates. These results together suggest that meltrin gamma may play a role in regulating the motility of cells by binding to alpha(6)beta(1) integrin and this may be important during a variety of biological and pathological processes.","author":[{"dropping-particle":"","family":"Nath","given":"D","non-dropping-particle":"","parse-names":false,"suffix":""},{"dropping-particle":"","family":"Slocombe","given":"P M","non-dropping-particle":"","parse-names":false,"suffix":""},{"dropping-particle":"","family":"Webster","given":"A","non-dropping-particle":"","parse-names":false,"suffix":""},{"dropping-particle":"","family":"Stephens","given":"P E","non-dropping-particle":"","parse-names":false,"suffix":""},{"dropping-particle":"","family":"Docherty","given":"A J","non-dropping-particle":"","parse-names":false,"suffix":""},{"dropping-particle":"","family":"Murphy","given":"G","non-dropping-particle":"","parse-names":false,"suffix":""}],"container-title":"Journal of cell science","id":"ITEM-1","issue":"July 2000","issued":{"date-parts":[["2000"]]},"page":"2319-28","title":"Meltrin gamma(ADAM-9) mediates cellular adhesion through alpha(6)beta(1 )integrin, leading to a marked induction of fibroblast cell motility.","type":"article-journal","volume":"113 ( Pt 1"},"uris":["http://www.mendeley.com/documents/?uuid=98f8bb6f-c8a4-4340-bbfe-1a8cbe9107d5"]},{"id":"ITEM-2","itemData":{"DOI":"10.1101/gad.1039703.GENES","author":[{"dropping-particle":"","family":"Seals","given":"Darren F","non-dropping-particle":"","parse-names":false,"suffix":""},{"dropping-particle":"","family":"Courtneidge","given":"Sara A","non-dropping-particle":"","parse-names":false,"suffix":""}],"container-title":"Genes &amp; Development","id":"ITEM-2","issue":"616","issued":{"date-parts":[["2003"]]},"note":"NULL","page":"7-30","title":"The ADAMs family of metalloproteases : multidomain proteins with multiple functions","type":"article-journal","volume":"17"},"uris":["http://www.mendeley.com/documents/?uuid=bb736d4f-8d31-41d0-a178-927790d9ef8e"]}],"mendeley":{"formattedCitation":"[23,24]","plainTextFormattedCitation":"[23,24]","previouslyFormattedCitation":"[23,24]"},"properties":{"noteIndex":0},"schema":"https://github.com/citation-style-language/schema/raw/master/csl-citation.json"}</w:instrText>
      </w:r>
      <w:r w:rsidRPr="00CC56FB">
        <w:rPr>
          <w:color w:val="auto"/>
          <w:sz w:val="22"/>
          <w:szCs w:val="22"/>
        </w:rPr>
        <w:fldChar w:fldCharType="separate"/>
      </w:r>
      <w:r w:rsidR="00285352" w:rsidRPr="00285352">
        <w:rPr>
          <w:noProof/>
          <w:color w:val="auto"/>
          <w:sz w:val="22"/>
          <w:szCs w:val="22"/>
        </w:rPr>
        <w:t>[23,24]</w:t>
      </w:r>
      <w:r w:rsidRPr="00CC56FB">
        <w:rPr>
          <w:color w:val="auto"/>
          <w:sz w:val="22"/>
          <w:szCs w:val="22"/>
        </w:rPr>
        <w:fldChar w:fldCharType="end"/>
      </w:r>
      <w:r w:rsidR="00A41CBA">
        <w:rPr>
          <w:color w:val="auto"/>
          <w:sz w:val="22"/>
          <w:szCs w:val="22"/>
        </w:rPr>
        <w:t>.</w:t>
      </w:r>
      <w:r w:rsidRPr="00CC56FB">
        <w:rPr>
          <w:color w:val="auto"/>
          <w:sz w:val="22"/>
          <w:szCs w:val="22"/>
        </w:rPr>
        <w:t xml:space="preserve"> </w:t>
      </w:r>
      <w:r w:rsidR="00A41CBA">
        <w:rPr>
          <w:color w:val="auto"/>
          <w:sz w:val="22"/>
          <w:szCs w:val="22"/>
        </w:rPr>
        <w:t>S</w:t>
      </w:r>
      <w:r w:rsidRPr="00CC56FB">
        <w:rPr>
          <w:color w:val="auto"/>
          <w:sz w:val="22"/>
          <w:szCs w:val="22"/>
        </w:rPr>
        <w:t>endo este</w:t>
      </w:r>
      <w:r w:rsidR="00A41CBA">
        <w:rPr>
          <w:color w:val="auto"/>
          <w:sz w:val="22"/>
          <w:szCs w:val="22"/>
        </w:rPr>
        <w:t xml:space="preserve"> </w:t>
      </w:r>
      <w:r w:rsidR="00A41CBA" w:rsidRPr="00415A83">
        <w:rPr>
          <w:i/>
          <w:color w:val="auto"/>
          <w:sz w:val="22"/>
          <w:szCs w:val="22"/>
        </w:rPr>
        <w:t>loop</w:t>
      </w:r>
      <w:r w:rsidRPr="00CC56FB">
        <w:rPr>
          <w:color w:val="auto"/>
          <w:sz w:val="22"/>
          <w:szCs w:val="22"/>
        </w:rPr>
        <w:t xml:space="preserve"> um local de interesse para o desenho de inibidores sintéticos</w:t>
      </w:r>
      <w:r w:rsidR="00A41CBA">
        <w:rPr>
          <w:color w:val="auto"/>
          <w:sz w:val="22"/>
          <w:szCs w:val="22"/>
        </w:rPr>
        <w:t xml:space="preserve"> de integrinas</w:t>
      </w:r>
      <w:r w:rsidRPr="00CC56FB">
        <w:rPr>
          <w:i/>
          <w:iCs/>
          <w:color w:val="auto"/>
          <w:sz w:val="22"/>
          <w:szCs w:val="22"/>
        </w:rPr>
        <w:t xml:space="preserve">. </w:t>
      </w:r>
    </w:p>
    <w:p w14:paraId="68830254" w14:textId="5102A9D7"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lastRenderedPageBreak/>
        <w:t xml:space="preserve"> </w:t>
      </w:r>
      <w:r w:rsidR="00415A83">
        <w:rPr>
          <w:color w:val="auto"/>
          <w:sz w:val="22"/>
          <w:szCs w:val="22"/>
        </w:rPr>
        <w:t xml:space="preserve">No presente trabalho </w:t>
      </w:r>
      <w:r w:rsidRPr="00CC56FB">
        <w:rPr>
          <w:color w:val="auto"/>
          <w:sz w:val="22"/>
          <w:szCs w:val="22"/>
        </w:rPr>
        <w:t xml:space="preserve">o </w:t>
      </w:r>
      <w:r w:rsidRPr="00CC56FB">
        <w:rPr>
          <w:i/>
          <w:iCs/>
          <w:color w:val="auto"/>
          <w:sz w:val="22"/>
          <w:szCs w:val="22"/>
        </w:rPr>
        <w:t xml:space="preserve">loop </w:t>
      </w:r>
      <w:r w:rsidRPr="00CC56FB">
        <w:rPr>
          <w:color w:val="auto"/>
          <w:sz w:val="22"/>
          <w:szCs w:val="22"/>
        </w:rPr>
        <w:t xml:space="preserve">interativo do domínio </w:t>
      </w:r>
      <w:r w:rsidRPr="00CC56FB">
        <w:rPr>
          <w:i/>
          <w:iCs/>
          <w:color w:val="auto"/>
          <w:sz w:val="22"/>
          <w:szCs w:val="22"/>
        </w:rPr>
        <w:t xml:space="preserve">desintegrina-like </w:t>
      </w:r>
      <w:r w:rsidRPr="00CC56FB">
        <w:rPr>
          <w:color w:val="auto"/>
          <w:sz w:val="22"/>
          <w:szCs w:val="22"/>
        </w:rPr>
        <w:t xml:space="preserve">da </w:t>
      </w:r>
      <w:r w:rsidR="00415A83">
        <w:rPr>
          <w:color w:val="auto"/>
          <w:sz w:val="22"/>
          <w:szCs w:val="22"/>
        </w:rPr>
        <w:t xml:space="preserve">proteína </w:t>
      </w:r>
      <w:r w:rsidRPr="00CC56FB">
        <w:rPr>
          <w:color w:val="auto"/>
          <w:sz w:val="22"/>
          <w:szCs w:val="22"/>
        </w:rPr>
        <w:t>ADAM9</w:t>
      </w:r>
      <w:r w:rsidR="00415A83">
        <w:rPr>
          <w:color w:val="auto"/>
          <w:sz w:val="22"/>
          <w:szCs w:val="22"/>
        </w:rPr>
        <w:t xml:space="preserve"> foi empregada como </w:t>
      </w:r>
      <w:r w:rsidR="00415A83" w:rsidRPr="00DC4FE4">
        <w:rPr>
          <w:i/>
          <w:iCs/>
          <w:color w:val="auto"/>
          <w:sz w:val="22"/>
          <w:szCs w:val="22"/>
        </w:rPr>
        <w:t>template</w:t>
      </w:r>
      <w:r w:rsidR="00415A83">
        <w:rPr>
          <w:color w:val="auto"/>
          <w:sz w:val="22"/>
          <w:szCs w:val="22"/>
        </w:rPr>
        <w:t xml:space="preserve"> para o desenvolvimento </w:t>
      </w:r>
      <w:r w:rsidRPr="00CC56FB">
        <w:rPr>
          <w:color w:val="auto"/>
          <w:sz w:val="22"/>
          <w:szCs w:val="22"/>
        </w:rPr>
        <w:t xml:space="preserve"> </w:t>
      </w:r>
      <w:r w:rsidR="00415A83" w:rsidRPr="00CC56FB">
        <w:rPr>
          <w:i/>
          <w:color w:val="auto"/>
          <w:sz w:val="22"/>
          <w:szCs w:val="22"/>
        </w:rPr>
        <w:t xml:space="preserve">in silico </w:t>
      </w:r>
      <w:r w:rsidRPr="00CC56FB">
        <w:rPr>
          <w:color w:val="auto"/>
          <w:sz w:val="22"/>
          <w:szCs w:val="22"/>
        </w:rPr>
        <w:t xml:space="preserve"> </w:t>
      </w:r>
      <w:r w:rsidR="00415A83">
        <w:rPr>
          <w:color w:val="auto"/>
          <w:sz w:val="22"/>
          <w:szCs w:val="22"/>
        </w:rPr>
        <w:t xml:space="preserve">do </w:t>
      </w:r>
      <w:r w:rsidRPr="00CC56FB">
        <w:rPr>
          <w:color w:val="auto"/>
          <w:sz w:val="22"/>
          <w:szCs w:val="22"/>
        </w:rPr>
        <w:t xml:space="preserve">peptídeo cíclico A9s </w:t>
      </w:r>
      <w:r w:rsidR="00452EAB" w:rsidRPr="00CC56FB">
        <w:rPr>
          <w:i/>
          <w:color w:val="auto"/>
          <w:sz w:val="22"/>
          <w:szCs w:val="22"/>
        </w:rPr>
        <w:fldChar w:fldCharType="begin" w:fldLock="1"/>
      </w:r>
      <w:r w:rsidR="00C35F03">
        <w:rPr>
          <w:i/>
          <w:color w:val="auto"/>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mendeley":{"formattedCitation":"[25]","plainTextFormattedCitation":"[25]","previouslyFormattedCitation":"[25]"},"properties":{"noteIndex":0},"schema":"https://github.com/citation-style-language/schema/raw/master/csl-citation.json"}</w:instrText>
      </w:r>
      <w:r w:rsidR="00452EAB" w:rsidRPr="00CC56FB">
        <w:rPr>
          <w:i/>
          <w:color w:val="auto"/>
          <w:sz w:val="22"/>
          <w:szCs w:val="22"/>
        </w:rPr>
        <w:fldChar w:fldCharType="separate"/>
      </w:r>
      <w:r w:rsidR="00285352" w:rsidRPr="00285352">
        <w:rPr>
          <w:noProof/>
          <w:color w:val="auto"/>
          <w:sz w:val="22"/>
          <w:szCs w:val="22"/>
        </w:rPr>
        <w:t>[25]</w:t>
      </w:r>
      <w:r w:rsidR="00452EAB" w:rsidRPr="00CC56FB">
        <w:rPr>
          <w:i/>
          <w:color w:val="auto"/>
          <w:sz w:val="22"/>
          <w:szCs w:val="22"/>
        </w:rPr>
        <w:fldChar w:fldCharType="end"/>
      </w:r>
      <w:r w:rsidRPr="00CC56FB">
        <w:rPr>
          <w:color w:val="auto"/>
          <w:sz w:val="22"/>
          <w:szCs w:val="22"/>
        </w:rPr>
        <w:t xml:space="preserve">. Resultado do </w:t>
      </w:r>
      <w:r w:rsidRPr="00CC56FB">
        <w:rPr>
          <w:i/>
          <w:iCs/>
          <w:color w:val="auto"/>
          <w:sz w:val="22"/>
          <w:szCs w:val="22"/>
        </w:rPr>
        <w:t xml:space="preserve">crosslink </w:t>
      </w:r>
      <w:r w:rsidRPr="00CC56FB">
        <w:rPr>
          <w:color w:val="auto"/>
          <w:sz w:val="22"/>
          <w:szCs w:val="22"/>
        </w:rPr>
        <w:t>de cisteínas</w:t>
      </w:r>
      <w:r w:rsidR="0034422E" w:rsidRPr="00415A83">
        <w:rPr>
          <w:color w:val="auto"/>
          <w:sz w:val="22"/>
          <w:szCs w:val="22"/>
        </w:rPr>
        <w:t xml:space="preserve">, </w:t>
      </w:r>
      <w:r w:rsidRPr="00415A83">
        <w:rPr>
          <w:color w:val="auto"/>
          <w:sz w:val="22"/>
          <w:szCs w:val="22"/>
        </w:rPr>
        <w:t xml:space="preserve">o </w:t>
      </w:r>
      <w:r w:rsidR="0034422E" w:rsidRPr="00415A83">
        <w:rPr>
          <w:color w:val="auto"/>
          <w:sz w:val="22"/>
          <w:szCs w:val="22"/>
        </w:rPr>
        <w:t xml:space="preserve">peptídeo </w:t>
      </w:r>
      <w:r w:rsidRPr="00415A83">
        <w:rPr>
          <w:color w:val="auto"/>
          <w:sz w:val="22"/>
          <w:szCs w:val="22"/>
        </w:rPr>
        <w:t xml:space="preserve">A9s foi desenhado para interagir com as integrinas αVβ3 e α4β1 </w:t>
      </w:r>
      <w:r w:rsidR="0034422E" w:rsidRPr="00415A83">
        <w:rPr>
          <w:color w:val="auto"/>
          <w:sz w:val="22"/>
          <w:szCs w:val="22"/>
        </w:rPr>
        <w:t xml:space="preserve">que </w:t>
      </w:r>
      <w:r w:rsidRPr="00415A83">
        <w:rPr>
          <w:color w:val="auto"/>
          <w:sz w:val="22"/>
          <w:szCs w:val="22"/>
        </w:rPr>
        <w:t>estão associadas a</w:t>
      </w:r>
      <w:r w:rsidR="0034422E" w:rsidRPr="00415A83">
        <w:rPr>
          <w:color w:val="auto"/>
          <w:sz w:val="22"/>
          <w:szCs w:val="22"/>
        </w:rPr>
        <w:t>os</w:t>
      </w:r>
      <w:r w:rsidRPr="00415A83">
        <w:rPr>
          <w:color w:val="auto"/>
          <w:sz w:val="22"/>
          <w:szCs w:val="22"/>
        </w:rPr>
        <w:t xml:space="preserve"> processos de adesão e movimentação celular. Por possuir especificidade de ligação às integrinas o </w:t>
      </w:r>
      <w:r w:rsidR="0034422E" w:rsidRPr="00415A83">
        <w:rPr>
          <w:color w:val="auto"/>
          <w:sz w:val="22"/>
          <w:szCs w:val="22"/>
        </w:rPr>
        <w:t xml:space="preserve">peptídeo </w:t>
      </w:r>
      <w:r w:rsidRPr="00415A83">
        <w:rPr>
          <w:color w:val="auto"/>
          <w:sz w:val="22"/>
          <w:szCs w:val="22"/>
        </w:rPr>
        <w:t>A9s</w:t>
      </w:r>
      <w:r w:rsidR="00B16874">
        <w:rPr>
          <w:color w:val="auto"/>
          <w:sz w:val="22"/>
          <w:szCs w:val="22"/>
        </w:rPr>
        <w:t>, no presente trabalho,</w:t>
      </w:r>
      <w:r w:rsidRPr="00415A83">
        <w:rPr>
          <w:color w:val="auto"/>
          <w:sz w:val="22"/>
          <w:szCs w:val="22"/>
        </w:rPr>
        <w:t xml:space="preserve"> foi capaz de se </w:t>
      </w:r>
      <w:r w:rsidRPr="00CC56FB">
        <w:rPr>
          <w:color w:val="auto"/>
          <w:sz w:val="22"/>
          <w:szCs w:val="22"/>
        </w:rPr>
        <w:t xml:space="preserve">ligar </w:t>
      </w:r>
      <w:r w:rsidR="00415A83">
        <w:rPr>
          <w:color w:val="auto"/>
          <w:sz w:val="22"/>
          <w:szCs w:val="22"/>
        </w:rPr>
        <w:t>à região MIDAS</w:t>
      </w:r>
      <w:r w:rsidR="00A74057">
        <w:rPr>
          <w:color w:val="auto"/>
          <w:sz w:val="22"/>
          <w:szCs w:val="22"/>
        </w:rPr>
        <w:t xml:space="preserve"> </w:t>
      </w:r>
      <w:r w:rsidR="00A74057" w:rsidRPr="00A74057">
        <w:rPr>
          <w:sz w:val="22"/>
          <w:szCs w:val="22"/>
        </w:rPr>
        <w:t>(</w:t>
      </w:r>
      <w:r w:rsidR="00A74057" w:rsidRPr="00A74057">
        <w:rPr>
          <w:i/>
          <w:iCs/>
          <w:sz w:val="22"/>
          <w:szCs w:val="22"/>
        </w:rPr>
        <w:t>Metal Ion-Dependent Adhesion Site</w:t>
      </w:r>
      <w:r w:rsidR="00A74057" w:rsidRPr="00A74057">
        <w:rPr>
          <w:sz w:val="22"/>
          <w:szCs w:val="22"/>
        </w:rPr>
        <w:t xml:space="preserve">), </w:t>
      </w:r>
      <w:r w:rsidR="00415A83">
        <w:rPr>
          <w:color w:val="auto"/>
          <w:sz w:val="22"/>
          <w:szCs w:val="22"/>
        </w:rPr>
        <w:t xml:space="preserve">das integrinas </w:t>
      </w:r>
      <w:r w:rsidRPr="00CC56FB">
        <w:rPr>
          <w:color w:val="auto"/>
          <w:sz w:val="22"/>
          <w:szCs w:val="22"/>
        </w:rPr>
        <w:t>e interferir na comunicação entre as células</w:t>
      </w:r>
      <w:r w:rsidR="00415A83">
        <w:rPr>
          <w:color w:val="auto"/>
          <w:sz w:val="22"/>
          <w:szCs w:val="22"/>
        </w:rPr>
        <w:t xml:space="preserve"> B16F10 de melanoma murino </w:t>
      </w:r>
      <w:r w:rsidRPr="00CC56FB">
        <w:rPr>
          <w:color w:val="auto"/>
          <w:sz w:val="22"/>
          <w:szCs w:val="22"/>
        </w:rPr>
        <w:t>e a</w:t>
      </w:r>
      <w:r w:rsidR="00415A83">
        <w:rPr>
          <w:color w:val="auto"/>
          <w:sz w:val="22"/>
          <w:szCs w:val="22"/>
        </w:rPr>
        <w:t xml:space="preserve"> matriz extracelular</w:t>
      </w:r>
      <w:r w:rsidR="00B16874">
        <w:rPr>
          <w:color w:val="auto"/>
          <w:sz w:val="22"/>
          <w:szCs w:val="22"/>
        </w:rPr>
        <w:t>,</w:t>
      </w:r>
      <w:r w:rsidRPr="00CC56FB">
        <w:rPr>
          <w:sz w:val="22"/>
          <w:szCs w:val="22"/>
        </w:rPr>
        <w:t xml:space="preserve"> se mostrando um </w:t>
      </w:r>
      <w:r w:rsidR="00D14361">
        <w:rPr>
          <w:sz w:val="22"/>
          <w:szCs w:val="22"/>
        </w:rPr>
        <w:t>potencial</w:t>
      </w:r>
      <w:r w:rsidRPr="00CC56FB">
        <w:rPr>
          <w:sz w:val="22"/>
          <w:szCs w:val="22"/>
        </w:rPr>
        <w:t xml:space="preserve"> modulador negativo de processos relacionados à cascata metastática</w:t>
      </w:r>
      <w:r w:rsidRPr="00CC56FB">
        <w:rPr>
          <w:color w:val="auto"/>
          <w:sz w:val="22"/>
          <w:szCs w:val="22"/>
        </w:rPr>
        <w:t>.</w:t>
      </w:r>
    </w:p>
    <w:p w14:paraId="0F4C2215" w14:textId="77777777" w:rsidR="0052741D" w:rsidRDefault="0052741D" w:rsidP="0052741D">
      <w:pPr>
        <w:pStyle w:val="Default"/>
        <w:spacing w:line="360" w:lineRule="auto"/>
        <w:jc w:val="both"/>
        <w:rPr>
          <w:b/>
          <w:bCs/>
          <w:sz w:val="22"/>
          <w:szCs w:val="22"/>
        </w:rPr>
      </w:pPr>
    </w:p>
    <w:p w14:paraId="552446FB" w14:textId="1309B875" w:rsidR="0052741D" w:rsidRPr="00CC56FB" w:rsidRDefault="0052741D" w:rsidP="0052741D">
      <w:pPr>
        <w:pStyle w:val="Default"/>
        <w:spacing w:line="360" w:lineRule="auto"/>
        <w:jc w:val="both"/>
        <w:rPr>
          <w:b/>
          <w:bCs/>
          <w:sz w:val="22"/>
          <w:szCs w:val="22"/>
        </w:rPr>
      </w:pPr>
      <w:r w:rsidRPr="00CC56FB">
        <w:rPr>
          <w:b/>
          <w:bCs/>
          <w:sz w:val="22"/>
          <w:szCs w:val="22"/>
        </w:rPr>
        <w:t xml:space="preserve">MATERIAIS E MÉTODOS </w:t>
      </w:r>
    </w:p>
    <w:p w14:paraId="6BC3E013" w14:textId="77777777" w:rsidR="0052741D" w:rsidRPr="00CC56FB" w:rsidRDefault="0052741D" w:rsidP="0052741D">
      <w:pPr>
        <w:pStyle w:val="Default"/>
        <w:spacing w:line="360" w:lineRule="auto"/>
        <w:jc w:val="both"/>
        <w:rPr>
          <w:sz w:val="22"/>
          <w:szCs w:val="22"/>
        </w:rPr>
      </w:pPr>
    </w:p>
    <w:p w14:paraId="54783163" w14:textId="2F727A43" w:rsidR="0052741D" w:rsidRPr="00CC56FB" w:rsidRDefault="0052741D" w:rsidP="0052741D">
      <w:pPr>
        <w:pStyle w:val="Default"/>
        <w:spacing w:line="360" w:lineRule="auto"/>
        <w:jc w:val="both"/>
        <w:rPr>
          <w:b/>
          <w:bCs/>
          <w:sz w:val="22"/>
          <w:szCs w:val="22"/>
        </w:rPr>
      </w:pPr>
      <w:r w:rsidRPr="00CC56FB">
        <w:rPr>
          <w:b/>
          <w:bCs/>
          <w:sz w:val="22"/>
          <w:szCs w:val="22"/>
        </w:rPr>
        <w:t>Manutenção da cultura</w:t>
      </w:r>
      <w:r w:rsidR="00D72995">
        <w:rPr>
          <w:b/>
          <w:bCs/>
          <w:sz w:val="22"/>
          <w:szCs w:val="22"/>
        </w:rPr>
        <w:t xml:space="preserve"> de células </w:t>
      </w:r>
      <w:r w:rsidR="003C6D6E">
        <w:rPr>
          <w:b/>
          <w:bCs/>
          <w:sz w:val="22"/>
          <w:szCs w:val="22"/>
        </w:rPr>
        <w:t>de melanoma murino</w:t>
      </w:r>
      <w:r w:rsidR="003C6D6E" w:rsidRPr="00CC56FB">
        <w:rPr>
          <w:b/>
          <w:bCs/>
          <w:sz w:val="22"/>
          <w:szCs w:val="22"/>
        </w:rPr>
        <w:t xml:space="preserve"> </w:t>
      </w:r>
      <w:r w:rsidR="00D72995">
        <w:rPr>
          <w:b/>
          <w:bCs/>
          <w:sz w:val="22"/>
          <w:szCs w:val="22"/>
        </w:rPr>
        <w:t xml:space="preserve">B16F10 </w:t>
      </w:r>
      <w:r w:rsidRPr="00CC56FB">
        <w:rPr>
          <w:b/>
          <w:bCs/>
          <w:sz w:val="22"/>
          <w:szCs w:val="22"/>
        </w:rPr>
        <w:t xml:space="preserve">celular </w:t>
      </w:r>
    </w:p>
    <w:p w14:paraId="220B7FCE" w14:textId="1D7CFFF3" w:rsidR="0052741D" w:rsidRPr="00CC56FB" w:rsidRDefault="00443BB8" w:rsidP="0052741D">
      <w:pPr>
        <w:pStyle w:val="Default"/>
        <w:spacing w:line="360" w:lineRule="auto"/>
        <w:ind w:firstLine="708"/>
        <w:jc w:val="both"/>
        <w:rPr>
          <w:sz w:val="22"/>
          <w:szCs w:val="22"/>
        </w:rPr>
      </w:pPr>
      <w:r>
        <w:rPr>
          <w:sz w:val="22"/>
          <w:szCs w:val="22"/>
        </w:rPr>
        <w:t>F</w:t>
      </w:r>
      <w:r w:rsidR="0052741D" w:rsidRPr="00CC56FB">
        <w:rPr>
          <w:sz w:val="22"/>
          <w:szCs w:val="22"/>
        </w:rPr>
        <w:t>oram utilizadas células da linhagem</w:t>
      </w:r>
      <w:r w:rsidR="00317BE0">
        <w:rPr>
          <w:sz w:val="22"/>
          <w:szCs w:val="22"/>
        </w:rPr>
        <w:t xml:space="preserve"> de melanoma murino</w:t>
      </w:r>
      <w:r w:rsidR="0052741D" w:rsidRPr="00CC56FB">
        <w:rPr>
          <w:sz w:val="22"/>
          <w:szCs w:val="22"/>
        </w:rPr>
        <w:t xml:space="preserve"> B16F10</w:t>
      </w:r>
      <w:r w:rsidR="00317BE0">
        <w:rPr>
          <w:sz w:val="22"/>
          <w:szCs w:val="22"/>
        </w:rPr>
        <w:t xml:space="preserve"> (</w:t>
      </w:r>
      <w:r w:rsidR="00317BE0" w:rsidRPr="00317BE0">
        <w:rPr>
          <w:i/>
          <w:sz w:val="22"/>
          <w:szCs w:val="22"/>
        </w:rPr>
        <w:t>American type culture coletion – ATCC rockville</w:t>
      </w:r>
      <w:r w:rsidR="00317BE0">
        <w:rPr>
          <w:sz w:val="22"/>
          <w:szCs w:val="22"/>
        </w:rPr>
        <w:t>)</w:t>
      </w:r>
      <w:r w:rsidR="0052741D" w:rsidRPr="00CC56FB">
        <w:rPr>
          <w:sz w:val="22"/>
          <w:szCs w:val="22"/>
        </w:rPr>
        <w:t>, cultivadas em meio DMEM/F-12 (</w:t>
      </w:r>
      <w:r w:rsidR="0052741D" w:rsidRPr="00CC56FB">
        <w:rPr>
          <w:i/>
          <w:iCs/>
          <w:sz w:val="22"/>
          <w:szCs w:val="22"/>
        </w:rPr>
        <w:t xml:space="preserve">Dulbecco’s Modifield Eagle’s Medium Nutrient Mixture F-12 HAM </w:t>
      </w:r>
      <w:r w:rsidR="0052741D" w:rsidRPr="00CC56FB">
        <w:rPr>
          <w:sz w:val="22"/>
          <w:szCs w:val="22"/>
        </w:rPr>
        <w:t xml:space="preserve">– </w:t>
      </w:r>
      <w:r w:rsidR="0052741D" w:rsidRPr="00CC56FB">
        <w:rPr>
          <w:i/>
          <w:iCs/>
          <w:sz w:val="22"/>
          <w:szCs w:val="22"/>
        </w:rPr>
        <w:t>GIBCO</w:t>
      </w:r>
      <w:r w:rsidR="0052741D" w:rsidRPr="00CC56FB">
        <w:rPr>
          <w:sz w:val="22"/>
          <w:szCs w:val="22"/>
        </w:rPr>
        <w:t xml:space="preserve">) suplementado com 10% de soro fetal bovino (SFB - </w:t>
      </w:r>
      <w:r w:rsidR="0052741D" w:rsidRPr="00CC56FB">
        <w:rPr>
          <w:i/>
          <w:iCs/>
          <w:sz w:val="22"/>
          <w:szCs w:val="22"/>
        </w:rPr>
        <w:t>GIBCO</w:t>
      </w:r>
      <w:r w:rsidR="0052741D" w:rsidRPr="00CC56FB">
        <w:rPr>
          <w:sz w:val="22"/>
          <w:szCs w:val="22"/>
        </w:rPr>
        <w:t>) e 0,1% de gentamicina</w:t>
      </w:r>
      <w:r w:rsidR="006C329D">
        <w:rPr>
          <w:sz w:val="22"/>
          <w:szCs w:val="22"/>
        </w:rPr>
        <w:t xml:space="preserve">. As culturas foram </w:t>
      </w:r>
      <w:r w:rsidR="0052741D" w:rsidRPr="00CC56FB">
        <w:rPr>
          <w:sz w:val="22"/>
          <w:szCs w:val="22"/>
        </w:rPr>
        <w:t>mantidas em estufa a 37ºC e 5% de CO</w:t>
      </w:r>
      <w:r w:rsidR="0052741D" w:rsidRPr="00CC56FB">
        <w:rPr>
          <w:sz w:val="22"/>
          <w:szCs w:val="22"/>
          <w:vertAlign w:val="subscript"/>
        </w:rPr>
        <w:t>2</w:t>
      </w:r>
      <w:r w:rsidR="0052741D" w:rsidRPr="00CC56FB">
        <w:rPr>
          <w:sz w:val="22"/>
          <w:szCs w:val="22"/>
        </w:rPr>
        <w:t>. A renovação do meio de cultura foi realizada a cada 48 horas</w:t>
      </w:r>
      <w:r w:rsidR="006C329D">
        <w:rPr>
          <w:sz w:val="22"/>
          <w:szCs w:val="22"/>
        </w:rPr>
        <w:t xml:space="preserve"> e o repique a cada 4 dias.</w:t>
      </w:r>
    </w:p>
    <w:p w14:paraId="2E32B756" w14:textId="77777777" w:rsidR="0052741D" w:rsidRPr="00CC56FB" w:rsidRDefault="0052741D" w:rsidP="0052741D">
      <w:pPr>
        <w:pStyle w:val="Default"/>
        <w:spacing w:line="360" w:lineRule="auto"/>
        <w:jc w:val="both"/>
        <w:rPr>
          <w:b/>
          <w:bCs/>
          <w:sz w:val="22"/>
          <w:szCs w:val="22"/>
        </w:rPr>
      </w:pPr>
    </w:p>
    <w:p w14:paraId="6AB02C3E" w14:textId="7B2E474D" w:rsidR="0052741D" w:rsidRPr="00CC56FB" w:rsidRDefault="00D668B0" w:rsidP="0052741D">
      <w:pPr>
        <w:pStyle w:val="Default"/>
        <w:spacing w:line="360" w:lineRule="auto"/>
        <w:jc w:val="both"/>
        <w:rPr>
          <w:b/>
          <w:bCs/>
          <w:sz w:val="22"/>
          <w:szCs w:val="22"/>
        </w:rPr>
      </w:pPr>
      <w:r>
        <w:rPr>
          <w:b/>
          <w:bCs/>
          <w:sz w:val="22"/>
          <w:szCs w:val="22"/>
        </w:rPr>
        <w:t>P</w:t>
      </w:r>
      <w:r w:rsidR="0052741D" w:rsidRPr="00CC56FB">
        <w:rPr>
          <w:b/>
          <w:bCs/>
          <w:sz w:val="22"/>
          <w:szCs w:val="22"/>
        </w:rPr>
        <w:t xml:space="preserve">eptídeo cíclico A9s </w:t>
      </w:r>
    </w:p>
    <w:p w14:paraId="039E23BD" w14:textId="4664D478" w:rsidR="0052741D" w:rsidRPr="00CC56FB" w:rsidRDefault="0052741D" w:rsidP="0052741D">
      <w:pPr>
        <w:pStyle w:val="Default"/>
        <w:spacing w:line="360" w:lineRule="auto"/>
        <w:ind w:firstLine="708"/>
        <w:jc w:val="both"/>
        <w:rPr>
          <w:sz w:val="22"/>
          <w:szCs w:val="22"/>
        </w:rPr>
      </w:pPr>
      <w:r w:rsidRPr="00CC56FB">
        <w:rPr>
          <w:sz w:val="22"/>
          <w:szCs w:val="22"/>
        </w:rPr>
        <w:t>O peptídeo cíclico A9s</w:t>
      </w:r>
      <w:r w:rsidR="00443BB8">
        <w:rPr>
          <w:sz w:val="22"/>
          <w:szCs w:val="22"/>
        </w:rPr>
        <w:t xml:space="preserve"> (Figura suplementar 1)</w:t>
      </w:r>
      <w:r w:rsidRPr="00CC56FB">
        <w:rPr>
          <w:i/>
          <w:iCs/>
          <w:sz w:val="22"/>
          <w:szCs w:val="22"/>
        </w:rPr>
        <w:t xml:space="preserve"> </w:t>
      </w:r>
      <w:r w:rsidRPr="00CC56FB">
        <w:rPr>
          <w:sz w:val="22"/>
          <w:szCs w:val="22"/>
        </w:rPr>
        <w:t>resultou de um crosslink de cisteínas (</w:t>
      </w:r>
      <w:r w:rsidRPr="00CC56FB">
        <w:rPr>
          <w:sz w:val="22"/>
          <w:szCs w:val="22"/>
          <w:lang w:val="en-US"/>
        </w:rPr>
        <w:t>Cys</w:t>
      </w:r>
      <w:r w:rsidRPr="00CC56FB">
        <w:rPr>
          <w:sz w:val="22"/>
          <w:szCs w:val="22"/>
          <w:vertAlign w:val="subscript"/>
          <w:lang w:val="en-US"/>
        </w:rPr>
        <w:t>473</w:t>
      </w:r>
      <w:r w:rsidRPr="00CC56FB">
        <w:rPr>
          <w:sz w:val="22"/>
          <w:szCs w:val="22"/>
          <w:lang w:val="en-US"/>
        </w:rPr>
        <w:t xml:space="preserve"> e Cys</w:t>
      </w:r>
      <w:r w:rsidRPr="00CC56FB">
        <w:rPr>
          <w:sz w:val="22"/>
          <w:szCs w:val="22"/>
          <w:vertAlign w:val="subscript"/>
          <w:lang w:val="en-US"/>
        </w:rPr>
        <w:t>486</w:t>
      </w:r>
      <w:r w:rsidRPr="00CC56FB">
        <w:rPr>
          <w:sz w:val="22"/>
          <w:szCs w:val="22"/>
        </w:rPr>
        <w:t>) a partir da proteína humana ADAM9 (</w:t>
      </w:r>
      <w:r w:rsidRPr="00CC56FB">
        <w:rPr>
          <w:sz w:val="22"/>
          <w:szCs w:val="22"/>
          <w:lang w:val="en-US"/>
        </w:rPr>
        <w:t>UNIPROT A0AVL1), com a Cys-Ala</w:t>
      </w:r>
      <w:r w:rsidRPr="00CC56FB">
        <w:rPr>
          <w:sz w:val="22"/>
          <w:szCs w:val="22"/>
          <w:vertAlign w:val="subscript"/>
          <w:lang w:val="en-US"/>
        </w:rPr>
        <w:t>480</w:t>
      </w:r>
      <w:r w:rsidRPr="00CC56FB">
        <w:rPr>
          <w:sz w:val="22"/>
          <w:szCs w:val="22"/>
        </w:rPr>
        <w:t xml:space="preserve"> modificada para melhor reconhecer as integrinas α4β1 e αVβ3, mas mantendo a estrutura interna do loop interativo do domínio desintegrina-like </w:t>
      </w:r>
      <w:r w:rsidRPr="00CC56FB">
        <w:rPr>
          <w:sz w:val="22"/>
          <w:szCs w:val="22"/>
        </w:rPr>
        <w:fldChar w:fldCharType="begin" w:fldLock="1"/>
      </w:r>
      <w:r w:rsidR="00C35F03">
        <w:rPr>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mendeley":{"formattedCitation":"[25]","plainTextFormattedCitation":"[25]","previouslyFormattedCitation":"[25]"},"properties":{"noteIndex":0},"schema":"https://github.com/citation-style-language/schema/raw/master/csl-citation.json"}</w:instrText>
      </w:r>
      <w:r w:rsidRPr="00CC56FB">
        <w:rPr>
          <w:sz w:val="22"/>
          <w:szCs w:val="22"/>
        </w:rPr>
        <w:fldChar w:fldCharType="separate"/>
      </w:r>
      <w:r w:rsidR="00285352" w:rsidRPr="00285352">
        <w:rPr>
          <w:noProof/>
          <w:sz w:val="22"/>
          <w:szCs w:val="22"/>
        </w:rPr>
        <w:t>[25]</w:t>
      </w:r>
      <w:r w:rsidRPr="00CC56FB">
        <w:rPr>
          <w:sz w:val="22"/>
          <w:szCs w:val="22"/>
        </w:rPr>
        <w:fldChar w:fldCharType="end"/>
      </w:r>
      <w:r w:rsidRPr="00CC56FB">
        <w:rPr>
          <w:sz w:val="22"/>
          <w:szCs w:val="22"/>
        </w:rPr>
        <w:t xml:space="preserve">. Este peptídeo foi desenvolvido </w:t>
      </w:r>
      <w:r w:rsidRPr="00CC56FB">
        <w:rPr>
          <w:i/>
          <w:sz w:val="22"/>
          <w:szCs w:val="22"/>
        </w:rPr>
        <w:t>in sílico</w:t>
      </w:r>
      <w:r w:rsidRPr="00CC56FB">
        <w:rPr>
          <w:sz w:val="22"/>
          <w:szCs w:val="22"/>
        </w:rPr>
        <w:t xml:space="preserve"> em experimentos de docking molecular e posteriormente sintetizados com 15 aminoácidos e 98% de pureza (</w:t>
      </w:r>
      <w:r w:rsidRPr="00CC56FB">
        <w:rPr>
          <w:i/>
          <w:iCs/>
          <w:sz w:val="22"/>
          <w:szCs w:val="22"/>
        </w:rPr>
        <w:t>GeneScript, USA</w:t>
      </w:r>
      <w:r w:rsidRPr="00CC56FB">
        <w:rPr>
          <w:sz w:val="22"/>
          <w:szCs w:val="22"/>
        </w:rPr>
        <w:t>).</w:t>
      </w:r>
    </w:p>
    <w:p w14:paraId="64CDBBA3" w14:textId="77777777" w:rsidR="0052741D" w:rsidRPr="00CC56FB" w:rsidRDefault="0052741D" w:rsidP="0052741D">
      <w:pPr>
        <w:pStyle w:val="Default"/>
        <w:spacing w:line="360" w:lineRule="auto"/>
        <w:jc w:val="both"/>
        <w:rPr>
          <w:sz w:val="22"/>
          <w:szCs w:val="22"/>
        </w:rPr>
      </w:pPr>
    </w:p>
    <w:p w14:paraId="43A43BF9" w14:textId="15A273A8" w:rsidR="0052741D" w:rsidRPr="00CC56FB" w:rsidRDefault="00871EFF" w:rsidP="0052741D">
      <w:pPr>
        <w:pStyle w:val="Default"/>
        <w:spacing w:line="360" w:lineRule="auto"/>
        <w:jc w:val="both"/>
        <w:rPr>
          <w:b/>
          <w:bCs/>
          <w:color w:val="auto"/>
          <w:sz w:val="22"/>
          <w:szCs w:val="22"/>
        </w:rPr>
      </w:pPr>
      <w:r>
        <w:rPr>
          <w:b/>
          <w:bCs/>
          <w:color w:val="auto"/>
          <w:sz w:val="22"/>
          <w:szCs w:val="22"/>
        </w:rPr>
        <w:t>Inibição da a</w:t>
      </w:r>
      <w:r w:rsidR="0052741D" w:rsidRPr="00CC56FB">
        <w:rPr>
          <w:b/>
          <w:bCs/>
          <w:color w:val="auto"/>
          <w:sz w:val="22"/>
          <w:szCs w:val="22"/>
        </w:rPr>
        <w:t>desão</w:t>
      </w:r>
      <w:r w:rsidR="00D72995">
        <w:rPr>
          <w:b/>
          <w:bCs/>
          <w:color w:val="auto"/>
          <w:sz w:val="22"/>
          <w:szCs w:val="22"/>
        </w:rPr>
        <w:t xml:space="preserve"> celular de células de melanoma </w:t>
      </w:r>
      <w:r>
        <w:rPr>
          <w:b/>
          <w:bCs/>
          <w:color w:val="auto"/>
          <w:sz w:val="22"/>
          <w:szCs w:val="22"/>
        </w:rPr>
        <w:t xml:space="preserve">murino </w:t>
      </w:r>
      <w:r w:rsidR="00D72995">
        <w:rPr>
          <w:b/>
          <w:bCs/>
          <w:color w:val="auto"/>
          <w:sz w:val="22"/>
          <w:szCs w:val="22"/>
        </w:rPr>
        <w:t xml:space="preserve">B16F10  </w:t>
      </w:r>
    </w:p>
    <w:p w14:paraId="374F3F7B" w14:textId="5D155216" w:rsidR="00026261" w:rsidRPr="00CC56FB" w:rsidRDefault="00026261" w:rsidP="0052741D">
      <w:pPr>
        <w:pStyle w:val="Default"/>
        <w:spacing w:line="360" w:lineRule="auto"/>
        <w:ind w:firstLine="708"/>
        <w:jc w:val="both"/>
        <w:rPr>
          <w:color w:val="auto"/>
          <w:sz w:val="22"/>
          <w:szCs w:val="22"/>
        </w:rPr>
      </w:pPr>
      <w:r w:rsidRPr="00026261">
        <w:rPr>
          <w:color w:val="auto"/>
          <w:sz w:val="22"/>
          <w:szCs w:val="22"/>
        </w:rPr>
        <w:t>Adesão celular da linhagem B16F10 foi realizada em três matrizes extracelulares na concentração de 5</w:t>
      </w:r>
      <w:r w:rsidR="00D668B0">
        <w:rPr>
          <w:color w:val="auto"/>
          <w:sz w:val="22"/>
          <w:szCs w:val="22"/>
        </w:rPr>
        <w:t xml:space="preserve"> </w:t>
      </w:r>
      <w:r w:rsidR="00D668B0" w:rsidRPr="00CC56FB">
        <w:rPr>
          <w:color w:val="auto"/>
          <w:sz w:val="22"/>
          <w:szCs w:val="22"/>
        </w:rPr>
        <w:t>μ</w:t>
      </w:r>
      <w:r w:rsidRPr="00026261">
        <w:rPr>
          <w:color w:val="auto"/>
          <w:sz w:val="22"/>
          <w:szCs w:val="22"/>
        </w:rPr>
        <w:t>g/mL: a fibronectina (</w:t>
      </w:r>
      <w:r w:rsidRPr="00026261">
        <w:rPr>
          <w:i/>
          <w:iCs/>
          <w:color w:val="auto"/>
          <w:sz w:val="22"/>
          <w:szCs w:val="22"/>
        </w:rPr>
        <w:t>Sigma – Aldrich</w:t>
      </w:r>
      <w:r w:rsidRPr="00026261">
        <w:rPr>
          <w:color w:val="auto"/>
          <w:sz w:val="22"/>
          <w:szCs w:val="22"/>
        </w:rPr>
        <w:t>), a laminina (</w:t>
      </w:r>
      <w:r w:rsidRPr="00026261">
        <w:rPr>
          <w:i/>
          <w:iCs/>
          <w:color w:val="auto"/>
          <w:sz w:val="22"/>
          <w:szCs w:val="22"/>
        </w:rPr>
        <w:t>Sigma – Aldrich</w:t>
      </w:r>
      <w:r w:rsidRPr="00026261">
        <w:rPr>
          <w:color w:val="auto"/>
          <w:sz w:val="22"/>
          <w:szCs w:val="22"/>
        </w:rPr>
        <w:t>) e o colágeno</w:t>
      </w:r>
      <w:r>
        <w:rPr>
          <w:color w:val="auto"/>
          <w:sz w:val="22"/>
          <w:szCs w:val="22"/>
        </w:rPr>
        <w:t xml:space="preserve"> (</w:t>
      </w:r>
      <w:r w:rsidRPr="00026261">
        <w:rPr>
          <w:i/>
          <w:iCs/>
          <w:color w:val="auto"/>
          <w:sz w:val="22"/>
          <w:szCs w:val="22"/>
        </w:rPr>
        <w:t>Sigma</w:t>
      </w:r>
      <w:r w:rsidRPr="00026261">
        <w:rPr>
          <w:color w:val="auto"/>
          <w:sz w:val="22"/>
          <w:szCs w:val="22"/>
        </w:rPr>
        <w:t>).</w:t>
      </w:r>
    </w:p>
    <w:p w14:paraId="4FD8013A" w14:textId="5F4339BD"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O teste de adesão celular foi </w:t>
      </w:r>
      <w:r w:rsidRPr="00FC509E">
        <w:rPr>
          <w:color w:val="auto"/>
          <w:sz w:val="22"/>
          <w:szCs w:val="22"/>
        </w:rPr>
        <w:t xml:space="preserve">realizado </w:t>
      </w:r>
      <w:r w:rsidR="00D72995" w:rsidRPr="00FC509E">
        <w:rPr>
          <w:color w:val="auto"/>
          <w:sz w:val="22"/>
          <w:szCs w:val="22"/>
        </w:rPr>
        <w:t>de acordo com o protocolo</w:t>
      </w:r>
      <w:r w:rsidR="00FC509E" w:rsidRPr="00FC509E">
        <w:rPr>
          <w:color w:val="auto"/>
          <w:sz w:val="22"/>
          <w:szCs w:val="22"/>
        </w:rPr>
        <w:t xml:space="preserve"> de</w:t>
      </w:r>
      <w:r w:rsidR="00FC509E">
        <w:rPr>
          <w:color w:val="auto"/>
          <w:sz w:val="22"/>
          <w:szCs w:val="22"/>
        </w:rPr>
        <w:t xml:space="preserve"> Qian</w:t>
      </w:r>
      <w:r w:rsidR="00FC509E" w:rsidRPr="00FC509E">
        <w:rPr>
          <w:color w:val="auto"/>
          <w:sz w:val="22"/>
          <w:szCs w:val="22"/>
        </w:rPr>
        <w:t xml:space="preserve"> </w:t>
      </w:r>
      <w:r w:rsidR="00FC509E" w:rsidRPr="00FC509E">
        <w:rPr>
          <w:color w:val="auto"/>
          <w:sz w:val="22"/>
          <w:szCs w:val="22"/>
        </w:rPr>
        <w:fldChar w:fldCharType="begin" w:fldLock="1"/>
      </w:r>
      <w:r w:rsidR="002617FC">
        <w:rPr>
          <w:color w:val="auto"/>
          <w:sz w:val="22"/>
          <w:szCs w:val="22"/>
        </w:rPr>
        <w:instrText>ADDIN CSL_CITATION {"citationItems":[{"id":"ITEM-1","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Communications","id":"ITEM-1","issue":"4","issued":{"date-parts":[["2005"]]},"page":"1269-1275","title":"Interaction between integrin α5 and fibronectin is required for metastasis of B16F10 melanoma cells","type":"article-journal","volume":"333"},"uris":["http://www.mendeley.com/documents/?uuid=75e99ed0-a967-4a9a-84a9-c7a7e3747db3"]}],"mendeley":{"formattedCitation":"[1]","plainTextFormattedCitation":"[1]","previouslyFormattedCitation":"[1]"},"properties":{"noteIndex":0},"schema":"https://github.com/citation-style-language/schema/raw/master/csl-citation.json"}</w:instrText>
      </w:r>
      <w:r w:rsidR="00FC509E" w:rsidRPr="00FC509E">
        <w:rPr>
          <w:color w:val="auto"/>
          <w:sz w:val="22"/>
          <w:szCs w:val="22"/>
        </w:rPr>
        <w:fldChar w:fldCharType="separate"/>
      </w:r>
      <w:r w:rsidR="00FC509E" w:rsidRPr="00FC509E">
        <w:rPr>
          <w:noProof/>
          <w:color w:val="auto"/>
          <w:sz w:val="22"/>
          <w:szCs w:val="22"/>
        </w:rPr>
        <w:t>[1]</w:t>
      </w:r>
      <w:r w:rsidR="00FC509E" w:rsidRPr="00FC509E">
        <w:rPr>
          <w:color w:val="auto"/>
          <w:sz w:val="22"/>
          <w:szCs w:val="22"/>
        </w:rPr>
        <w:fldChar w:fldCharType="end"/>
      </w:r>
      <w:r w:rsidR="00D72995" w:rsidRPr="00FC509E">
        <w:rPr>
          <w:color w:val="auto"/>
          <w:sz w:val="22"/>
          <w:szCs w:val="22"/>
        </w:rPr>
        <w:t xml:space="preserve"> </w:t>
      </w:r>
      <w:r w:rsidR="00FC509E" w:rsidRPr="00FC509E">
        <w:rPr>
          <w:color w:val="auto"/>
          <w:sz w:val="22"/>
          <w:szCs w:val="22"/>
        </w:rPr>
        <w:t>co</w:t>
      </w:r>
      <w:r w:rsidR="00FC509E">
        <w:rPr>
          <w:color w:val="auto"/>
          <w:sz w:val="22"/>
          <w:szCs w:val="22"/>
        </w:rPr>
        <w:t>m</w:t>
      </w:r>
      <w:r w:rsidR="00FC509E" w:rsidRPr="00FC509E">
        <w:rPr>
          <w:color w:val="auto"/>
          <w:sz w:val="22"/>
          <w:szCs w:val="22"/>
        </w:rPr>
        <w:t xml:space="preserve"> </w:t>
      </w:r>
      <w:r w:rsidR="00D72995" w:rsidRPr="00FC509E">
        <w:rPr>
          <w:color w:val="auto"/>
          <w:sz w:val="22"/>
          <w:szCs w:val="22"/>
        </w:rPr>
        <w:t>adaptações</w:t>
      </w:r>
      <w:r w:rsidR="00FC509E">
        <w:rPr>
          <w:color w:val="auto"/>
          <w:sz w:val="22"/>
          <w:szCs w:val="22"/>
        </w:rPr>
        <w:t>.</w:t>
      </w:r>
      <w:r w:rsidR="00D72995">
        <w:rPr>
          <w:color w:val="auto"/>
          <w:sz w:val="22"/>
          <w:szCs w:val="22"/>
        </w:rPr>
        <w:t xml:space="preserve"> </w:t>
      </w:r>
      <w:r w:rsidR="00FC509E">
        <w:rPr>
          <w:color w:val="auto"/>
          <w:sz w:val="22"/>
          <w:szCs w:val="22"/>
        </w:rPr>
        <w:t>E</w:t>
      </w:r>
      <w:r w:rsidRPr="00CC56FB">
        <w:rPr>
          <w:color w:val="auto"/>
          <w:sz w:val="22"/>
          <w:szCs w:val="22"/>
        </w:rPr>
        <w:t>m placas de 96 poços</w:t>
      </w:r>
      <w:r w:rsidR="00A75B25" w:rsidRPr="00CC56FB">
        <w:rPr>
          <w:color w:val="auto"/>
          <w:sz w:val="22"/>
          <w:szCs w:val="22"/>
        </w:rPr>
        <w:t xml:space="preserve"> </w:t>
      </w:r>
      <w:r w:rsidR="00FC509E">
        <w:rPr>
          <w:color w:val="auto"/>
          <w:sz w:val="22"/>
          <w:szCs w:val="22"/>
        </w:rPr>
        <w:t xml:space="preserve">foi adicionado </w:t>
      </w:r>
      <w:r w:rsidR="00FC509E" w:rsidRPr="00CC56FB">
        <w:rPr>
          <w:color w:val="auto"/>
          <w:sz w:val="22"/>
          <w:szCs w:val="22"/>
        </w:rPr>
        <w:t>100</w:t>
      </w:r>
      <w:r w:rsidR="00D668B0">
        <w:rPr>
          <w:color w:val="auto"/>
          <w:sz w:val="22"/>
          <w:szCs w:val="22"/>
        </w:rPr>
        <w:t xml:space="preserve"> </w:t>
      </w:r>
      <w:bookmarkStart w:id="3" w:name="_Hlk12034167"/>
      <w:r w:rsidR="00FC509E" w:rsidRPr="00CC56FB">
        <w:rPr>
          <w:color w:val="auto"/>
          <w:sz w:val="22"/>
          <w:szCs w:val="22"/>
        </w:rPr>
        <w:t>μ</w:t>
      </w:r>
      <w:bookmarkEnd w:id="3"/>
      <w:r w:rsidR="00FC509E" w:rsidRPr="00CC56FB">
        <w:rPr>
          <w:color w:val="auto"/>
          <w:sz w:val="22"/>
          <w:szCs w:val="22"/>
        </w:rPr>
        <w:t>L de matriz extracelular</w:t>
      </w:r>
      <w:r w:rsidR="00A75227">
        <w:rPr>
          <w:color w:val="auto"/>
          <w:sz w:val="22"/>
          <w:szCs w:val="22"/>
        </w:rPr>
        <w:t xml:space="preserve"> (</w:t>
      </w:r>
      <w:r w:rsidR="00A75227" w:rsidRPr="00A75227">
        <w:rPr>
          <w:color w:val="auto"/>
          <w:sz w:val="22"/>
          <w:szCs w:val="22"/>
        </w:rPr>
        <w:t>5</w:t>
      </w:r>
      <w:r w:rsidR="00D668B0">
        <w:rPr>
          <w:color w:val="auto"/>
          <w:sz w:val="22"/>
          <w:szCs w:val="22"/>
        </w:rPr>
        <w:t xml:space="preserve"> </w:t>
      </w:r>
      <w:r w:rsidR="00A75227" w:rsidRPr="00A75227">
        <w:rPr>
          <w:color w:val="auto"/>
          <w:sz w:val="22"/>
          <w:szCs w:val="22"/>
        </w:rPr>
        <w:t xml:space="preserve">μg/mL) </w:t>
      </w:r>
      <w:r w:rsidR="00FC509E" w:rsidRPr="00CC56FB">
        <w:rPr>
          <w:color w:val="auto"/>
          <w:sz w:val="22"/>
          <w:szCs w:val="22"/>
        </w:rPr>
        <w:t xml:space="preserve">diluída em PBS estéril </w:t>
      </w:r>
      <w:r w:rsidR="00FC509E" w:rsidRPr="00A75227">
        <w:rPr>
          <w:color w:val="auto"/>
          <w:sz w:val="22"/>
          <w:szCs w:val="22"/>
        </w:rPr>
        <w:t xml:space="preserve">e estas foram </w:t>
      </w:r>
      <w:r w:rsidR="00A75B25" w:rsidRPr="00A75227">
        <w:rPr>
          <w:color w:val="auto"/>
          <w:sz w:val="22"/>
          <w:szCs w:val="22"/>
        </w:rPr>
        <w:t>mantidas</w:t>
      </w:r>
      <w:r w:rsidR="00A75B25" w:rsidRPr="00CC56FB">
        <w:rPr>
          <w:color w:val="auto"/>
          <w:sz w:val="22"/>
          <w:szCs w:val="22"/>
        </w:rPr>
        <w:t xml:space="preserve"> </w:t>
      </w:r>
      <w:r w:rsidRPr="00CC56FB">
        <w:rPr>
          <w:i/>
          <w:iCs/>
          <w:color w:val="auto"/>
          <w:sz w:val="22"/>
          <w:szCs w:val="22"/>
        </w:rPr>
        <w:t xml:space="preserve">overnight </w:t>
      </w:r>
      <w:r w:rsidRPr="00CC56FB">
        <w:rPr>
          <w:color w:val="auto"/>
          <w:sz w:val="22"/>
          <w:szCs w:val="22"/>
        </w:rPr>
        <w:t>a 4</w:t>
      </w:r>
      <w:r w:rsidR="00D668B0">
        <w:rPr>
          <w:color w:val="auto"/>
          <w:sz w:val="22"/>
          <w:szCs w:val="22"/>
        </w:rPr>
        <w:t xml:space="preserve"> </w:t>
      </w:r>
      <w:r w:rsidRPr="00CC56FB">
        <w:rPr>
          <w:color w:val="auto"/>
          <w:sz w:val="22"/>
          <w:szCs w:val="22"/>
        </w:rPr>
        <w:t>ºC</w:t>
      </w:r>
      <w:r w:rsidR="00FC509E">
        <w:rPr>
          <w:color w:val="auto"/>
          <w:sz w:val="22"/>
          <w:szCs w:val="22"/>
        </w:rPr>
        <w:t xml:space="preserve"> para decantar e aderir ao fundo do poço</w:t>
      </w:r>
      <w:r w:rsidRPr="00CC56FB">
        <w:rPr>
          <w:color w:val="auto"/>
          <w:sz w:val="22"/>
          <w:szCs w:val="22"/>
        </w:rPr>
        <w:t xml:space="preserve">. As células B16F10 foram </w:t>
      </w:r>
      <w:r w:rsidR="00026261">
        <w:rPr>
          <w:color w:val="auto"/>
          <w:sz w:val="22"/>
          <w:szCs w:val="22"/>
        </w:rPr>
        <w:t>inoculadas</w:t>
      </w:r>
      <w:r w:rsidRPr="00CC56FB">
        <w:rPr>
          <w:color w:val="auto"/>
          <w:sz w:val="22"/>
          <w:szCs w:val="22"/>
        </w:rPr>
        <w:t xml:space="preserve"> na concentração de 1x10</w:t>
      </w:r>
      <w:r w:rsidRPr="00CC56FB">
        <w:rPr>
          <w:color w:val="auto"/>
          <w:sz w:val="22"/>
          <w:szCs w:val="22"/>
          <w:vertAlign w:val="superscript"/>
        </w:rPr>
        <w:t xml:space="preserve">5 </w:t>
      </w:r>
      <w:r w:rsidR="00D72995" w:rsidRPr="00CC56FB">
        <w:rPr>
          <w:color w:val="auto"/>
          <w:sz w:val="22"/>
          <w:szCs w:val="22"/>
        </w:rPr>
        <w:t xml:space="preserve">por poço sobre matriz com meio DMEM-F12 </w:t>
      </w:r>
      <w:r w:rsidRPr="00CC56FB">
        <w:rPr>
          <w:color w:val="auto"/>
          <w:sz w:val="22"/>
          <w:szCs w:val="22"/>
        </w:rPr>
        <w:t>e deixadas por 2h em estufa (37</w:t>
      </w:r>
      <w:r w:rsidR="00D668B0">
        <w:rPr>
          <w:color w:val="auto"/>
          <w:sz w:val="22"/>
          <w:szCs w:val="22"/>
        </w:rPr>
        <w:t xml:space="preserve"> </w:t>
      </w:r>
      <w:r w:rsidRPr="00CC56FB">
        <w:rPr>
          <w:color w:val="auto"/>
          <w:sz w:val="22"/>
          <w:szCs w:val="22"/>
        </w:rPr>
        <w:t xml:space="preserve">ºC </w:t>
      </w:r>
      <w:r w:rsidRPr="00CC56FB">
        <w:rPr>
          <w:color w:val="auto"/>
          <w:sz w:val="22"/>
          <w:szCs w:val="22"/>
        </w:rPr>
        <w:lastRenderedPageBreak/>
        <w:t>+ 5% CO</w:t>
      </w:r>
      <w:r w:rsidRPr="00CC56FB">
        <w:rPr>
          <w:color w:val="auto"/>
          <w:sz w:val="22"/>
          <w:szCs w:val="22"/>
          <w:vertAlign w:val="subscript"/>
        </w:rPr>
        <w:t>2</w:t>
      </w:r>
      <w:r w:rsidRPr="00CC56FB">
        <w:rPr>
          <w:color w:val="auto"/>
          <w:sz w:val="22"/>
          <w:szCs w:val="22"/>
        </w:rPr>
        <w:t>). Posteriormente, os poços foram lavados</w:t>
      </w:r>
      <w:r w:rsidR="00D72995">
        <w:rPr>
          <w:color w:val="auto"/>
          <w:sz w:val="22"/>
          <w:szCs w:val="22"/>
        </w:rPr>
        <w:t xml:space="preserve"> com 100</w:t>
      </w:r>
      <w:r w:rsidR="00D668B0">
        <w:rPr>
          <w:color w:val="auto"/>
          <w:sz w:val="22"/>
          <w:szCs w:val="22"/>
        </w:rPr>
        <w:t xml:space="preserve"> </w:t>
      </w:r>
      <w:r w:rsidR="00D668B0" w:rsidRPr="00CC56FB">
        <w:rPr>
          <w:color w:val="auto"/>
          <w:sz w:val="22"/>
          <w:szCs w:val="22"/>
        </w:rPr>
        <w:t>μ</w:t>
      </w:r>
      <w:r w:rsidR="00D72995">
        <w:rPr>
          <w:color w:val="auto"/>
          <w:sz w:val="22"/>
          <w:szCs w:val="22"/>
        </w:rPr>
        <w:t>L do tampão</w:t>
      </w:r>
      <w:r w:rsidRPr="00CC56FB">
        <w:rPr>
          <w:color w:val="auto"/>
          <w:sz w:val="22"/>
          <w:szCs w:val="22"/>
        </w:rPr>
        <w:t xml:space="preserve"> PBS</w:t>
      </w:r>
      <w:r w:rsidR="00FC509E">
        <w:rPr>
          <w:color w:val="auto"/>
          <w:sz w:val="22"/>
          <w:szCs w:val="22"/>
        </w:rPr>
        <w:t xml:space="preserve"> (1</w:t>
      </w:r>
      <w:r w:rsidR="00D668B0">
        <w:rPr>
          <w:color w:val="auto"/>
          <w:sz w:val="22"/>
          <w:szCs w:val="22"/>
        </w:rPr>
        <w:t xml:space="preserve"> </w:t>
      </w:r>
      <w:r w:rsidR="00FC509E">
        <w:rPr>
          <w:color w:val="auto"/>
          <w:sz w:val="22"/>
          <w:szCs w:val="22"/>
        </w:rPr>
        <w:t>mM)</w:t>
      </w:r>
      <w:r w:rsidRPr="00CC56FB">
        <w:rPr>
          <w:color w:val="auto"/>
          <w:sz w:val="22"/>
          <w:szCs w:val="22"/>
        </w:rPr>
        <w:t xml:space="preserve"> para retirar as células não aderidas</w:t>
      </w:r>
      <w:r w:rsidR="00D72995">
        <w:rPr>
          <w:color w:val="auto"/>
          <w:sz w:val="22"/>
          <w:szCs w:val="22"/>
        </w:rPr>
        <w:t>. A</w:t>
      </w:r>
      <w:r w:rsidRPr="00CC56FB">
        <w:rPr>
          <w:color w:val="auto"/>
          <w:sz w:val="22"/>
          <w:szCs w:val="22"/>
        </w:rPr>
        <w:t>s células que</w:t>
      </w:r>
      <w:r w:rsidR="00D72995">
        <w:rPr>
          <w:color w:val="auto"/>
          <w:sz w:val="22"/>
          <w:szCs w:val="22"/>
        </w:rPr>
        <w:t xml:space="preserve"> permaneceram</w:t>
      </w:r>
      <w:r w:rsidRPr="00CC56FB">
        <w:rPr>
          <w:color w:val="auto"/>
          <w:sz w:val="22"/>
          <w:szCs w:val="22"/>
        </w:rPr>
        <w:t xml:space="preserve"> aderi</w:t>
      </w:r>
      <w:r w:rsidR="00D72995">
        <w:rPr>
          <w:color w:val="auto"/>
          <w:sz w:val="22"/>
          <w:szCs w:val="22"/>
        </w:rPr>
        <w:t>das</w:t>
      </w:r>
      <w:r w:rsidRPr="00CC56FB">
        <w:rPr>
          <w:color w:val="auto"/>
          <w:sz w:val="22"/>
          <w:szCs w:val="22"/>
        </w:rPr>
        <w:t xml:space="preserve"> foram fixadas com glutaraldeído (sigma) 5% por 30</w:t>
      </w:r>
      <w:r w:rsidR="00D668B0">
        <w:rPr>
          <w:color w:val="auto"/>
          <w:sz w:val="22"/>
          <w:szCs w:val="22"/>
        </w:rPr>
        <w:t xml:space="preserve"> </w:t>
      </w:r>
      <w:r w:rsidRPr="00CC56FB">
        <w:rPr>
          <w:color w:val="auto"/>
          <w:sz w:val="22"/>
          <w:szCs w:val="22"/>
        </w:rPr>
        <w:t>min</w:t>
      </w:r>
      <w:r w:rsidR="004819A6">
        <w:rPr>
          <w:color w:val="auto"/>
          <w:sz w:val="22"/>
          <w:szCs w:val="22"/>
        </w:rPr>
        <w:t>. Em seguida as células fixadas foram</w:t>
      </w:r>
      <w:r w:rsidRPr="00CC56FB">
        <w:rPr>
          <w:color w:val="auto"/>
          <w:sz w:val="22"/>
          <w:szCs w:val="22"/>
        </w:rPr>
        <w:t xml:space="preserve"> </w:t>
      </w:r>
      <w:r w:rsidR="004819A6">
        <w:rPr>
          <w:color w:val="auto"/>
          <w:sz w:val="22"/>
          <w:szCs w:val="22"/>
        </w:rPr>
        <w:t xml:space="preserve">novamente </w:t>
      </w:r>
      <w:r w:rsidRPr="00CC56FB">
        <w:rPr>
          <w:color w:val="auto"/>
          <w:sz w:val="22"/>
          <w:szCs w:val="22"/>
        </w:rPr>
        <w:t>lavadas com</w:t>
      </w:r>
      <w:r w:rsidR="004819A6">
        <w:rPr>
          <w:color w:val="auto"/>
          <w:sz w:val="22"/>
          <w:szCs w:val="22"/>
        </w:rPr>
        <w:t xml:space="preserve"> 100</w:t>
      </w:r>
      <w:r w:rsidR="00D668B0">
        <w:rPr>
          <w:color w:val="auto"/>
          <w:sz w:val="22"/>
          <w:szCs w:val="22"/>
        </w:rPr>
        <w:t xml:space="preserve"> </w:t>
      </w:r>
      <w:r w:rsidR="00D668B0" w:rsidRPr="00CC56FB">
        <w:rPr>
          <w:color w:val="auto"/>
          <w:sz w:val="22"/>
          <w:szCs w:val="22"/>
        </w:rPr>
        <w:t>μ</w:t>
      </w:r>
      <w:r w:rsidR="004819A6">
        <w:rPr>
          <w:color w:val="auto"/>
          <w:sz w:val="22"/>
          <w:szCs w:val="22"/>
        </w:rPr>
        <w:t>l de</w:t>
      </w:r>
      <w:r w:rsidRPr="00CC56FB">
        <w:rPr>
          <w:color w:val="auto"/>
          <w:sz w:val="22"/>
          <w:szCs w:val="22"/>
        </w:rPr>
        <w:t xml:space="preserve"> PBS</w:t>
      </w:r>
      <w:r w:rsidR="004819A6">
        <w:rPr>
          <w:color w:val="auto"/>
          <w:sz w:val="22"/>
          <w:szCs w:val="22"/>
        </w:rPr>
        <w:t xml:space="preserve"> duas vezes. O material aderido às placas foi</w:t>
      </w:r>
      <w:r w:rsidRPr="00CC56FB">
        <w:rPr>
          <w:color w:val="auto"/>
          <w:sz w:val="22"/>
          <w:szCs w:val="22"/>
        </w:rPr>
        <w:t xml:space="preserve"> corad</w:t>
      </w:r>
      <w:r w:rsidR="004819A6">
        <w:rPr>
          <w:color w:val="auto"/>
          <w:sz w:val="22"/>
          <w:szCs w:val="22"/>
        </w:rPr>
        <w:t>o</w:t>
      </w:r>
      <w:r w:rsidRPr="00CC56FB">
        <w:rPr>
          <w:color w:val="auto"/>
          <w:sz w:val="22"/>
          <w:szCs w:val="22"/>
        </w:rPr>
        <w:t xml:space="preserve"> com cristal violeta (Vetec) 0,1% por 45</w:t>
      </w:r>
      <w:r w:rsidR="00D668B0">
        <w:rPr>
          <w:color w:val="auto"/>
          <w:sz w:val="22"/>
          <w:szCs w:val="22"/>
        </w:rPr>
        <w:t xml:space="preserve"> </w:t>
      </w:r>
      <w:r w:rsidRPr="00CC56FB">
        <w:rPr>
          <w:color w:val="auto"/>
          <w:sz w:val="22"/>
          <w:szCs w:val="22"/>
        </w:rPr>
        <w:t>min</w:t>
      </w:r>
      <w:r w:rsidR="004819A6">
        <w:rPr>
          <w:color w:val="auto"/>
          <w:sz w:val="22"/>
          <w:szCs w:val="22"/>
        </w:rPr>
        <w:t xml:space="preserve"> seguido de 3 lavagens com tampão PBS.</w:t>
      </w:r>
      <w:r w:rsidRPr="00CC56FB">
        <w:rPr>
          <w:color w:val="auto"/>
          <w:sz w:val="22"/>
          <w:szCs w:val="22"/>
        </w:rPr>
        <w:t xml:space="preserve"> </w:t>
      </w:r>
      <w:r w:rsidR="004819A6">
        <w:rPr>
          <w:color w:val="auto"/>
          <w:sz w:val="22"/>
          <w:szCs w:val="22"/>
        </w:rPr>
        <w:t>O material corado</w:t>
      </w:r>
      <w:r w:rsidRPr="00CC56FB">
        <w:rPr>
          <w:color w:val="auto"/>
          <w:sz w:val="22"/>
          <w:szCs w:val="22"/>
        </w:rPr>
        <w:t xml:space="preserve"> foi então diluído com 100</w:t>
      </w:r>
      <w:r w:rsidR="00D668B0">
        <w:rPr>
          <w:color w:val="auto"/>
          <w:sz w:val="22"/>
          <w:szCs w:val="22"/>
        </w:rPr>
        <w:t xml:space="preserve"> </w:t>
      </w:r>
      <w:r w:rsidR="00D668B0" w:rsidRPr="00CC56FB">
        <w:rPr>
          <w:color w:val="auto"/>
          <w:sz w:val="22"/>
          <w:szCs w:val="22"/>
        </w:rPr>
        <w:t>μ</w:t>
      </w:r>
      <w:r w:rsidRPr="00CC56FB">
        <w:rPr>
          <w:color w:val="auto"/>
          <w:sz w:val="22"/>
          <w:szCs w:val="22"/>
        </w:rPr>
        <w:t>L de ácido acético 10% por 5</w:t>
      </w:r>
      <w:r w:rsidR="00D668B0">
        <w:rPr>
          <w:color w:val="auto"/>
          <w:sz w:val="22"/>
          <w:szCs w:val="22"/>
        </w:rPr>
        <w:t xml:space="preserve"> </w:t>
      </w:r>
      <w:r w:rsidRPr="00CC56FB">
        <w:rPr>
          <w:color w:val="auto"/>
          <w:sz w:val="22"/>
          <w:szCs w:val="22"/>
        </w:rPr>
        <w:t>min. A absorbância foi medida a 570</w:t>
      </w:r>
      <w:r w:rsidR="00D668B0">
        <w:rPr>
          <w:color w:val="auto"/>
          <w:sz w:val="22"/>
          <w:szCs w:val="22"/>
        </w:rPr>
        <w:t xml:space="preserve"> </w:t>
      </w:r>
      <w:r w:rsidRPr="00CC56FB">
        <w:rPr>
          <w:color w:val="auto"/>
          <w:sz w:val="22"/>
          <w:szCs w:val="22"/>
        </w:rPr>
        <w:t>nm em um leitor de microplaca (</w:t>
      </w:r>
      <w:r w:rsidRPr="00CC56FB">
        <w:rPr>
          <w:i/>
          <w:iCs/>
          <w:color w:val="auto"/>
          <w:sz w:val="22"/>
          <w:szCs w:val="22"/>
        </w:rPr>
        <w:t>Gene5 Microplate Data Collection and Analisys</w:t>
      </w:r>
      <w:r w:rsidRPr="00CC56FB">
        <w:rPr>
          <w:color w:val="auto"/>
          <w:sz w:val="22"/>
          <w:szCs w:val="22"/>
        </w:rPr>
        <w:t>). Para cada modelo experimental foram feitas repetições em octoplicata.</w:t>
      </w:r>
    </w:p>
    <w:p w14:paraId="2CB3F9E5" w14:textId="38599280" w:rsidR="0052741D" w:rsidRPr="004371F1" w:rsidRDefault="0052741D" w:rsidP="004371F1">
      <w:pPr>
        <w:pStyle w:val="Textodecomentrio"/>
        <w:spacing w:line="360" w:lineRule="auto"/>
        <w:rPr>
          <w:rFonts w:ascii="Arial" w:hAnsi="Arial" w:cs="Arial"/>
          <w:sz w:val="22"/>
          <w:szCs w:val="22"/>
        </w:rPr>
      </w:pPr>
      <w:r w:rsidRPr="00303846">
        <w:rPr>
          <w:rFonts w:ascii="Arial" w:hAnsi="Arial" w:cs="Arial"/>
          <w:color w:val="auto"/>
          <w:sz w:val="22"/>
          <w:szCs w:val="22"/>
        </w:rPr>
        <w:t>Para avaliar a inibição do peptídeo na adesão, o A9s foi adicionado em conjunto às células plaqueadas na matriz de fibronectina em diferentes concentrações (0,01</w:t>
      </w:r>
      <w:r w:rsidR="00D668B0">
        <w:rPr>
          <w:rFonts w:ascii="Arial" w:hAnsi="Arial" w:cs="Arial"/>
          <w:color w:val="auto"/>
          <w:sz w:val="22"/>
          <w:szCs w:val="22"/>
        </w:rPr>
        <w:t xml:space="preserve"> </w:t>
      </w:r>
      <w:r w:rsidRPr="00303846">
        <w:rPr>
          <w:rFonts w:ascii="Arial" w:hAnsi="Arial" w:cs="Arial"/>
          <w:color w:val="auto"/>
          <w:sz w:val="22"/>
          <w:szCs w:val="22"/>
        </w:rPr>
        <w:t xml:space="preserve">nM </w:t>
      </w:r>
      <w:r w:rsidR="00303846" w:rsidRPr="00303846">
        <w:rPr>
          <w:rFonts w:ascii="Arial" w:hAnsi="Arial" w:cs="Arial"/>
          <w:color w:val="auto"/>
          <w:sz w:val="22"/>
          <w:szCs w:val="22"/>
        </w:rPr>
        <w:t>a</w:t>
      </w:r>
      <w:r w:rsidRPr="00303846">
        <w:rPr>
          <w:rFonts w:ascii="Arial" w:hAnsi="Arial" w:cs="Arial"/>
          <w:color w:val="auto"/>
          <w:sz w:val="22"/>
          <w:szCs w:val="22"/>
        </w:rPr>
        <w:t xml:space="preserve"> 1000</w:t>
      </w:r>
      <w:r w:rsidR="00D668B0">
        <w:rPr>
          <w:rFonts w:ascii="Arial" w:hAnsi="Arial" w:cs="Arial"/>
          <w:color w:val="auto"/>
          <w:sz w:val="22"/>
          <w:szCs w:val="22"/>
        </w:rPr>
        <w:t xml:space="preserve"> </w:t>
      </w:r>
      <w:r w:rsidRPr="00303846">
        <w:rPr>
          <w:rFonts w:ascii="Arial" w:hAnsi="Arial" w:cs="Arial"/>
          <w:color w:val="auto"/>
          <w:sz w:val="22"/>
          <w:szCs w:val="22"/>
        </w:rPr>
        <w:t xml:space="preserve">nM). </w:t>
      </w:r>
      <w:r w:rsidR="00D668B0">
        <w:rPr>
          <w:rFonts w:ascii="Arial" w:hAnsi="Arial" w:cs="Arial"/>
          <w:color w:val="auto"/>
          <w:sz w:val="22"/>
          <w:szCs w:val="22"/>
        </w:rPr>
        <w:t xml:space="preserve">Para o teste de adesão empregou-se dois controles. </w:t>
      </w:r>
      <w:r w:rsidR="00303846" w:rsidRPr="00303846">
        <w:rPr>
          <w:rFonts w:ascii="Arial" w:hAnsi="Arial" w:cs="Arial"/>
          <w:sz w:val="22"/>
          <w:szCs w:val="22"/>
        </w:rPr>
        <w:t>Um experimento controle empregou EDTA</w:t>
      </w:r>
      <w:r w:rsidR="00303846">
        <w:rPr>
          <w:rFonts w:ascii="Arial" w:hAnsi="Arial" w:cs="Arial"/>
          <w:sz w:val="22"/>
          <w:szCs w:val="22"/>
        </w:rPr>
        <w:t xml:space="preserve"> </w:t>
      </w:r>
      <w:r w:rsidR="00303846" w:rsidRPr="00303846">
        <w:rPr>
          <w:rFonts w:ascii="Arial" w:hAnsi="Arial" w:cs="Arial"/>
          <w:sz w:val="22"/>
          <w:szCs w:val="22"/>
        </w:rPr>
        <w:t xml:space="preserve">na concentração de 50 µM substituindo a adição do peptídeo A9s. Nesta condição experimental o EDTA deve inibir </w:t>
      </w:r>
      <w:r w:rsidR="00E851F6" w:rsidRPr="00A75227">
        <w:rPr>
          <w:rFonts w:ascii="Arial" w:hAnsi="Arial" w:cs="Arial"/>
          <w:color w:val="auto"/>
          <w:sz w:val="22"/>
          <w:szCs w:val="22"/>
        </w:rPr>
        <w:t>a</w:t>
      </w:r>
      <w:r w:rsidR="00E851F6">
        <w:rPr>
          <w:rFonts w:ascii="Arial" w:hAnsi="Arial" w:cs="Arial"/>
          <w:color w:val="FF0000"/>
          <w:sz w:val="22"/>
          <w:szCs w:val="22"/>
        </w:rPr>
        <w:t xml:space="preserve"> </w:t>
      </w:r>
      <w:r w:rsidR="00303846" w:rsidRPr="00303846">
        <w:rPr>
          <w:rFonts w:ascii="Arial" w:hAnsi="Arial" w:cs="Arial"/>
          <w:sz w:val="22"/>
          <w:szCs w:val="22"/>
        </w:rPr>
        <w:t>adesão das células de B16F10 à matriz de fibronectina</w:t>
      </w:r>
      <w:r w:rsidR="007D5B4E">
        <w:rPr>
          <w:rFonts w:ascii="Arial" w:hAnsi="Arial" w:cs="Arial"/>
          <w:sz w:val="22"/>
          <w:szCs w:val="22"/>
        </w:rPr>
        <w:t xml:space="preserve"> </w:t>
      </w:r>
      <w:r w:rsidR="007D5B4E">
        <w:rPr>
          <w:rFonts w:ascii="Arial" w:hAnsi="Arial" w:cs="Arial"/>
          <w:sz w:val="22"/>
          <w:szCs w:val="22"/>
        </w:rPr>
        <w:fldChar w:fldCharType="begin" w:fldLock="1"/>
      </w:r>
      <w:r w:rsidR="00C35F03">
        <w:rPr>
          <w:rFonts w:ascii="Arial" w:hAnsi="Arial" w:cs="Arial"/>
          <w:sz w:val="22"/>
          <w:szCs w:val="22"/>
        </w:rPr>
        <w:instrText>ADDIN CSL_CITATION {"citationItems":[{"id":"ITEM-1","itemData":{"DOI":"10.1016/0092-8674(89)90097-4","ISSN":"00928674","abstract":"A 100 kd protein was isolated from tissue and cell extracts by affinity chromatography on a synthetic peptide representing the cytoplasmic domain of the fibronectin receptor β subunit. The 100 kd protein also bound to native fibronectin receptor, and this binding could be reversed with EDTA. Calcium may be the divalent cation required for the binding since the 100 kd protein was found to bind 45Ca2+. The N-terminal amino acid sequence of the 100 kd protein was not similar to any sequence in a protein data base. Immunofluorescent staining of cells cultured on fibronectin showed the 100 kd protein coinciding with the fibronectin receptor β subunit in sites of substrate contact. Therefore this protein, which we term fibulin, interacts with the fibronectin receptor in vitro and associates with the receptor in vivo. Fibulin is a potential mediator of interactions between adhesion receptors and the cytoskeleton. © 1989.","author":[{"dropping-particle":"","family":"Argraves","given":"W. Scott","non-dropping-particle":"","parse-names":false,"suffix":""},{"dropping-particle":"","family":"Dickerson","given":"Kenneth","non-dropping-particle":"","parse-names":false,"suffix":""},{"dropping-particle":"","family":"Burgess","given":"Wilson H.","non-dropping-particle":"","parse-names":false,"suffix":""},{"dropping-particle":"","family":"Ruoslahti","given":"Erkki","non-dropping-particle":"","parse-names":false,"suffix":""}],"container-title":"Cell","id":"ITEM-1","issue":"4","issued":{"date-parts":[["1989"]]},"page":"623-629","title":"Fibulin, a novel protein that interacts with the fibronectin receptor β subunit cytoplasmic domain","type":"article-journal","volume":"58"},"uris":["http://www.mendeley.com/documents/?uuid=9fc9c874-b125-48ae-82dc-140a4df64409"]}],"mendeley":{"formattedCitation":"[26]","plainTextFormattedCitation":"[26]","previouslyFormattedCitation":"[26]"},"properties":{"noteIndex":0},"schema":"https://github.com/citation-style-language/schema/raw/master/csl-citation.json"}</w:instrText>
      </w:r>
      <w:r w:rsidR="007D5B4E">
        <w:rPr>
          <w:rFonts w:ascii="Arial" w:hAnsi="Arial" w:cs="Arial"/>
          <w:sz w:val="22"/>
          <w:szCs w:val="22"/>
        </w:rPr>
        <w:fldChar w:fldCharType="separate"/>
      </w:r>
      <w:r w:rsidR="00285352" w:rsidRPr="00285352">
        <w:rPr>
          <w:rFonts w:ascii="Arial" w:hAnsi="Arial" w:cs="Arial"/>
          <w:noProof/>
          <w:sz w:val="22"/>
          <w:szCs w:val="22"/>
        </w:rPr>
        <w:t>[26]</w:t>
      </w:r>
      <w:r w:rsidR="007D5B4E">
        <w:rPr>
          <w:rFonts w:ascii="Arial" w:hAnsi="Arial" w:cs="Arial"/>
          <w:sz w:val="22"/>
          <w:szCs w:val="22"/>
        </w:rPr>
        <w:fldChar w:fldCharType="end"/>
      </w:r>
      <w:r w:rsidR="00303846" w:rsidRPr="00303846">
        <w:rPr>
          <w:rFonts w:ascii="Arial" w:hAnsi="Arial" w:cs="Arial"/>
          <w:sz w:val="22"/>
          <w:szCs w:val="22"/>
        </w:rPr>
        <w:t xml:space="preserve">, indicando o menor nível de adesão das células de B16F10 à matriz proteica. Um segundo experimento controle empregou o cultivo de células de B16F10 </w:t>
      </w:r>
      <w:r w:rsidR="004371F1">
        <w:rPr>
          <w:rFonts w:ascii="Arial" w:hAnsi="Arial" w:cs="Arial"/>
          <w:sz w:val="22"/>
          <w:szCs w:val="22"/>
        </w:rPr>
        <w:t xml:space="preserve">aderidas a fibronectina </w:t>
      </w:r>
      <w:r w:rsidR="00303846" w:rsidRPr="00303846">
        <w:rPr>
          <w:rFonts w:ascii="Arial" w:hAnsi="Arial" w:cs="Arial"/>
          <w:sz w:val="22"/>
          <w:szCs w:val="22"/>
        </w:rPr>
        <w:t>sem a adição de A9s indicando o maior nível de adesão celular.</w:t>
      </w:r>
    </w:p>
    <w:p w14:paraId="751DA3F6" w14:textId="1DC84730" w:rsidR="00FC509E" w:rsidRPr="00CC56FB" w:rsidRDefault="0052741D" w:rsidP="00465264">
      <w:pPr>
        <w:pStyle w:val="Default"/>
        <w:spacing w:line="360" w:lineRule="auto"/>
        <w:ind w:firstLine="708"/>
        <w:jc w:val="both"/>
        <w:rPr>
          <w:color w:val="auto"/>
          <w:sz w:val="22"/>
          <w:szCs w:val="22"/>
        </w:rPr>
      </w:pPr>
      <w:r w:rsidRPr="00CC56FB">
        <w:rPr>
          <w:color w:val="auto"/>
          <w:sz w:val="22"/>
          <w:szCs w:val="22"/>
        </w:rPr>
        <w:t>Para aquisição da curva de IC</w:t>
      </w:r>
      <w:r w:rsidRPr="00D668B0">
        <w:rPr>
          <w:color w:val="auto"/>
          <w:sz w:val="22"/>
          <w:szCs w:val="22"/>
          <w:vertAlign w:val="subscript"/>
        </w:rPr>
        <w:t>50</w:t>
      </w:r>
      <w:r w:rsidRPr="00CC56FB">
        <w:rPr>
          <w:color w:val="auto"/>
          <w:sz w:val="22"/>
          <w:szCs w:val="22"/>
        </w:rPr>
        <w:t xml:space="preserve"> foi feita a média dos valores de adesão obtidos no controle negativo (28%), para determinar apenas a inibição das interações iônicas este valor foi subtraído dos valores obtidos para as demais concentrações.  </w:t>
      </w:r>
    </w:p>
    <w:p w14:paraId="3726ED93" w14:textId="77777777" w:rsidR="0052741D" w:rsidRPr="00CC56FB" w:rsidRDefault="0052741D" w:rsidP="0052741D">
      <w:pPr>
        <w:pStyle w:val="Default"/>
        <w:spacing w:line="360" w:lineRule="auto"/>
        <w:jc w:val="both"/>
        <w:rPr>
          <w:color w:val="auto"/>
          <w:sz w:val="22"/>
          <w:szCs w:val="22"/>
        </w:rPr>
      </w:pPr>
    </w:p>
    <w:p w14:paraId="6B74FBD0" w14:textId="77777777" w:rsidR="0052741D" w:rsidRPr="00CC56FB" w:rsidRDefault="0052741D" w:rsidP="0052741D">
      <w:pPr>
        <w:pStyle w:val="Default"/>
        <w:spacing w:line="360" w:lineRule="auto"/>
        <w:jc w:val="both"/>
        <w:rPr>
          <w:b/>
          <w:bCs/>
          <w:color w:val="auto"/>
          <w:sz w:val="22"/>
          <w:szCs w:val="22"/>
        </w:rPr>
      </w:pPr>
      <w:r w:rsidRPr="00CC56FB">
        <w:rPr>
          <w:b/>
          <w:bCs/>
          <w:color w:val="auto"/>
          <w:sz w:val="22"/>
          <w:szCs w:val="22"/>
        </w:rPr>
        <w:t xml:space="preserve">Teste de crescimento celular </w:t>
      </w:r>
    </w:p>
    <w:p w14:paraId="07757D56" w14:textId="229D4B58" w:rsidR="0052741D" w:rsidRDefault="0052741D" w:rsidP="0024470A">
      <w:pPr>
        <w:pStyle w:val="Default"/>
        <w:spacing w:line="360" w:lineRule="auto"/>
        <w:ind w:firstLine="708"/>
        <w:jc w:val="both"/>
        <w:rPr>
          <w:color w:val="auto"/>
          <w:sz w:val="22"/>
          <w:szCs w:val="22"/>
        </w:rPr>
      </w:pPr>
      <w:r w:rsidRPr="00CC56FB">
        <w:rPr>
          <w:color w:val="auto"/>
          <w:sz w:val="22"/>
          <w:szCs w:val="22"/>
        </w:rPr>
        <w:t>O ensaio de crescimento celular foi feito baseado no protocol</w:t>
      </w:r>
      <w:r w:rsidR="004819A6">
        <w:rPr>
          <w:color w:val="auto"/>
          <w:sz w:val="22"/>
          <w:szCs w:val="22"/>
        </w:rPr>
        <w:t>o</w:t>
      </w:r>
      <w:r w:rsidRPr="00CC56FB">
        <w:rPr>
          <w:color w:val="auto"/>
          <w:sz w:val="22"/>
          <w:szCs w:val="22"/>
        </w:rPr>
        <w:t xml:space="preserve"> de Burke </w:t>
      </w:r>
      <w:r w:rsidRPr="00CC56FB">
        <w:rPr>
          <w:color w:val="auto"/>
          <w:sz w:val="22"/>
          <w:szCs w:val="22"/>
        </w:rPr>
        <w:fldChar w:fldCharType="begin" w:fldLock="1"/>
      </w:r>
      <w:r w:rsidR="00C35F03">
        <w:rPr>
          <w:color w:val="auto"/>
          <w:sz w:val="22"/>
          <w:szCs w:val="22"/>
        </w:rPr>
        <w:instrText>ADDIN CSL_CITATION {"citationItems":[{"id":"ITEM-1","itemData":{"DOI":"10.1080/10428190701760011","ISSN":"10428194","abstract":"HMG-CoA Reductase inhibitors (statins) induce apoptosis in acute myeloid leukemia (AML) cells in vitro; however, the concentrations associated with cell death in AML cells are higher than those clinically tolerated during prolonged therapy. We therefore wished to determine whether short exposures to lovastatin might induce cell death in AML cells at clinically attainable concentrations. The time and concentration dependence of HL60 and U937 cells was determined and showed that cell death was delayed. IC(50) values and IC(90) values determined on day 6 suggested that the sensitivity of AML cells to statins may occur at lower concentrations than previously reported. After 72 h, mevalonate did not rescue AML cells from cytotoxic concentrations of statins, suggesting that, although cell death was delayed, lovastatin induced lethal effects within 72 h. In conjunction with previously reported Phase I studies, the data presented here suggest that the high-dose, short course statins may be useful for the treatment of patients with AML.","author":[{"dropping-particle":"","family":"Burke","given":"Lillian P.","non-dropping-particle":"","parse-names":false,"suffix":""},{"dropping-particle":"","family":"Kukoly","given":"Cynthia A.","non-dropping-particle":"","parse-names":false,"suffix":""}],"container-title":"Leukemia and Lymphoma","id":"ITEM-1","issue":"2","issued":{"date-parts":[["2008"]]},"page":"322-330","title":"Statins induce lethal effects in acute myeloblastic lymphoma cells within 72 hours","type":"article-journal","volume":"49"},"uris":["http://www.mendeley.com/documents/?uuid=30ab0d30-5cba-4d6d-8c48-aea299680e1e"]}],"mendeley":{"formattedCitation":"[27]","plainTextFormattedCitation":"[27]","previouslyFormattedCitation":"[27]"},"properties":{"noteIndex":0},"schema":"https://github.com/citation-style-language/schema/raw/master/csl-citation.json"}</w:instrText>
      </w:r>
      <w:r w:rsidRPr="00CC56FB">
        <w:rPr>
          <w:color w:val="auto"/>
          <w:sz w:val="22"/>
          <w:szCs w:val="22"/>
        </w:rPr>
        <w:fldChar w:fldCharType="separate"/>
      </w:r>
      <w:r w:rsidR="00285352" w:rsidRPr="00285352">
        <w:rPr>
          <w:noProof/>
          <w:color w:val="auto"/>
          <w:sz w:val="22"/>
          <w:szCs w:val="22"/>
        </w:rPr>
        <w:t>[27]</w:t>
      </w:r>
      <w:r w:rsidRPr="00CC56FB">
        <w:rPr>
          <w:color w:val="auto"/>
          <w:sz w:val="22"/>
          <w:szCs w:val="22"/>
        </w:rPr>
        <w:fldChar w:fldCharType="end"/>
      </w:r>
      <w:r w:rsidRPr="00CC56FB">
        <w:rPr>
          <w:color w:val="auto"/>
          <w:sz w:val="22"/>
          <w:szCs w:val="22"/>
        </w:rPr>
        <w:t>. As células B16F10 (1x10</w:t>
      </w:r>
      <w:r w:rsidRPr="00CC56FB">
        <w:rPr>
          <w:color w:val="auto"/>
          <w:sz w:val="22"/>
          <w:szCs w:val="22"/>
          <w:vertAlign w:val="superscript"/>
        </w:rPr>
        <w:t>5</w:t>
      </w:r>
      <w:r w:rsidR="004819A6">
        <w:rPr>
          <w:color w:val="auto"/>
          <w:sz w:val="22"/>
          <w:szCs w:val="22"/>
          <w:vertAlign w:val="superscript"/>
        </w:rPr>
        <w:t xml:space="preserve"> </w:t>
      </w:r>
      <w:r w:rsidR="004819A6" w:rsidRPr="004819A6">
        <w:rPr>
          <w:color w:val="auto"/>
          <w:sz w:val="22"/>
          <w:szCs w:val="22"/>
        </w:rPr>
        <w:t>por poço</w:t>
      </w:r>
      <w:r w:rsidRPr="00CC56FB">
        <w:rPr>
          <w:color w:val="auto"/>
          <w:sz w:val="22"/>
          <w:szCs w:val="22"/>
        </w:rPr>
        <w:t xml:space="preserve">) foram plaqueadas em placas de 96 poços em fibronectina juntamente com o peptídeo A9s nas concentrações de </w:t>
      </w:r>
      <w:bookmarkStart w:id="4" w:name="_Hlk11761078"/>
      <w:r w:rsidRPr="00CC56FB">
        <w:rPr>
          <w:color w:val="auto"/>
          <w:sz w:val="22"/>
          <w:szCs w:val="22"/>
        </w:rPr>
        <w:t>0,1</w:t>
      </w:r>
      <w:r w:rsidR="0024470A">
        <w:rPr>
          <w:color w:val="auto"/>
          <w:sz w:val="22"/>
          <w:szCs w:val="22"/>
        </w:rPr>
        <w:t xml:space="preserve"> </w:t>
      </w:r>
      <w:r w:rsidRPr="00CC56FB">
        <w:rPr>
          <w:color w:val="auto"/>
          <w:sz w:val="22"/>
          <w:szCs w:val="22"/>
        </w:rPr>
        <w:t>nM e 100</w:t>
      </w:r>
      <w:r w:rsidR="0024470A">
        <w:rPr>
          <w:color w:val="auto"/>
          <w:sz w:val="22"/>
          <w:szCs w:val="22"/>
        </w:rPr>
        <w:t xml:space="preserve"> </w:t>
      </w:r>
      <w:r w:rsidRPr="00CC56FB">
        <w:rPr>
          <w:color w:val="auto"/>
          <w:sz w:val="22"/>
          <w:szCs w:val="22"/>
        </w:rPr>
        <w:t xml:space="preserve">nM </w:t>
      </w:r>
      <w:bookmarkEnd w:id="4"/>
      <w:r w:rsidRPr="00CC56FB">
        <w:rPr>
          <w:color w:val="auto"/>
          <w:sz w:val="22"/>
          <w:szCs w:val="22"/>
        </w:rPr>
        <w:t>no tempo inicial. A absorbância das células</w:t>
      </w:r>
      <w:r w:rsidR="004819A6">
        <w:rPr>
          <w:color w:val="auto"/>
          <w:sz w:val="22"/>
          <w:szCs w:val="22"/>
        </w:rPr>
        <w:t xml:space="preserve"> aderidas</w:t>
      </w:r>
      <w:r w:rsidRPr="00CC56FB">
        <w:rPr>
          <w:color w:val="auto"/>
          <w:sz w:val="22"/>
          <w:szCs w:val="22"/>
        </w:rPr>
        <w:t xml:space="preserve"> foi medida </w:t>
      </w:r>
      <w:r w:rsidR="004819A6">
        <w:rPr>
          <w:color w:val="auto"/>
          <w:sz w:val="22"/>
          <w:szCs w:val="22"/>
        </w:rPr>
        <w:t xml:space="preserve">a 570nm </w:t>
      </w:r>
      <w:r w:rsidRPr="00CC56FB">
        <w:rPr>
          <w:color w:val="auto"/>
          <w:sz w:val="22"/>
          <w:szCs w:val="22"/>
        </w:rPr>
        <w:t>em diferentes tempos</w:t>
      </w:r>
      <w:r w:rsidR="004819A6">
        <w:rPr>
          <w:color w:val="auto"/>
          <w:sz w:val="22"/>
          <w:szCs w:val="22"/>
        </w:rPr>
        <w:t xml:space="preserve"> (</w:t>
      </w:r>
      <w:r w:rsidR="00120264">
        <w:rPr>
          <w:color w:val="auto"/>
          <w:sz w:val="22"/>
          <w:szCs w:val="22"/>
        </w:rPr>
        <w:t>6h, 12h, 24h, 30h, 48h e 72h)</w:t>
      </w:r>
      <w:r w:rsidRPr="00CC56FB">
        <w:rPr>
          <w:color w:val="auto"/>
          <w:sz w:val="22"/>
          <w:szCs w:val="22"/>
        </w:rPr>
        <w:t>.</w:t>
      </w:r>
      <w:r w:rsidR="00120264">
        <w:rPr>
          <w:color w:val="auto"/>
          <w:sz w:val="22"/>
          <w:szCs w:val="22"/>
        </w:rPr>
        <w:t xml:space="preserve"> Em outra placa experimental</w:t>
      </w:r>
      <w:r w:rsidRPr="00CC56FB">
        <w:rPr>
          <w:color w:val="auto"/>
          <w:sz w:val="22"/>
          <w:szCs w:val="22"/>
        </w:rPr>
        <w:t xml:space="preserve"> </w:t>
      </w:r>
      <w:r w:rsidR="00120264">
        <w:rPr>
          <w:color w:val="auto"/>
          <w:sz w:val="22"/>
          <w:szCs w:val="22"/>
        </w:rPr>
        <w:t>o peptídeo A9s foi</w:t>
      </w:r>
      <w:r w:rsidRPr="00CC56FB">
        <w:rPr>
          <w:color w:val="auto"/>
          <w:sz w:val="22"/>
          <w:szCs w:val="22"/>
        </w:rPr>
        <w:t xml:space="preserve"> </w:t>
      </w:r>
      <w:r w:rsidR="00120264">
        <w:rPr>
          <w:color w:val="auto"/>
          <w:sz w:val="22"/>
          <w:szCs w:val="22"/>
        </w:rPr>
        <w:t>re-adicionado</w:t>
      </w:r>
      <w:r w:rsidRPr="00CC56FB">
        <w:rPr>
          <w:color w:val="auto"/>
          <w:sz w:val="22"/>
          <w:szCs w:val="22"/>
        </w:rPr>
        <w:t xml:space="preserve"> </w:t>
      </w:r>
      <w:r w:rsidR="00120264">
        <w:rPr>
          <w:color w:val="auto"/>
          <w:sz w:val="22"/>
          <w:szCs w:val="22"/>
        </w:rPr>
        <w:t>aos cultivos a cada</w:t>
      </w:r>
      <w:r w:rsidRPr="00CC56FB">
        <w:rPr>
          <w:color w:val="auto"/>
          <w:sz w:val="22"/>
          <w:szCs w:val="22"/>
        </w:rPr>
        <w:t xml:space="preserve"> 24 horas</w:t>
      </w:r>
      <w:r w:rsidR="00120264">
        <w:rPr>
          <w:color w:val="auto"/>
          <w:sz w:val="22"/>
          <w:szCs w:val="22"/>
        </w:rPr>
        <w:t>.</w:t>
      </w:r>
      <w:r w:rsidRPr="00CC56FB">
        <w:rPr>
          <w:color w:val="auto"/>
          <w:sz w:val="22"/>
          <w:szCs w:val="22"/>
        </w:rPr>
        <w:t xml:space="preserve"> </w:t>
      </w:r>
      <w:r w:rsidR="00120264">
        <w:rPr>
          <w:color w:val="auto"/>
          <w:sz w:val="22"/>
          <w:szCs w:val="22"/>
        </w:rPr>
        <w:t>P</w:t>
      </w:r>
      <w:r w:rsidRPr="00CC56FB">
        <w:rPr>
          <w:color w:val="auto"/>
          <w:sz w:val="22"/>
          <w:szCs w:val="22"/>
        </w:rPr>
        <w:t>ara isto o líquido foi aspirado delicadamente de cada poço, para não desprender as células aderidas, e em seguida foi adicionado meio de cultivo novo (DMEM-F12 suplementado com 10% de SFB e 0,1% de antibiótico) e o peptídeo A9s nas diferentes concentrações</w:t>
      </w:r>
      <w:r w:rsidR="00FF233E">
        <w:rPr>
          <w:color w:val="auto"/>
          <w:sz w:val="22"/>
          <w:szCs w:val="22"/>
        </w:rPr>
        <w:t xml:space="preserve"> de </w:t>
      </w:r>
      <w:r w:rsidR="00FF233E" w:rsidRPr="00CC56FB">
        <w:rPr>
          <w:color w:val="auto"/>
          <w:sz w:val="22"/>
          <w:szCs w:val="22"/>
        </w:rPr>
        <w:t>0,1</w:t>
      </w:r>
      <w:r w:rsidR="0024470A">
        <w:rPr>
          <w:color w:val="auto"/>
          <w:sz w:val="22"/>
          <w:szCs w:val="22"/>
        </w:rPr>
        <w:t xml:space="preserve"> </w:t>
      </w:r>
      <w:r w:rsidR="00FF233E" w:rsidRPr="00CC56FB">
        <w:rPr>
          <w:color w:val="auto"/>
          <w:sz w:val="22"/>
          <w:szCs w:val="22"/>
        </w:rPr>
        <w:t>nM e 100</w:t>
      </w:r>
      <w:r w:rsidR="0024470A">
        <w:rPr>
          <w:color w:val="auto"/>
          <w:sz w:val="22"/>
          <w:szCs w:val="22"/>
        </w:rPr>
        <w:t xml:space="preserve"> </w:t>
      </w:r>
      <w:r w:rsidR="00FF233E" w:rsidRPr="00CC56FB">
        <w:rPr>
          <w:color w:val="auto"/>
          <w:sz w:val="22"/>
          <w:szCs w:val="22"/>
        </w:rPr>
        <w:t>nM</w:t>
      </w:r>
      <w:r w:rsidRPr="00CC56FB">
        <w:rPr>
          <w:color w:val="auto"/>
          <w:sz w:val="22"/>
          <w:szCs w:val="22"/>
        </w:rPr>
        <w:t>.</w:t>
      </w:r>
    </w:p>
    <w:p w14:paraId="6FCDF84D" w14:textId="77777777" w:rsidR="00D14361" w:rsidRPr="00CC56FB" w:rsidRDefault="00D14361" w:rsidP="0052741D">
      <w:pPr>
        <w:pStyle w:val="Default"/>
        <w:spacing w:line="360" w:lineRule="auto"/>
        <w:jc w:val="both"/>
        <w:rPr>
          <w:color w:val="auto"/>
          <w:sz w:val="22"/>
          <w:szCs w:val="22"/>
        </w:rPr>
      </w:pPr>
    </w:p>
    <w:p w14:paraId="415602F1" w14:textId="62E4CFFF" w:rsidR="0052741D" w:rsidRPr="00CC56FB" w:rsidRDefault="0052741D" w:rsidP="0052741D">
      <w:pPr>
        <w:pStyle w:val="Default"/>
        <w:spacing w:line="360" w:lineRule="auto"/>
        <w:jc w:val="both"/>
        <w:rPr>
          <w:b/>
          <w:bCs/>
          <w:color w:val="auto"/>
          <w:sz w:val="22"/>
          <w:szCs w:val="22"/>
        </w:rPr>
      </w:pPr>
      <w:r w:rsidRPr="00CC56FB">
        <w:rPr>
          <w:b/>
          <w:bCs/>
          <w:color w:val="auto"/>
          <w:sz w:val="22"/>
          <w:szCs w:val="22"/>
        </w:rPr>
        <w:t xml:space="preserve">Teste de viabilidade celular  </w:t>
      </w:r>
      <w:r w:rsidR="00871EFF">
        <w:rPr>
          <w:b/>
          <w:bCs/>
          <w:color w:val="auto"/>
          <w:sz w:val="22"/>
          <w:szCs w:val="22"/>
        </w:rPr>
        <w:t>(método MTT)</w:t>
      </w:r>
    </w:p>
    <w:p w14:paraId="1BBBB8F3" w14:textId="06639F3D" w:rsidR="0052741D" w:rsidRPr="00CC56FB" w:rsidRDefault="00120264" w:rsidP="0052741D">
      <w:pPr>
        <w:pStyle w:val="Default"/>
        <w:spacing w:line="360" w:lineRule="auto"/>
        <w:ind w:firstLine="708"/>
        <w:jc w:val="both"/>
        <w:rPr>
          <w:color w:val="auto"/>
          <w:sz w:val="22"/>
          <w:szCs w:val="22"/>
        </w:rPr>
      </w:pPr>
      <w:r>
        <w:rPr>
          <w:color w:val="auto"/>
          <w:sz w:val="22"/>
          <w:szCs w:val="22"/>
        </w:rPr>
        <w:t xml:space="preserve">A toxicidade do peptídeo A9s foi determinada através do ensaio </w:t>
      </w:r>
      <w:r w:rsidR="0052741D" w:rsidRPr="00CC56FB">
        <w:rPr>
          <w:color w:val="auto"/>
          <w:sz w:val="22"/>
          <w:szCs w:val="22"/>
        </w:rPr>
        <w:t>de MTT</w:t>
      </w:r>
      <w:r>
        <w:rPr>
          <w:color w:val="auto"/>
          <w:sz w:val="22"/>
          <w:szCs w:val="22"/>
        </w:rPr>
        <w:t xml:space="preserve"> </w:t>
      </w:r>
      <w:r w:rsidR="0052741D" w:rsidRPr="00CC56FB">
        <w:rPr>
          <w:color w:val="auto"/>
          <w:sz w:val="22"/>
          <w:szCs w:val="22"/>
        </w:rPr>
        <w:t xml:space="preserve">desenvolvido por Mosmann </w:t>
      </w:r>
      <w:r w:rsidR="0052741D" w:rsidRPr="00CC56FB">
        <w:rPr>
          <w:color w:val="auto"/>
          <w:sz w:val="22"/>
          <w:szCs w:val="22"/>
        </w:rPr>
        <w:fldChar w:fldCharType="begin" w:fldLock="1"/>
      </w:r>
      <w:r w:rsidR="00C35F03">
        <w:rPr>
          <w:color w:val="auto"/>
          <w:sz w:val="22"/>
          <w:szCs w:val="22"/>
        </w:rPr>
        <w:instrText>ADDIN CSL_CITATION {"citationItems":[{"id":"ITEM-1","itemData":{"DOI":"10.1016/0022-1759(83)90303-4","ISBN":"0022-1759 (Print)\\n0022-1759 (Linking)","ISSN":"0022-1759","PMID":"6606682","abstract":"A tetrazolium salt has been used to develop a quantitative colorimetric assay for mammalian cell survival and proliferation. The assay detects living, but not dead cells and the signal generated is dependent on the degree of activation of the cells. This method can therefore be used to measure cytotoxicity, proliferation or activation. The results can be read on a multiwell scanning spectrophotometer (ELISA reader) and show a high degree of precision. No washing steps are used in the assay. The main advantages of the colorimetric assay are its rapidity and precision, and the lack of any radioisotope. We have used the assay to measure proliferative lymphokines, mitogen stimulations and complement-mediated lysis.","author":[{"dropping-particle":"","family":"Mosmann","given":"T","non-dropping-particle":"","parse-names":false,"suffix":""}],"container-title":"Journal of immunological methods","id":"ITEM-1","issue":"1-2","issued":{"date-parts":[["1983"]]},"page":"55-63","title":"Rapid colorimetric assay for cellular growth and survival: application to proliferation and cytotoxicity assays.","type":"article-journal","volume":"65"},"uris":["http://www.mendeley.com/documents/?uuid=73759024-065e-44fc-ae07-6a1959f48313"]}],"mendeley":{"formattedCitation":"[28]","plainTextFormattedCitation":"[28]","previouslyFormattedCitation":"[28]"},"properties":{"noteIndex":0},"schema":"https://github.com/citation-style-language/schema/raw/master/csl-citation.json"}</w:instrText>
      </w:r>
      <w:r w:rsidR="0052741D" w:rsidRPr="00CC56FB">
        <w:rPr>
          <w:color w:val="auto"/>
          <w:sz w:val="22"/>
          <w:szCs w:val="22"/>
        </w:rPr>
        <w:fldChar w:fldCharType="separate"/>
      </w:r>
      <w:r w:rsidR="00285352" w:rsidRPr="00285352">
        <w:rPr>
          <w:noProof/>
          <w:color w:val="auto"/>
          <w:sz w:val="22"/>
          <w:szCs w:val="22"/>
        </w:rPr>
        <w:t>[28]</w:t>
      </w:r>
      <w:r w:rsidR="0052741D" w:rsidRPr="00CC56FB">
        <w:rPr>
          <w:color w:val="auto"/>
          <w:sz w:val="22"/>
          <w:szCs w:val="22"/>
        </w:rPr>
        <w:fldChar w:fldCharType="end"/>
      </w:r>
      <w:r w:rsidR="0052741D" w:rsidRPr="00CC56FB">
        <w:rPr>
          <w:color w:val="auto"/>
          <w:sz w:val="22"/>
          <w:szCs w:val="22"/>
        </w:rPr>
        <w:t>. As células foram plaqueadas (1x10</w:t>
      </w:r>
      <w:r w:rsidR="0052741D" w:rsidRPr="00CC56FB">
        <w:rPr>
          <w:color w:val="auto"/>
          <w:sz w:val="22"/>
          <w:szCs w:val="22"/>
          <w:vertAlign w:val="superscript"/>
        </w:rPr>
        <w:t>5</w:t>
      </w:r>
      <w:r w:rsidR="0052741D" w:rsidRPr="00CC56FB">
        <w:rPr>
          <w:color w:val="auto"/>
          <w:sz w:val="22"/>
          <w:szCs w:val="22"/>
        </w:rPr>
        <w:t xml:space="preserve"> por poço) juntamente com o peptídeo A9s nas diferentes concentrações (0,01 a 1000</w:t>
      </w:r>
      <w:r w:rsidR="0024470A">
        <w:rPr>
          <w:color w:val="auto"/>
          <w:sz w:val="22"/>
          <w:szCs w:val="22"/>
        </w:rPr>
        <w:t xml:space="preserve"> </w:t>
      </w:r>
      <w:r w:rsidR="0052741D" w:rsidRPr="00CC56FB">
        <w:rPr>
          <w:color w:val="auto"/>
          <w:sz w:val="22"/>
          <w:szCs w:val="22"/>
        </w:rPr>
        <w:t xml:space="preserve">nM) por 72 </w:t>
      </w:r>
      <w:r w:rsidR="0052741D" w:rsidRPr="00CC56FB">
        <w:rPr>
          <w:color w:val="auto"/>
          <w:sz w:val="22"/>
          <w:szCs w:val="22"/>
        </w:rPr>
        <w:lastRenderedPageBreak/>
        <w:t>horas. Também foi realizado o experimento adicionando mais peptídeo (0,01 a 1000</w:t>
      </w:r>
      <w:r w:rsidR="0024470A">
        <w:rPr>
          <w:color w:val="auto"/>
          <w:sz w:val="22"/>
          <w:szCs w:val="22"/>
        </w:rPr>
        <w:t xml:space="preserve"> </w:t>
      </w:r>
      <w:r w:rsidR="0052741D" w:rsidRPr="00CC56FB">
        <w:rPr>
          <w:color w:val="auto"/>
          <w:sz w:val="22"/>
          <w:szCs w:val="22"/>
        </w:rPr>
        <w:t xml:space="preserve">nM) A9s a cada 24 horas. </w:t>
      </w:r>
    </w:p>
    <w:p w14:paraId="0BB311EE" w14:textId="77777777" w:rsidR="0052741D" w:rsidRPr="00CC56FB" w:rsidRDefault="0052741D" w:rsidP="0052741D">
      <w:pPr>
        <w:pStyle w:val="Default"/>
        <w:spacing w:line="360" w:lineRule="auto"/>
        <w:jc w:val="both"/>
        <w:rPr>
          <w:color w:val="auto"/>
          <w:sz w:val="22"/>
          <w:szCs w:val="22"/>
        </w:rPr>
      </w:pPr>
    </w:p>
    <w:p w14:paraId="6FC38E28" w14:textId="66AFFF91" w:rsidR="0052741D" w:rsidRPr="00CC56FB" w:rsidRDefault="00871EFF" w:rsidP="0052741D">
      <w:pPr>
        <w:pStyle w:val="Default"/>
        <w:spacing w:line="360" w:lineRule="auto"/>
        <w:jc w:val="both"/>
        <w:rPr>
          <w:b/>
          <w:bCs/>
          <w:color w:val="auto"/>
          <w:sz w:val="22"/>
          <w:szCs w:val="22"/>
        </w:rPr>
      </w:pPr>
      <w:r>
        <w:rPr>
          <w:b/>
          <w:bCs/>
          <w:color w:val="auto"/>
          <w:sz w:val="22"/>
          <w:szCs w:val="22"/>
        </w:rPr>
        <w:t>Ensaios</w:t>
      </w:r>
      <w:r w:rsidR="0052741D" w:rsidRPr="00CC56FB">
        <w:rPr>
          <w:b/>
          <w:bCs/>
          <w:color w:val="auto"/>
          <w:sz w:val="22"/>
          <w:szCs w:val="22"/>
        </w:rPr>
        <w:t xml:space="preserve"> de proliferação e migração celular </w:t>
      </w:r>
    </w:p>
    <w:p w14:paraId="3C31854D" w14:textId="60D78BA3"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Os testes de proliferação e migração celular foram fundamentados no teste de </w:t>
      </w:r>
      <w:r w:rsidRPr="00CC56FB">
        <w:rPr>
          <w:i/>
          <w:iCs/>
          <w:color w:val="auto"/>
          <w:sz w:val="22"/>
          <w:szCs w:val="22"/>
        </w:rPr>
        <w:t xml:space="preserve">wound healing </w:t>
      </w:r>
      <w:r w:rsidRPr="00CC56FB">
        <w:rPr>
          <w:i/>
          <w:iCs/>
          <w:color w:val="auto"/>
          <w:sz w:val="22"/>
          <w:szCs w:val="22"/>
        </w:rPr>
        <w:fldChar w:fldCharType="begin" w:fldLock="1"/>
      </w:r>
      <w:r w:rsidR="00C35F03">
        <w:rPr>
          <w:i/>
          <w:iCs/>
          <w:color w:val="auto"/>
          <w:sz w:val="22"/>
          <w:szCs w:val="22"/>
        </w:rPr>
        <w:instrText>ADDIN CSL_CITATION {"citationItems":[{"id":"ITEM-1","itemData":{"DOI":"10.21769/BioProtoc.100","ISSN":"2331-8325","abstract":"The scratch wound healing assay has been widely adapted and modified to study the effects of a variety of experimental conditions, for instance, gene knockdown or chemical exposure, on mammalian cell migration and proliferation. In a typical scratch wound healing assay, a “wound gap” in a cell monolayer is created by scratching, and the “healing” of this gap by cell migration and growth towards the center of the gap is monitored and often quantitated.  Factors that alter the motility and/or growth of the cells can lead to increased or decreased rate of “healing” of the gap (Lampugnani, 1999). This assay is simple, inexpensive, and experimental conditions can be easily adjusted for different purposes. The assay can also be used for a high-throughput screen platform if an automated system is used (Yarrow and Perlman, 2004).","author":[{"dropping-particle":"","family":"Chen","given":"Yanling","non-dropping-particle":"","parse-names":false,"suffix":""}],"container-title":"Bio-protocol","id":"ITEM-1","issue":"5","issued":{"date-parts":[["2012"]]},"page":"e100","publisher":"Bio-protocol LLC.","title":"Scratch Wound Healing Assay","type":"article-journal","volume":"2"},"uris":["http://www.mendeley.com/documents/?uuid=fa43c0fc-a984-4a34-a275-2581a625067b"]}],"mendeley":{"formattedCitation":"[29]","plainTextFormattedCitation":"[29]","previouslyFormattedCitation":"[29]"},"properties":{"noteIndex":0},"schema":"https://github.com/citation-style-language/schema/raw/master/csl-citation.json"}</w:instrText>
      </w:r>
      <w:r w:rsidRPr="00CC56FB">
        <w:rPr>
          <w:i/>
          <w:iCs/>
          <w:color w:val="auto"/>
          <w:sz w:val="22"/>
          <w:szCs w:val="22"/>
        </w:rPr>
        <w:fldChar w:fldCharType="separate"/>
      </w:r>
      <w:r w:rsidR="00285352" w:rsidRPr="00285352">
        <w:rPr>
          <w:iCs/>
          <w:noProof/>
          <w:color w:val="auto"/>
          <w:sz w:val="22"/>
          <w:szCs w:val="22"/>
        </w:rPr>
        <w:t>[29]</w:t>
      </w:r>
      <w:r w:rsidRPr="00CC56FB">
        <w:rPr>
          <w:i/>
          <w:iCs/>
          <w:color w:val="auto"/>
          <w:sz w:val="22"/>
          <w:szCs w:val="22"/>
        </w:rPr>
        <w:fldChar w:fldCharType="end"/>
      </w:r>
      <w:r w:rsidR="009A1849">
        <w:rPr>
          <w:i/>
          <w:iCs/>
          <w:color w:val="auto"/>
          <w:sz w:val="22"/>
          <w:szCs w:val="22"/>
        </w:rPr>
        <w:t xml:space="preserve"> </w:t>
      </w:r>
      <w:r w:rsidRPr="00CC56FB">
        <w:rPr>
          <w:color w:val="auto"/>
          <w:sz w:val="22"/>
          <w:szCs w:val="22"/>
        </w:rPr>
        <w:t xml:space="preserve">com algumas modificações. Para este ensaio </w:t>
      </w:r>
      <w:r w:rsidRPr="00120264">
        <w:rPr>
          <w:color w:val="auto"/>
          <w:sz w:val="22"/>
          <w:szCs w:val="22"/>
        </w:rPr>
        <w:t>1,5x10</w:t>
      </w:r>
      <w:r w:rsidRPr="00120264">
        <w:rPr>
          <w:color w:val="auto"/>
          <w:sz w:val="22"/>
          <w:szCs w:val="22"/>
          <w:vertAlign w:val="superscript"/>
        </w:rPr>
        <w:t>5</w:t>
      </w:r>
      <w:r w:rsidRPr="00120264">
        <w:rPr>
          <w:color w:val="auto"/>
          <w:sz w:val="22"/>
          <w:szCs w:val="22"/>
        </w:rPr>
        <w:t xml:space="preserve"> células</w:t>
      </w:r>
      <w:r w:rsidRPr="00CC56FB">
        <w:rPr>
          <w:color w:val="auto"/>
          <w:sz w:val="22"/>
          <w:szCs w:val="22"/>
        </w:rPr>
        <w:t xml:space="preserve"> B16F10 foram plaqueadas </w:t>
      </w:r>
      <w:r w:rsidR="004371F1">
        <w:rPr>
          <w:color w:val="auto"/>
          <w:sz w:val="22"/>
          <w:szCs w:val="22"/>
        </w:rPr>
        <w:t>por poço</w:t>
      </w:r>
      <w:r w:rsidR="004371F1" w:rsidRPr="00CC56FB">
        <w:rPr>
          <w:color w:val="auto"/>
          <w:sz w:val="22"/>
          <w:szCs w:val="22"/>
        </w:rPr>
        <w:t xml:space="preserve"> </w:t>
      </w:r>
      <w:r w:rsidRPr="00CC56FB">
        <w:rPr>
          <w:color w:val="auto"/>
          <w:sz w:val="22"/>
          <w:szCs w:val="22"/>
        </w:rPr>
        <w:t xml:space="preserve">em placas de 24 poços previamente incubadas </w:t>
      </w:r>
      <w:r w:rsidRPr="00CC56FB">
        <w:rPr>
          <w:i/>
          <w:iCs/>
          <w:color w:val="auto"/>
          <w:sz w:val="22"/>
          <w:szCs w:val="22"/>
        </w:rPr>
        <w:t xml:space="preserve">overnight a </w:t>
      </w:r>
      <w:r w:rsidRPr="00CC56FB">
        <w:rPr>
          <w:rFonts w:eastAsia="Calibri"/>
          <w:sz w:val="22"/>
          <w:szCs w:val="22"/>
          <w:lang w:val="en-US"/>
        </w:rPr>
        <w:t>4ºC</w:t>
      </w:r>
      <w:r w:rsidRPr="00CC56FB">
        <w:rPr>
          <w:color w:val="auto"/>
          <w:sz w:val="22"/>
          <w:szCs w:val="22"/>
        </w:rPr>
        <w:t xml:space="preserve"> com fibronectina (5</w:t>
      </w:r>
      <w:r w:rsidR="0024470A">
        <w:rPr>
          <w:color w:val="auto"/>
          <w:sz w:val="22"/>
          <w:szCs w:val="22"/>
        </w:rPr>
        <w:t xml:space="preserve"> </w:t>
      </w:r>
      <w:r w:rsidRPr="00CC56FB">
        <w:rPr>
          <w:color w:val="auto"/>
          <w:sz w:val="22"/>
          <w:szCs w:val="22"/>
        </w:rPr>
        <w:t xml:space="preserve">μg/mL). </w:t>
      </w:r>
      <w:r w:rsidRPr="004371F1">
        <w:rPr>
          <w:color w:val="auto"/>
          <w:sz w:val="22"/>
          <w:szCs w:val="22"/>
        </w:rPr>
        <w:t>Após atingir</w:t>
      </w:r>
      <w:r w:rsidRPr="00C338B3">
        <w:rPr>
          <w:color w:val="auto"/>
          <w:sz w:val="22"/>
          <w:szCs w:val="22"/>
        </w:rPr>
        <w:t xml:space="preserve"> monocamada</w:t>
      </w:r>
      <w:r w:rsidRPr="00CC56FB">
        <w:rPr>
          <w:color w:val="auto"/>
          <w:sz w:val="22"/>
          <w:szCs w:val="22"/>
        </w:rPr>
        <w:t xml:space="preserve"> esta foi riscada com uma ponteira estéril (200</w:t>
      </w:r>
      <w:r w:rsidR="0024470A">
        <w:rPr>
          <w:color w:val="auto"/>
          <w:sz w:val="22"/>
          <w:szCs w:val="22"/>
        </w:rPr>
        <w:t xml:space="preserve"> </w:t>
      </w:r>
      <w:r w:rsidR="0024470A" w:rsidRPr="00CC56FB">
        <w:rPr>
          <w:color w:val="auto"/>
          <w:sz w:val="22"/>
          <w:szCs w:val="22"/>
        </w:rPr>
        <w:t>μ</w:t>
      </w:r>
      <w:r w:rsidRPr="00CC56FB">
        <w:rPr>
          <w:color w:val="auto"/>
          <w:sz w:val="22"/>
          <w:szCs w:val="22"/>
        </w:rPr>
        <w:t>l). Foi então adicionado meio DMEM-F12 com 5% de SFB juntamente com o peptídeo A9s em diferentes concentrações (0,1</w:t>
      </w:r>
      <w:r w:rsidR="0024470A">
        <w:rPr>
          <w:color w:val="auto"/>
          <w:sz w:val="22"/>
          <w:szCs w:val="22"/>
        </w:rPr>
        <w:t xml:space="preserve"> </w:t>
      </w:r>
      <w:r w:rsidRPr="00CC56FB">
        <w:rPr>
          <w:color w:val="auto"/>
          <w:sz w:val="22"/>
          <w:szCs w:val="22"/>
        </w:rPr>
        <w:t>nM e 100</w:t>
      </w:r>
      <w:r w:rsidR="0024470A">
        <w:rPr>
          <w:color w:val="auto"/>
          <w:sz w:val="22"/>
          <w:szCs w:val="22"/>
        </w:rPr>
        <w:t xml:space="preserve"> </w:t>
      </w:r>
      <w:r w:rsidRPr="00CC56FB">
        <w:rPr>
          <w:color w:val="auto"/>
          <w:sz w:val="22"/>
          <w:szCs w:val="22"/>
        </w:rPr>
        <w:t xml:space="preserve">nM). Em diferentes tempos essa placa foi visualizada em microscópio óptico invertido, em um aumento de 5x utilizando o programa </w:t>
      </w:r>
      <w:r w:rsidRPr="00CC56FB">
        <w:rPr>
          <w:i/>
          <w:iCs/>
          <w:color w:val="auto"/>
          <w:sz w:val="22"/>
          <w:szCs w:val="22"/>
        </w:rPr>
        <w:t xml:space="preserve">AxionVision 4.8 </w:t>
      </w:r>
      <w:r w:rsidRPr="00CC56FB">
        <w:rPr>
          <w:color w:val="auto"/>
          <w:sz w:val="22"/>
          <w:szCs w:val="22"/>
        </w:rPr>
        <w:t>(</w:t>
      </w:r>
      <w:r w:rsidRPr="00CC56FB">
        <w:rPr>
          <w:i/>
          <w:iCs/>
          <w:color w:val="auto"/>
          <w:sz w:val="22"/>
          <w:szCs w:val="22"/>
        </w:rPr>
        <w:t>Zeiss</w:t>
      </w:r>
      <w:r w:rsidRPr="00CC56FB">
        <w:rPr>
          <w:color w:val="auto"/>
          <w:sz w:val="22"/>
          <w:szCs w:val="22"/>
        </w:rPr>
        <w:t xml:space="preserve">). Foram fotografados três pontos diferentes do corte a fim de observar se ocorreu proliferação e migração celular para o interior </w:t>
      </w:r>
      <w:r w:rsidR="00F440BE" w:rsidRPr="004371F1">
        <w:rPr>
          <w:color w:val="auto"/>
          <w:sz w:val="22"/>
          <w:szCs w:val="22"/>
        </w:rPr>
        <w:t>do corte</w:t>
      </w:r>
      <w:r w:rsidRPr="00CC56FB">
        <w:rPr>
          <w:color w:val="auto"/>
          <w:sz w:val="22"/>
          <w:szCs w:val="22"/>
        </w:rPr>
        <w:t xml:space="preserve">. A contabilização das células foi feita utilizando o </w:t>
      </w:r>
      <w:r w:rsidRPr="00CC56FB">
        <w:rPr>
          <w:i/>
          <w:iCs/>
          <w:color w:val="auto"/>
          <w:sz w:val="22"/>
          <w:szCs w:val="22"/>
        </w:rPr>
        <w:t xml:space="preserve">software </w:t>
      </w:r>
      <w:r w:rsidRPr="00CC56FB">
        <w:rPr>
          <w:i/>
          <w:color w:val="auto"/>
          <w:sz w:val="22"/>
          <w:szCs w:val="22"/>
        </w:rPr>
        <w:t>ImageJ</w:t>
      </w:r>
      <w:r w:rsidRPr="00CC56FB">
        <w:rPr>
          <w:color w:val="auto"/>
          <w:sz w:val="22"/>
          <w:szCs w:val="22"/>
        </w:rPr>
        <w:t xml:space="preserve">. </w:t>
      </w:r>
    </w:p>
    <w:p w14:paraId="52D39CAF" w14:textId="38ED5B18" w:rsidR="0052741D" w:rsidRPr="00CC56FB" w:rsidRDefault="009A1849" w:rsidP="0052741D">
      <w:pPr>
        <w:pStyle w:val="Default"/>
        <w:spacing w:line="360" w:lineRule="auto"/>
        <w:ind w:firstLine="708"/>
        <w:jc w:val="both"/>
        <w:rPr>
          <w:color w:val="auto"/>
          <w:sz w:val="22"/>
          <w:szCs w:val="22"/>
        </w:rPr>
      </w:pPr>
      <w:r>
        <w:rPr>
          <w:color w:val="auto"/>
          <w:sz w:val="22"/>
          <w:szCs w:val="22"/>
        </w:rPr>
        <w:t>O ensaio de migração foi feito da mesma forma que o ensaio de proliferação, porém p</w:t>
      </w:r>
      <w:r w:rsidR="0052741D" w:rsidRPr="009A1849">
        <w:rPr>
          <w:color w:val="auto"/>
          <w:sz w:val="22"/>
          <w:szCs w:val="22"/>
        </w:rPr>
        <w:t>ara o ensaio de migração celular</w:t>
      </w:r>
      <w:r w:rsidRPr="009A1849">
        <w:rPr>
          <w:color w:val="auto"/>
          <w:sz w:val="22"/>
          <w:szCs w:val="22"/>
        </w:rPr>
        <w:t xml:space="preserve"> </w:t>
      </w:r>
      <w:r w:rsidR="0052741D" w:rsidRPr="009A1849">
        <w:rPr>
          <w:color w:val="auto"/>
          <w:sz w:val="22"/>
          <w:szCs w:val="22"/>
        </w:rPr>
        <w:t xml:space="preserve">foi necessário subtrair o componente de proliferação celular, para isto </w:t>
      </w:r>
      <w:r w:rsidRPr="009A1849">
        <w:rPr>
          <w:color w:val="auto"/>
          <w:sz w:val="22"/>
          <w:szCs w:val="22"/>
        </w:rPr>
        <w:t xml:space="preserve">utilizamos o protocolo de Chen </w:t>
      </w:r>
      <w:r w:rsidRPr="009A1849">
        <w:rPr>
          <w:color w:val="auto"/>
          <w:sz w:val="22"/>
          <w:szCs w:val="22"/>
        </w:rPr>
        <w:fldChar w:fldCharType="begin" w:fldLock="1"/>
      </w:r>
      <w:r w:rsidR="00C35F03">
        <w:rPr>
          <w:color w:val="auto"/>
          <w:sz w:val="22"/>
          <w:szCs w:val="22"/>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approach.","author":[{"dropping-particle":"","family":"Chen","given":"Yanling","non-dropping-particle":"","parse-names":false,"suffix":""}],"container-title":"Journal of Chemical Information and Modeling","id":"ITEM-1","issue":"1 ml","issued":{"date-parts":[["2013"]]},"page":"1689-1699","title":"Scratch Wound Healing Assay","type":"article-journal","volume":"53"},"uris":["http://www.mendeley.com/documents/?uuid=9e438687-05d2-4cf4-80d4-ca1855d99f57"]}],"mendeley":{"formattedCitation":"[30]","plainTextFormattedCitation":"[30]","previouslyFormattedCitation":"[30]"},"properties":{"noteIndex":0},"schema":"https://github.com/citation-style-language/schema/raw/master/csl-citation.json"}</w:instrText>
      </w:r>
      <w:r w:rsidRPr="009A1849">
        <w:rPr>
          <w:color w:val="auto"/>
          <w:sz w:val="22"/>
          <w:szCs w:val="22"/>
        </w:rPr>
        <w:fldChar w:fldCharType="separate"/>
      </w:r>
      <w:r w:rsidR="00285352" w:rsidRPr="00285352">
        <w:rPr>
          <w:noProof/>
          <w:color w:val="auto"/>
          <w:sz w:val="22"/>
          <w:szCs w:val="22"/>
        </w:rPr>
        <w:t>[30]</w:t>
      </w:r>
      <w:r w:rsidRPr="009A1849">
        <w:rPr>
          <w:color w:val="auto"/>
          <w:sz w:val="22"/>
          <w:szCs w:val="22"/>
        </w:rPr>
        <w:fldChar w:fldCharType="end"/>
      </w:r>
      <w:r w:rsidRPr="009A1849">
        <w:rPr>
          <w:color w:val="auto"/>
          <w:sz w:val="22"/>
          <w:szCs w:val="22"/>
        </w:rPr>
        <w:t xml:space="preserve">. Nesse ensaio </w:t>
      </w:r>
      <w:r w:rsidR="0052741D" w:rsidRPr="009A1849">
        <w:rPr>
          <w:color w:val="auto"/>
          <w:sz w:val="22"/>
          <w:szCs w:val="22"/>
        </w:rPr>
        <w:t>foi adicionada Mitomicina C (</w:t>
      </w:r>
      <w:r w:rsidR="0052741D" w:rsidRPr="009A1849">
        <w:rPr>
          <w:i/>
          <w:iCs/>
          <w:color w:val="auto"/>
          <w:sz w:val="22"/>
          <w:szCs w:val="22"/>
        </w:rPr>
        <w:t>Sigma – Aldrich</w:t>
      </w:r>
      <w:r w:rsidR="0052741D" w:rsidRPr="009A1849">
        <w:rPr>
          <w:color w:val="auto"/>
          <w:sz w:val="22"/>
          <w:szCs w:val="22"/>
        </w:rPr>
        <w:t>) em uma concentração de 5</w:t>
      </w:r>
      <w:r w:rsidR="0024470A">
        <w:rPr>
          <w:color w:val="auto"/>
          <w:sz w:val="22"/>
          <w:szCs w:val="22"/>
        </w:rPr>
        <w:t xml:space="preserve"> </w:t>
      </w:r>
      <w:r w:rsidR="0052741D" w:rsidRPr="009A1849">
        <w:rPr>
          <w:color w:val="auto"/>
          <w:sz w:val="22"/>
          <w:szCs w:val="22"/>
        </w:rPr>
        <w:t xml:space="preserve">μg/mL em um tempo de 10-20 minutos antes da raspagem da monocamada. </w:t>
      </w:r>
      <w:r w:rsidR="0055302E" w:rsidRPr="009A1849">
        <w:rPr>
          <w:color w:val="auto"/>
          <w:sz w:val="22"/>
          <w:szCs w:val="22"/>
        </w:rPr>
        <w:t xml:space="preserve">A Mitomicina C </w:t>
      </w:r>
      <w:r w:rsidR="0052741D" w:rsidRPr="009A1849">
        <w:rPr>
          <w:color w:val="auto"/>
          <w:sz w:val="22"/>
          <w:szCs w:val="22"/>
        </w:rPr>
        <w:t xml:space="preserve">inibe a síntese de DNA e replicação celular, possibilitando analisar apenas a migração das células para o corte </w:t>
      </w:r>
      <w:r w:rsidR="006C19CF" w:rsidRPr="009A1849">
        <w:rPr>
          <w:color w:val="auto"/>
          <w:sz w:val="22"/>
          <w:szCs w:val="22"/>
        </w:rPr>
        <w:fldChar w:fldCharType="begin" w:fldLock="1"/>
      </w:r>
      <w:r w:rsidR="00C35F03">
        <w:rPr>
          <w:color w:val="auto"/>
          <w:sz w:val="22"/>
          <w:szCs w:val="22"/>
        </w:rPr>
        <w:instrText>ADDIN CSL_CITATION {"citationItems":[{"id":"ITEM-1","itemData":{"author":[{"dropping-particle":"","family":"Alfred Goodman Gilman","given":"","non-dropping-particle":"","parse-names":false,"suffix":""},{"dropping-particle":"","family":"Rall","given":"Theodore W.","non-dropping-particle":"","parse-names":false,"suffix":""},{"dropping-particle":"","family":"Nies","given":"Alan S.","non-dropping-particle":"","parse-names":false,"suffix":""},{"dropping-particle":"","family":"Taylor","given":"Palmer","non-dropping-particle":"","parse-names":false,"suffix":""}],"edition":"8ª","id":"ITEM-1","issued":{"date-parts":[["1990"]]},"number-of-pages":"1840","publisher":"Mcgraw-Hill","title":"Goodman and Gilman's The Pharmacological Basis of Therapeutics","type":"book"},"uris":["http://www.mendeley.com/documents/?uuid=de889938-1b1e-4677-92da-fe9af2b879a6"]}],"mendeley":{"formattedCitation":"[31]","plainTextFormattedCitation":"[31]","previouslyFormattedCitation":"[31]"},"properties":{"noteIndex":0},"schema":"https://github.com/citation-style-language/schema/raw/master/csl-citation.json"}</w:instrText>
      </w:r>
      <w:r w:rsidR="006C19CF" w:rsidRPr="009A1849">
        <w:rPr>
          <w:color w:val="auto"/>
          <w:sz w:val="22"/>
          <w:szCs w:val="22"/>
        </w:rPr>
        <w:fldChar w:fldCharType="separate"/>
      </w:r>
      <w:r w:rsidR="00285352" w:rsidRPr="00285352">
        <w:rPr>
          <w:noProof/>
          <w:color w:val="auto"/>
          <w:sz w:val="22"/>
          <w:szCs w:val="22"/>
        </w:rPr>
        <w:t>[31]</w:t>
      </w:r>
      <w:r w:rsidR="006C19CF" w:rsidRPr="009A1849">
        <w:rPr>
          <w:color w:val="auto"/>
          <w:sz w:val="22"/>
          <w:szCs w:val="22"/>
        </w:rPr>
        <w:fldChar w:fldCharType="end"/>
      </w:r>
      <w:r w:rsidR="006C19CF" w:rsidRPr="00CC56FB">
        <w:rPr>
          <w:color w:val="auto"/>
          <w:sz w:val="22"/>
          <w:szCs w:val="22"/>
        </w:rPr>
        <w:t>.</w:t>
      </w:r>
    </w:p>
    <w:p w14:paraId="1B2ECAE1" w14:textId="77777777" w:rsidR="0052741D" w:rsidRPr="00CC56FB" w:rsidRDefault="0052741D" w:rsidP="0052741D">
      <w:pPr>
        <w:spacing w:line="360" w:lineRule="auto"/>
        <w:rPr>
          <w:rFonts w:ascii="Arial" w:hAnsi="Arial" w:cs="Arial"/>
          <w:sz w:val="22"/>
          <w:szCs w:val="22"/>
        </w:rPr>
      </w:pPr>
    </w:p>
    <w:p w14:paraId="6D29E364" w14:textId="77777777" w:rsidR="0052741D" w:rsidRPr="00CC56FB" w:rsidRDefault="0052741D" w:rsidP="0052741D">
      <w:pPr>
        <w:pStyle w:val="Default"/>
        <w:jc w:val="both"/>
        <w:rPr>
          <w:b/>
          <w:bCs/>
          <w:color w:val="auto"/>
          <w:sz w:val="22"/>
          <w:szCs w:val="22"/>
        </w:rPr>
      </w:pPr>
      <w:r w:rsidRPr="00CC56FB">
        <w:rPr>
          <w:b/>
          <w:bCs/>
          <w:color w:val="auto"/>
          <w:sz w:val="22"/>
          <w:szCs w:val="22"/>
        </w:rPr>
        <w:t>Análise quantitativa da expressão de integrinas por PCR em tempo real</w:t>
      </w:r>
    </w:p>
    <w:p w14:paraId="7B05625E" w14:textId="77777777" w:rsidR="0052741D" w:rsidRPr="00CC56FB" w:rsidRDefault="0052741D" w:rsidP="0052741D">
      <w:pPr>
        <w:pStyle w:val="Default"/>
        <w:jc w:val="both"/>
        <w:rPr>
          <w:color w:val="auto"/>
          <w:sz w:val="22"/>
          <w:szCs w:val="22"/>
        </w:rPr>
      </w:pPr>
    </w:p>
    <w:p w14:paraId="189BB7D9" w14:textId="1AFE0E70" w:rsidR="0052741D" w:rsidRPr="00CC56FB" w:rsidRDefault="00026261" w:rsidP="0052741D">
      <w:pPr>
        <w:spacing w:line="360" w:lineRule="auto"/>
        <w:ind w:firstLine="708"/>
        <w:rPr>
          <w:rFonts w:ascii="Arial" w:hAnsi="Arial" w:cs="Arial"/>
          <w:sz w:val="22"/>
          <w:szCs w:val="22"/>
        </w:rPr>
      </w:pPr>
      <w:r>
        <w:rPr>
          <w:rFonts w:ascii="Arial" w:hAnsi="Arial" w:cs="Arial"/>
          <w:sz w:val="22"/>
          <w:szCs w:val="22"/>
        </w:rPr>
        <w:t>C</w:t>
      </w:r>
      <w:r w:rsidR="0052741D" w:rsidRPr="00CC56FB">
        <w:rPr>
          <w:rFonts w:ascii="Arial" w:hAnsi="Arial" w:cs="Arial"/>
          <w:sz w:val="22"/>
          <w:szCs w:val="22"/>
        </w:rPr>
        <w:t xml:space="preserve">élulas da linhagem B16F10 </w:t>
      </w:r>
      <w:r>
        <w:rPr>
          <w:rFonts w:ascii="Arial" w:hAnsi="Arial" w:cs="Arial"/>
          <w:sz w:val="22"/>
          <w:szCs w:val="22"/>
        </w:rPr>
        <w:t xml:space="preserve">foram </w:t>
      </w:r>
      <w:r w:rsidR="0052741D" w:rsidRPr="00CC56FB">
        <w:rPr>
          <w:rFonts w:ascii="Arial" w:hAnsi="Arial" w:cs="Arial"/>
          <w:sz w:val="22"/>
          <w:szCs w:val="22"/>
        </w:rPr>
        <w:t>plaqueadas sobre fibronectina 5</w:t>
      </w:r>
      <w:r w:rsidR="0052741D" w:rsidRPr="00CC56FB">
        <w:rPr>
          <w:rFonts w:ascii="Arial" w:eastAsia="Lucida Sans Unicode" w:hAnsi="Arial" w:cs="Arial"/>
          <w:kern w:val="1"/>
          <w:sz w:val="22"/>
          <w:szCs w:val="22"/>
          <w:lang w:val="en-US"/>
        </w:rPr>
        <w:t xml:space="preserve">µg/mL </w:t>
      </w:r>
      <w:r w:rsidR="0052741D" w:rsidRPr="00CC56FB">
        <w:rPr>
          <w:rFonts w:ascii="Arial" w:hAnsi="Arial" w:cs="Arial"/>
          <w:sz w:val="22"/>
          <w:szCs w:val="22"/>
        </w:rPr>
        <w:t xml:space="preserve">em placas de 24 poços por 6 e 24h com e sem adição de peptídeo. </w:t>
      </w:r>
      <w:r w:rsidR="004371F1">
        <w:rPr>
          <w:rFonts w:ascii="Arial" w:hAnsi="Arial" w:cs="Arial"/>
          <w:sz w:val="22"/>
          <w:szCs w:val="22"/>
        </w:rPr>
        <w:t>O</w:t>
      </w:r>
      <w:r w:rsidR="0052741D" w:rsidRPr="00CC56FB">
        <w:rPr>
          <w:rFonts w:ascii="Arial" w:hAnsi="Arial" w:cs="Arial"/>
          <w:sz w:val="22"/>
          <w:szCs w:val="22"/>
        </w:rPr>
        <w:t xml:space="preserve"> RNA foi extraído usando o kit </w:t>
      </w:r>
      <w:r w:rsidR="0052741D" w:rsidRPr="00CC56FB">
        <w:rPr>
          <w:rFonts w:ascii="Arial" w:eastAsia="Calibri" w:hAnsi="Arial" w:cs="Arial"/>
          <w:i/>
          <w:sz w:val="22"/>
          <w:szCs w:val="22"/>
          <w:lang w:val="en-US"/>
        </w:rPr>
        <w:t>NucleoSpin RNAII</w:t>
      </w:r>
      <w:r w:rsidR="0052741D" w:rsidRPr="00CC56FB">
        <w:rPr>
          <w:rFonts w:ascii="Arial" w:eastAsia="Calibri" w:hAnsi="Arial" w:cs="Arial"/>
          <w:sz w:val="22"/>
          <w:szCs w:val="22"/>
          <w:lang w:val="en-US"/>
        </w:rPr>
        <w:t xml:space="preserve"> </w:t>
      </w:r>
      <w:r w:rsidR="0052741D" w:rsidRPr="00CC56FB">
        <w:rPr>
          <w:rFonts w:ascii="Arial" w:hAnsi="Arial" w:cs="Arial"/>
          <w:sz w:val="22"/>
          <w:szCs w:val="22"/>
          <w:lang w:val="en-US"/>
        </w:rPr>
        <w:t>(</w:t>
      </w:r>
      <w:r w:rsidR="0052741D" w:rsidRPr="00CC56FB">
        <w:rPr>
          <w:rFonts w:ascii="Arial" w:hAnsi="Arial" w:cs="Arial"/>
          <w:i/>
          <w:sz w:val="22"/>
          <w:szCs w:val="22"/>
          <w:lang w:val="en-US"/>
        </w:rPr>
        <w:t>Macherey-Nagel</w:t>
      </w:r>
      <w:r w:rsidR="0052741D" w:rsidRPr="00CC56FB">
        <w:rPr>
          <w:rFonts w:ascii="Arial" w:hAnsi="Arial" w:cs="Arial"/>
          <w:sz w:val="22"/>
          <w:szCs w:val="22"/>
          <w:lang w:val="en-US"/>
        </w:rPr>
        <w:t>)</w:t>
      </w:r>
      <w:r w:rsidR="0052741D" w:rsidRPr="00CC56FB">
        <w:rPr>
          <w:rFonts w:ascii="Arial" w:hAnsi="Arial" w:cs="Arial"/>
          <w:sz w:val="22"/>
          <w:szCs w:val="22"/>
        </w:rPr>
        <w:t xml:space="preserve"> e posteriormente o cDNA foi sintetizado com o kit </w:t>
      </w:r>
      <w:r w:rsidR="0052741D" w:rsidRPr="00CC56FB">
        <w:rPr>
          <w:rFonts w:ascii="Arial" w:eastAsia="Calibri" w:hAnsi="Arial" w:cs="Arial"/>
          <w:i/>
          <w:sz w:val="22"/>
          <w:szCs w:val="22"/>
          <w:lang w:val="en-US"/>
        </w:rPr>
        <w:t xml:space="preserve">Revert-Aid First Strand cDNA Synthesis </w:t>
      </w:r>
      <w:r w:rsidR="0052741D" w:rsidRPr="00CC56FB">
        <w:rPr>
          <w:rFonts w:ascii="Arial" w:hAnsi="Arial" w:cs="Arial"/>
          <w:sz w:val="22"/>
          <w:szCs w:val="22"/>
          <w:lang w:val="en-US"/>
        </w:rPr>
        <w:t>(</w:t>
      </w:r>
      <w:r w:rsidR="0052741D" w:rsidRPr="00CC56FB">
        <w:rPr>
          <w:rFonts w:ascii="Arial" w:hAnsi="Arial" w:cs="Arial"/>
          <w:i/>
          <w:sz w:val="22"/>
          <w:szCs w:val="22"/>
          <w:lang w:val="en-US"/>
        </w:rPr>
        <w:t>Thermo Scientific</w:t>
      </w:r>
      <w:r w:rsidR="004371F1">
        <w:rPr>
          <w:rFonts w:ascii="Arial" w:hAnsi="Arial" w:cs="Arial"/>
          <w:i/>
          <w:sz w:val="22"/>
          <w:szCs w:val="22"/>
          <w:lang w:val="en-US"/>
        </w:rPr>
        <w:t xml:space="preserve">) </w:t>
      </w:r>
      <w:r w:rsidR="004371F1">
        <w:rPr>
          <w:rFonts w:ascii="Arial" w:hAnsi="Arial" w:cs="Arial"/>
          <w:sz w:val="22"/>
          <w:szCs w:val="22"/>
        </w:rPr>
        <w:t xml:space="preserve">de acordo com os protocolos dos fabricantes. </w:t>
      </w:r>
      <w:r w:rsidR="0052741D" w:rsidRPr="00CC56FB">
        <w:rPr>
          <w:rFonts w:ascii="Arial" w:hAnsi="Arial" w:cs="Arial"/>
          <w:sz w:val="22"/>
          <w:szCs w:val="22"/>
        </w:rPr>
        <w:t xml:space="preserve"> Para verificar a expressão das subunidades de integrinas o qPCR foi montado utilizando primers específicos de integrinas provenientes do kit comercial </w:t>
      </w:r>
      <w:r w:rsidR="0052741D" w:rsidRPr="00CC56FB">
        <w:rPr>
          <w:rFonts w:ascii="Arial" w:hAnsi="Arial" w:cs="Arial"/>
          <w:i/>
          <w:sz w:val="22"/>
          <w:szCs w:val="22"/>
        </w:rPr>
        <w:t>Integrin signaling array (GenOne)</w:t>
      </w:r>
      <w:r w:rsidR="0052741D" w:rsidRPr="00CC56FB">
        <w:rPr>
          <w:rFonts w:ascii="Arial" w:hAnsi="Arial" w:cs="Arial"/>
          <w:sz w:val="22"/>
          <w:szCs w:val="22"/>
        </w:rPr>
        <w:t xml:space="preserve">. </w:t>
      </w:r>
    </w:p>
    <w:p w14:paraId="0189A901" w14:textId="36CA6126" w:rsidR="00461809" w:rsidRPr="00CC56FB" w:rsidRDefault="0052741D" w:rsidP="00461809">
      <w:pPr>
        <w:spacing w:line="360" w:lineRule="auto"/>
        <w:ind w:firstLine="708"/>
        <w:rPr>
          <w:rFonts w:ascii="Arial" w:hAnsi="Arial" w:cs="Arial"/>
          <w:sz w:val="22"/>
          <w:szCs w:val="22"/>
          <w:lang w:val="en-US"/>
        </w:rPr>
      </w:pPr>
      <w:r w:rsidRPr="00CC56FB">
        <w:rPr>
          <w:rFonts w:ascii="Arial" w:hAnsi="Arial" w:cs="Arial"/>
          <w:sz w:val="22"/>
          <w:szCs w:val="22"/>
        </w:rPr>
        <w:t xml:space="preserve">Os experimentos de qPCR foram realizados no </w:t>
      </w:r>
      <w:r w:rsidRPr="00CC56FB">
        <w:rPr>
          <w:rFonts w:ascii="Arial" w:hAnsi="Arial" w:cs="Arial"/>
          <w:i/>
          <w:sz w:val="22"/>
          <w:szCs w:val="22"/>
        </w:rPr>
        <w:t>StepOne Plus Cycler (Applied Biosytems)</w:t>
      </w:r>
      <w:r w:rsidRPr="00CC56FB">
        <w:rPr>
          <w:rFonts w:ascii="Arial" w:hAnsi="Arial" w:cs="Arial"/>
          <w:sz w:val="22"/>
          <w:szCs w:val="22"/>
        </w:rPr>
        <w:t xml:space="preserve"> em placas de 96 poços seladas com adesivos óticos. Cada reação foi feita de acordo com o fabricante (GenOne) com as seguintes alterações: a incubação inicial foi feita a 95ºC por 10min seguido de 45 ciclos de 95ºC por 15s e 58º</w:t>
      </w:r>
      <w:r w:rsidR="00F440BE" w:rsidRPr="007D5B4E">
        <w:rPr>
          <w:rFonts w:ascii="Arial" w:hAnsi="Arial" w:cs="Arial"/>
          <w:color w:val="auto"/>
          <w:sz w:val="22"/>
          <w:szCs w:val="22"/>
        </w:rPr>
        <w:t>C</w:t>
      </w:r>
      <w:r w:rsidRPr="00CC56FB">
        <w:rPr>
          <w:rFonts w:ascii="Arial" w:hAnsi="Arial" w:cs="Arial"/>
          <w:sz w:val="22"/>
          <w:szCs w:val="22"/>
        </w:rPr>
        <w:t xml:space="preserve"> por 45s</w:t>
      </w:r>
      <w:r w:rsidR="004371F1" w:rsidRPr="004371F1">
        <w:rPr>
          <w:rFonts w:ascii="Arial" w:hAnsi="Arial" w:cs="Arial"/>
          <w:color w:val="auto"/>
          <w:sz w:val="22"/>
          <w:szCs w:val="22"/>
        </w:rPr>
        <w:t>.</w:t>
      </w:r>
      <w:r w:rsidR="004371F1">
        <w:rPr>
          <w:rFonts w:ascii="Arial" w:hAnsi="Arial" w:cs="Arial"/>
          <w:sz w:val="22"/>
          <w:szCs w:val="22"/>
        </w:rPr>
        <w:t xml:space="preserve"> N</w:t>
      </w:r>
      <w:r w:rsidRPr="00CC56FB">
        <w:rPr>
          <w:rFonts w:ascii="Arial" w:hAnsi="Arial" w:cs="Arial"/>
          <w:sz w:val="22"/>
          <w:szCs w:val="22"/>
        </w:rPr>
        <w:t xml:space="preserve">ão houveram alterações nos demais ciclos de amplificação. Os resultados foram </w:t>
      </w:r>
      <w:r w:rsidRPr="00CC56FB">
        <w:rPr>
          <w:rFonts w:ascii="Arial" w:hAnsi="Arial" w:cs="Arial"/>
          <w:sz w:val="22"/>
          <w:szCs w:val="22"/>
        </w:rPr>
        <w:lastRenderedPageBreak/>
        <w:t xml:space="preserve">analisados pelo </w:t>
      </w:r>
      <w:r w:rsidRPr="00CC56FB">
        <w:rPr>
          <w:rFonts w:ascii="Arial" w:hAnsi="Arial" w:cs="Arial"/>
          <w:i/>
          <w:sz w:val="22"/>
          <w:szCs w:val="22"/>
        </w:rPr>
        <w:t>StepOne v2.1 (Applied Biosystems)</w:t>
      </w:r>
      <w:r w:rsidRPr="00CC56FB">
        <w:rPr>
          <w:rFonts w:ascii="Arial" w:hAnsi="Arial" w:cs="Arial"/>
          <w:sz w:val="22"/>
          <w:szCs w:val="22"/>
        </w:rPr>
        <w:t xml:space="preserve"> e as reações foram normalizadas com a expressão de GAPDH usando </w:t>
      </w:r>
      <w:r w:rsidRPr="00461809">
        <w:rPr>
          <w:rStyle w:val="A2"/>
          <w:rFonts w:ascii="Arial" w:hAnsi="Arial" w:cs="Arial"/>
          <w:sz w:val="22"/>
          <w:szCs w:val="22"/>
        </w:rPr>
        <w:t>ΔΔ</w:t>
      </w:r>
      <w:r w:rsidRPr="00CC56FB">
        <w:rPr>
          <w:rFonts w:ascii="Arial" w:hAnsi="Arial" w:cs="Arial"/>
          <w:sz w:val="22"/>
          <w:szCs w:val="22"/>
          <w:lang w:val="en-US"/>
        </w:rPr>
        <w:t>Ct</w:t>
      </w:r>
      <w:r w:rsidR="00461809">
        <w:rPr>
          <w:rFonts w:ascii="Arial" w:hAnsi="Arial" w:cs="Arial"/>
          <w:sz w:val="22"/>
          <w:szCs w:val="22"/>
          <w:lang w:val="en-US"/>
        </w:rPr>
        <w:t xml:space="preserve"> (</w:t>
      </w:r>
      <w:r w:rsidR="00461809" w:rsidRPr="00461809">
        <w:rPr>
          <w:rFonts w:ascii="Arial" w:hAnsi="Arial" w:cs="Arial"/>
          <w:i/>
          <w:sz w:val="22"/>
          <w:szCs w:val="22"/>
          <w:lang w:val="en-US"/>
        </w:rPr>
        <w:t>Comparative cycle threshold method</w:t>
      </w:r>
      <w:r w:rsidRPr="00CC56FB">
        <w:rPr>
          <w:rFonts w:ascii="Arial" w:hAnsi="Arial" w:cs="Arial"/>
          <w:sz w:val="22"/>
          <w:szCs w:val="22"/>
          <w:lang w:val="en-US"/>
        </w:rPr>
        <w:t>).</w:t>
      </w:r>
      <w:r w:rsidR="00461809">
        <w:rPr>
          <w:rFonts w:ascii="Arial" w:hAnsi="Arial" w:cs="Arial"/>
          <w:sz w:val="22"/>
          <w:szCs w:val="22"/>
          <w:lang w:val="en-US"/>
        </w:rPr>
        <w:t xml:space="preserve"> </w:t>
      </w:r>
    </w:p>
    <w:p w14:paraId="01EEB27B" w14:textId="77777777" w:rsidR="0052741D" w:rsidRPr="00CC56FB" w:rsidRDefault="0052741D" w:rsidP="0052741D">
      <w:pPr>
        <w:spacing w:line="360" w:lineRule="auto"/>
        <w:ind w:firstLine="708"/>
        <w:rPr>
          <w:rFonts w:ascii="Arial" w:hAnsi="Arial" w:cs="Arial"/>
          <w:sz w:val="22"/>
          <w:szCs w:val="22"/>
          <w:lang w:val="en-US"/>
        </w:rPr>
      </w:pPr>
    </w:p>
    <w:p w14:paraId="3D41BB87" w14:textId="77777777" w:rsidR="0052741D" w:rsidRPr="00CC56FB" w:rsidRDefault="0052741D" w:rsidP="0052741D">
      <w:pPr>
        <w:pStyle w:val="Default"/>
        <w:jc w:val="both"/>
        <w:rPr>
          <w:b/>
          <w:bCs/>
          <w:color w:val="auto"/>
          <w:sz w:val="22"/>
          <w:szCs w:val="22"/>
        </w:rPr>
      </w:pPr>
      <w:r w:rsidRPr="00CC56FB">
        <w:rPr>
          <w:b/>
          <w:bCs/>
          <w:color w:val="auto"/>
          <w:sz w:val="22"/>
          <w:szCs w:val="22"/>
        </w:rPr>
        <w:t>Análises estatísticas realizadas</w:t>
      </w:r>
    </w:p>
    <w:p w14:paraId="1DC3EF48" w14:textId="77777777" w:rsidR="0052741D" w:rsidRPr="00CC56FB" w:rsidRDefault="0052741D" w:rsidP="0052741D">
      <w:pPr>
        <w:pStyle w:val="Default"/>
        <w:jc w:val="both"/>
        <w:rPr>
          <w:color w:val="auto"/>
          <w:sz w:val="22"/>
          <w:szCs w:val="22"/>
        </w:rPr>
      </w:pPr>
    </w:p>
    <w:p w14:paraId="5252FF98" w14:textId="723BED76" w:rsidR="0052741D" w:rsidRPr="00CC56FB" w:rsidRDefault="0052741D" w:rsidP="0052741D">
      <w:pPr>
        <w:spacing w:line="360" w:lineRule="auto"/>
        <w:ind w:firstLine="708"/>
        <w:rPr>
          <w:rFonts w:ascii="Arial" w:hAnsi="Arial" w:cs="Arial"/>
          <w:sz w:val="22"/>
          <w:szCs w:val="22"/>
        </w:rPr>
      </w:pPr>
      <w:r w:rsidRPr="00CC56FB">
        <w:rPr>
          <w:rFonts w:ascii="Arial" w:hAnsi="Arial" w:cs="Arial"/>
          <w:sz w:val="22"/>
          <w:szCs w:val="22"/>
        </w:rPr>
        <w:t xml:space="preserve">Os resultados obtidos nos experimentos de biologia celular foram analisados por meio de one-way ANOVA seguido do teste de Tukey utilizando o programa </w:t>
      </w:r>
      <w:r w:rsidRPr="00CC56FB">
        <w:rPr>
          <w:rFonts w:ascii="Arial" w:hAnsi="Arial" w:cs="Arial"/>
          <w:i/>
          <w:iCs/>
          <w:sz w:val="22"/>
          <w:szCs w:val="22"/>
        </w:rPr>
        <w:t>GraphPadPrism5</w:t>
      </w:r>
      <w:r w:rsidRPr="00CC56FB">
        <w:rPr>
          <w:rFonts w:ascii="Arial" w:hAnsi="Arial" w:cs="Arial"/>
          <w:sz w:val="22"/>
          <w:szCs w:val="22"/>
        </w:rPr>
        <w:t xml:space="preserve">. Já as </w:t>
      </w:r>
      <w:r w:rsidRPr="00CC56FB">
        <w:rPr>
          <w:rFonts w:ascii="Arial" w:hAnsi="Arial" w:cs="Arial"/>
          <w:sz w:val="22"/>
          <w:szCs w:val="22"/>
          <w:lang w:val="en-US"/>
        </w:rPr>
        <w:t>análises estatísticas d</w:t>
      </w:r>
      <w:r w:rsidR="00026261">
        <w:rPr>
          <w:rFonts w:ascii="Arial" w:hAnsi="Arial" w:cs="Arial"/>
          <w:sz w:val="22"/>
          <w:szCs w:val="22"/>
          <w:lang w:val="en-US"/>
        </w:rPr>
        <w:t>a expressão gênica através do</w:t>
      </w:r>
      <w:r w:rsidRPr="00CC56FB">
        <w:rPr>
          <w:rFonts w:ascii="Arial" w:hAnsi="Arial" w:cs="Arial"/>
          <w:sz w:val="22"/>
          <w:szCs w:val="22"/>
          <w:lang w:val="en-US"/>
        </w:rPr>
        <w:t xml:space="preserve"> qPCR foram determinadas por two-way ANOVA seguido de teste de Bonferroni para comparar os diferentes grupos e condições. </w:t>
      </w:r>
      <w:r w:rsidRPr="00CC56FB">
        <w:rPr>
          <w:rFonts w:ascii="Arial" w:hAnsi="Arial" w:cs="Arial"/>
          <w:sz w:val="22"/>
          <w:szCs w:val="22"/>
        </w:rPr>
        <w:t>O valor mínimo de significância aceito para todos os testes foi o de p≤0,05</w:t>
      </w:r>
    </w:p>
    <w:p w14:paraId="3DE84772" w14:textId="77777777" w:rsidR="0052741D" w:rsidRPr="00CC56FB" w:rsidRDefault="0052741D" w:rsidP="0052741D">
      <w:pPr>
        <w:spacing w:line="360" w:lineRule="auto"/>
        <w:ind w:firstLine="708"/>
        <w:rPr>
          <w:rFonts w:ascii="Arial" w:hAnsi="Arial" w:cs="Arial"/>
          <w:sz w:val="22"/>
          <w:szCs w:val="22"/>
          <w:lang w:val="en-US"/>
        </w:rPr>
      </w:pPr>
    </w:p>
    <w:p w14:paraId="2B93463C" w14:textId="0A9A08DF" w:rsidR="00C7433E" w:rsidRPr="00CC56FB" w:rsidRDefault="00C7433E" w:rsidP="00C7433E">
      <w:pPr>
        <w:pStyle w:val="Seo1"/>
        <w:rPr>
          <w:sz w:val="22"/>
          <w:szCs w:val="22"/>
        </w:rPr>
      </w:pPr>
      <w:r w:rsidRPr="00CC56FB">
        <w:rPr>
          <w:sz w:val="22"/>
          <w:szCs w:val="22"/>
        </w:rPr>
        <w:t>RESULTADOS</w:t>
      </w:r>
      <w:bookmarkEnd w:id="0"/>
    </w:p>
    <w:p w14:paraId="4BFA23C5" w14:textId="7C68C3F8" w:rsidR="00C7433E" w:rsidRPr="00CC56FB" w:rsidRDefault="00C7433E" w:rsidP="00C7433E">
      <w:pPr>
        <w:pStyle w:val="seo2"/>
        <w:jc w:val="both"/>
        <w:rPr>
          <w:sz w:val="22"/>
          <w:szCs w:val="22"/>
        </w:rPr>
      </w:pPr>
      <w:bookmarkStart w:id="5" w:name="_Toc478569549"/>
      <w:r w:rsidRPr="00CC56FB">
        <w:rPr>
          <w:sz w:val="22"/>
          <w:szCs w:val="22"/>
        </w:rPr>
        <w:t>Interação de</w:t>
      </w:r>
      <w:r w:rsidR="006C329D">
        <w:rPr>
          <w:sz w:val="22"/>
          <w:szCs w:val="22"/>
        </w:rPr>
        <w:t xml:space="preserve"> células de melanoma murino</w:t>
      </w:r>
      <w:r w:rsidRPr="00CC56FB">
        <w:rPr>
          <w:sz w:val="22"/>
          <w:szCs w:val="22"/>
        </w:rPr>
        <w:t xml:space="preserve"> B16F10 com</w:t>
      </w:r>
      <w:r w:rsidR="006C329D">
        <w:rPr>
          <w:sz w:val="22"/>
          <w:szCs w:val="22"/>
        </w:rPr>
        <w:t xml:space="preserve"> proteínas da</w:t>
      </w:r>
      <w:r w:rsidRPr="00CC56FB">
        <w:rPr>
          <w:sz w:val="22"/>
          <w:szCs w:val="22"/>
        </w:rPr>
        <w:t xml:space="preserve"> matriz extracelular</w:t>
      </w:r>
      <w:bookmarkEnd w:id="5"/>
    </w:p>
    <w:p w14:paraId="563B0A57" w14:textId="0813DE1E" w:rsidR="00C7433E" w:rsidRPr="00CC56FB" w:rsidRDefault="00026261" w:rsidP="003F46CD">
      <w:pPr>
        <w:spacing w:line="360" w:lineRule="auto"/>
        <w:ind w:firstLine="0"/>
        <w:rPr>
          <w:rFonts w:ascii="Arial" w:hAnsi="Arial" w:cs="Arial"/>
          <w:sz w:val="22"/>
          <w:szCs w:val="22"/>
        </w:rPr>
      </w:pPr>
      <w:r>
        <w:rPr>
          <w:rFonts w:ascii="Arial" w:hAnsi="Arial" w:cs="Arial"/>
          <w:sz w:val="22"/>
          <w:szCs w:val="22"/>
        </w:rPr>
        <w:t>U</w:t>
      </w:r>
      <w:r w:rsidR="003B76F1">
        <w:rPr>
          <w:rFonts w:ascii="Arial" w:hAnsi="Arial" w:cs="Arial"/>
          <w:sz w:val="22"/>
          <w:szCs w:val="22"/>
        </w:rPr>
        <w:t xml:space="preserve">tilizamos três diferentes proteínas humanas como modelo de matriz extracelular e </w:t>
      </w:r>
      <w:r w:rsidR="007A714C" w:rsidRPr="00CC56FB">
        <w:rPr>
          <w:rFonts w:ascii="Arial" w:hAnsi="Arial" w:cs="Arial"/>
          <w:sz w:val="22"/>
          <w:szCs w:val="22"/>
        </w:rPr>
        <w:t xml:space="preserve">avaliamos a </w:t>
      </w:r>
      <w:r w:rsidR="00C7433E" w:rsidRPr="00CC56FB">
        <w:rPr>
          <w:rFonts w:ascii="Arial" w:hAnsi="Arial" w:cs="Arial"/>
          <w:sz w:val="22"/>
          <w:szCs w:val="22"/>
        </w:rPr>
        <w:t>afinidade d</w:t>
      </w:r>
      <w:r w:rsidR="007A714C" w:rsidRPr="00CC56FB">
        <w:rPr>
          <w:rFonts w:ascii="Arial" w:hAnsi="Arial" w:cs="Arial"/>
          <w:sz w:val="22"/>
          <w:szCs w:val="22"/>
        </w:rPr>
        <w:t>e</w:t>
      </w:r>
      <w:r w:rsidR="00C7433E" w:rsidRPr="00CC56FB">
        <w:rPr>
          <w:rFonts w:ascii="Arial" w:hAnsi="Arial" w:cs="Arial"/>
          <w:sz w:val="22"/>
          <w:szCs w:val="22"/>
        </w:rPr>
        <w:t xml:space="preserve"> B16F10 em aderir </w:t>
      </w:r>
      <w:r w:rsidR="003C63D7" w:rsidRPr="00CC56FB">
        <w:rPr>
          <w:rFonts w:ascii="Arial" w:hAnsi="Arial" w:cs="Arial"/>
          <w:sz w:val="22"/>
          <w:szCs w:val="22"/>
        </w:rPr>
        <w:t>a</w:t>
      </w:r>
      <w:r w:rsidR="00C7433E" w:rsidRPr="00CC56FB">
        <w:rPr>
          <w:rFonts w:ascii="Arial" w:hAnsi="Arial" w:cs="Arial"/>
          <w:sz w:val="22"/>
          <w:szCs w:val="22"/>
        </w:rPr>
        <w:t xml:space="preserve"> </w:t>
      </w:r>
      <w:r w:rsidR="003B76F1">
        <w:rPr>
          <w:rFonts w:ascii="Arial" w:hAnsi="Arial" w:cs="Arial"/>
          <w:sz w:val="22"/>
          <w:szCs w:val="22"/>
        </w:rPr>
        <w:t xml:space="preserve">essas </w:t>
      </w:r>
      <w:r w:rsidR="00C7433E" w:rsidRPr="00CC56FB">
        <w:rPr>
          <w:rFonts w:ascii="Arial" w:hAnsi="Arial" w:cs="Arial"/>
          <w:sz w:val="22"/>
          <w:szCs w:val="22"/>
        </w:rPr>
        <w:t xml:space="preserve">diferentes </w:t>
      </w:r>
      <w:r w:rsidR="003B76F1">
        <w:rPr>
          <w:rFonts w:ascii="Arial" w:hAnsi="Arial" w:cs="Arial"/>
          <w:sz w:val="22"/>
          <w:szCs w:val="22"/>
        </w:rPr>
        <w:t>proteínas</w:t>
      </w:r>
      <w:r w:rsidR="00C7433E" w:rsidRPr="00CC56FB">
        <w:rPr>
          <w:rFonts w:ascii="Arial" w:hAnsi="Arial" w:cs="Arial"/>
          <w:sz w:val="22"/>
          <w:szCs w:val="22"/>
        </w:rPr>
        <w:t>.</w:t>
      </w:r>
      <w:r w:rsidR="007A714C" w:rsidRPr="00CC56FB">
        <w:rPr>
          <w:rFonts w:ascii="Arial" w:hAnsi="Arial" w:cs="Arial"/>
          <w:sz w:val="22"/>
          <w:szCs w:val="22"/>
        </w:rPr>
        <w:t xml:space="preserve"> </w:t>
      </w:r>
      <w:r w:rsidR="00570FB3">
        <w:rPr>
          <w:rFonts w:ascii="Arial" w:hAnsi="Arial" w:cs="Arial"/>
          <w:sz w:val="22"/>
          <w:szCs w:val="22"/>
        </w:rPr>
        <w:t>A adesão de B16F10 em laminina foi de 26% e em colágeno de 35% q</w:t>
      </w:r>
      <w:r w:rsidR="007A714C" w:rsidRPr="00570FB3">
        <w:rPr>
          <w:rFonts w:ascii="Arial" w:hAnsi="Arial" w:cs="Arial"/>
          <w:sz w:val="22"/>
          <w:szCs w:val="22"/>
        </w:rPr>
        <w:t xml:space="preserve">uando comparado </w:t>
      </w:r>
      <w:r w:rsidR="00570FB3" w:rsidRPr="00570FB3">
        <w:rPr>
          <w:rFonts w:ascii="Arial" w:hAnsi="Arial" w:cs="Arial"/>
          <w:sz w:val="22"/>
          <w:szCs w:val="22"/>
        </w:rPr>
        <w:t xml:space="preserve">com a adesão de B16F10 </w:t>
      </w:r>
      <w:r w:rsidR="007A714C" w:rsidRPr="00570FB3">
        <w:rPr>
          <w:rFonts w:ascii="Arial" w:hAnsi="Arial" w:cs="Arial"/>
          <w:sz w:val="22"/>
          <w:szCs w:val="22"/>
        </w:rPr>
        <w:t>à fibronectina</w:t>
      </w:r>
      <w:r w:rsidR="00570FB3" w:rsidRPr="00570FB3">
        <w:rPr>
          <w:rFonts w:ascii="Arial" w:hAnsi="Arial" w:cs="Arial"/>
          <w:sz w:val="22"/>
          <w:szCs w:val="22"/>
        </w:rPr>
        <w:t xml:space="preserve"> </w:t>
      </w:r>
      <w:r w:rsidR="00C7433E" w:rsidRPr="00570FB3">
        <w:rPr>
          <w:rFonts w:ascii="Arial" w:hAnsi="Arial" w:cs="Arial"/>
          <w:sz w:val="22"/>
          <w:szCs w:val="22"/>
        </w:rPr>
        <w:t xml:space="preserve">(Figura </w:t>
      </w:r>
      <w:r w:rsidR="007A714C" w:rsidRPr="00570FB3">
        <w:rPr>
          <w:rFonts w:ascii="Arial" w:hAnsi="Arial" w:cs="Arial"/>
          <w:sz w:val="22"/>
          <w:szCs w:val="22"/>
        </w:rPr>
        <w:t>1</w:t>
      </w:r>
      <w:r w:rsidR="00C7433E" w:rsidRPr="00570FB3">
        <w:rPr>
          <w:rFonts w:ascii="Arial" w:hAnsi="Arial" w:cs="Arial"/>
          <w:sz w:val="22"/>
          <w:szCs w:val="22"/>
        </w:rPr>
        <w:t xml:space="preserve">). Devido </w:t>
      </w:r>
      <w:r w:rsidR="00570FB3" w:rsidRPr="00570FB3">
        <w:rPr>
          <w:rFonts w:ascii="Arial" w:hAnsi="Arial" w:cs="Arial"/>
          <w:sz w:val="22"/>
          <w:szCs w:val="22"/>
        </w:rPr>
        <w:t>a</w:t>
      </w:r>
      <w:r w:rsidR="00C7433E" w:rsidRPr="00570FB3">
        <w:rPr>
          <w:rFonts w:ascii="Arial" w:hAnsi="Arial" w:cs="Arial"/>
          <w:sz w:val="22"/>
          <w:szCs w:val="22"/>
        </w:rPr>
        <w:t xml:space="preserve"> alta afinidade desta linhagem com a matriz extracelular fibronectina, esta foi utilizada em todos os experimentos.</w:t>
      </w:r>
    </w:p>
    <w:p w14:paraId="32089A47" w14:textId="77777777" w:rsidR="00C7433E" w:rsidRDefault="00C7433E" w:rsidP="00C7433E">
      <w:pPr>
        <w:spacing w:line="360" w:lineRule="auto"/>
        <w:jc w:val="center"/>
        <w:rPr>
          <w:rFonts w:ascii="Arial" w:hAnsi="Arial" w:cs="Arial"/>
        </w:rPr>
      </w:pPr>
      <w:r>
        <w:rPr>
          <w:rFonts w:ascii="Arial" w:hAnsi="Arial" w:cs="Arial"/>
          <w:noProof/>
          <w:lang w:eastAsia="pt-BR"/>
        </w:rPr>
        <w:drawing>
          <wp:inline distT="0" distB="0" distL="0" distR="0" wp14:anchorId="6CD67EFD" wp14:editId="2F3F2735">
            <wp:extent cx="3752850" cy="275154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são MEC.jpg"/>
                    <pic:cNvPicPr/>
                  </pic:nvPicPr>
                  <pic:blipFill rotWithShape="1">
                    <a:blip r:embed="rId7" cstate="print">
                      <a:extLst>
                        <a:ext uri="{28A0092B-C50C-407E-A947-70E740481C1C}">
                          <a14:useLocalDpi xmlns:a14="http://schemas.microsoft.com/office/drawing/2010/main" val="0"/>
                        </a:ext>
                      </a:extLst>
                    </a:blip>
                    <a:srcRect t="19987" b="-1"/>
                    <a:stretch/>
                  </pic:blipFill>
                  <pic:spPr bwMode="auto">
                    <a:xfrm>
                      <a:off x="0" y="0"/>
                      <a:ext cx="3773814" cy="2766912"/>
                    </a:xfrm>
                    <a:prstGeom prst="rect">
                      <a:avLst/>
                    </a:prstGeom>
                    <a:ln>
                      <a:noFill/>
                    </a:ln>
                    <a:extLst>
                      <a:ext uri="{53640926-AAD7-44D8-BBD7-CCE9431645EC}">
                        <a14:shadowObscured xmlns:a14="http://schemas.microsoft.com/office/drawing/2010/main"/>
                      </a:ext>
                    </a:extLst>
                  </pic:spPr>
                </pic:pic>
              </a:graphicData>
            </a:graphic>
          </wp:inline>
        </w:drawing>
      </w:r>
    </w:p>
    <w:p w14:paraId="1F08FAD6" w14:textId="6A8BD592" w:rsidR="00B66BB8" w:rsidRDefault="00C7433E" w:rsidP="00C7433E">
      <w:pPr>
        <w:ind w:firstLine="0"/>
        <w:rPr>
          <w:rFonts w:ascii="Arial" w:hAnsi="Arial" w:cs="Arial"/>
          <w:sz w:val="20"/>
          <w:szCs w:val="20"/>
        </w:rPr>
      </w:pPr>
      <w:r w:rsidRPr="003F46CD">
        <w:rPr>
          <w:rFonts w:ascii="Arial" w:hAnsi="Arial" w:cs="Arial"/>
          <w:b/>
          <w:sz w:val="20"/>
          <w:szCs w:val="20"/>
        </w:rPr>
        <w:t>Figura</w:t>
      </w:r>
      <w:r w:rsidR="003F46CD" w:rsidRPr="003F46CD">
        <w:rPr>
          <w:rFonts w:ascii="Arial" w:hAnsi="Arial" w:cs="Arial"/>
          <w:b/>
          <w:sz w:val="20"/>
          <w:szCs w:val="20"/>
        </w:rPr>
        <w:t xml:space="preserve"> </w:t>
      </w:r>
      <w:r w:rsidR="007A58F4" w:rsidRPr="003F46CD">
        <w:rPr>
          <w:rFonts w:ascii="Arial" w:hAnsi="Arial" w:cs="Arial"/>
          <w:b/>
          <w:sz w:val="20"/>
          <w:szCs w:val="20"/>
        </w:rPr>
        <w:t>1</w:t>
      </w:r>
      <w:r w:rsidRPr="003F46CD">
        <w:rPr>
          <w:rFonts w:ascii="Arial" w:hAnsi="Arial" w:cs="Arial"/>
          <w:b/>
          <w:sz w:val="20"/>
          <w:szCs w:val="20"/>
        </w:rPr>
        <w:t>:</w:t>
      </w:r>
      <w:r w:rsidR="003F46CD" w:rsidRPr="003F46CD">
        <w:rPr>
          <w:rFonts w:ascii="Arial" w:hAnsi="Arial" w:cs="Arial"/>
          <w:b/>
          <w:sz w:val="20"/>
          <w:szCs w:val="20"/>
        </w:rPr>
        <w:t xml:space="preserve"> </w:t>
      </w:r>
      <w:r w:rsidRPr="003F46CD">
        <w:rPr>
          <w:rFonts w:ascii="Arial" w:hAnsi="Arial" w:cs="Arial"/>
          <w:sz w:val="20"/>
          <w:szCs w:val="20"/>
        </w:rPr>
        <w:t>Porcentagem de adesão das células B16F10 em diferentes matrizes extracelulares, obtida no teste de adesão celular. Cada barra mostra a média ± desvio padrão de três experimentos diferentes que foram realizados em octoplicata. O ***</w:t>
      </w:r>
      <w:r w:rsidR="00570FB3">
        <w:rPr>
          <w:rFonts w:ascii="Arial" w:hAnsi="Arial" w:cs="Arial"/>
          <w:sz w:val="20"/>
          <w:szCs w:val="20"/>
        </w:rPr>
        <w:t xml:space="preserve"> indica </w:t>
      </w:r>
      <w:r w:rsidRPr="003F46CD">
        <w:rPr>
          <w:rFonts w:ascii="Arial" w:hAnsi="Arial" w:cs="Arial"/>
          <w:sz w:val="20"/>
          <w:szCs w:val="20"/>
        </w:rPr>
        <w:t>p &lt;0,001</w:t>
      </w:r>
      <w:r w:rsidR="00570FB3">
        <w:rPr>
          <w:rFonts w:ascii="Arial" w:hAnsi="Arial" w:cs="Arial"/>
          <w:sz w:val="20"/>
          <w:szCs w:val="20"/>
        </w:rPr>
        <w:t xml:space="preserve"> e é</w:t>
      </w:r>
      <w:r w:rsidRPr="003F46CD">
        <w:rPr>
          <w:rFonts w:ascii="Arial" w:hAnsi="Arial" w:cs="Arial"/>
          <w:sz w:val="20"/>
          <w:szCs w:val="20"/>
        </w:rPr>
        <w:t xml:space="preserve"> comparado com o controle (fibronectina).</w:t>
      </w:r>
    </w:p>
    <w:p w14:paraId="118D271F" w14:textId="77777777" w:rsidR="00214FE4" w:rsidRPr="00570FB3" w:rsidRDefault="00214FE4" w:rsidP="00C7433E">
      <w:pPr>
        <w:ind w:firstLine="0"/>
        <w:rPr>
          <w:rFonts w:ascii="Arial" w:hAnsi="Arial" w:cs="Arial"/>
          <w:b/>
          <w:sz w:val="20"/>
          <w:szCs w:val="20"/>
        </w:rPr>
      </w:pPr>
    </w:p>
    <w:p w14:paraId="738F7AFC" w14:textId="77777777" w:rsidR="00C7433E" w:rsidRPr="009A405C" w:rsidRDefault="00C7433E" w:rsidP="00C7433E">
      <w:pPr>
        <w:pStyle w:val="seo2"/>
        <w:rPr>
          <w:sz w:val="22"/>
          <w:szCs w:val="22"/>
        </w:rPr>
      </w:pPr>
      <w:bookmarkStart w:id="6" w:name="_Toc478569550"/>
      <w:r w:rsidRPr="009A405C">
        <w:rPr>
          <w:sz w:val="22"/>
          <w:szCs w:val="22"/>
        </w:rPr>
        <w:lastRenderedPageBreak/>
        <w:t>Ação do</w:t>
      </w:r>
      <w:r w:rsidR="00073D78" w:rsidRPr="009A405C">
        <w:rPr>
          <w:sz w:val="22"/>
          <w:szCs w:val="22"/>
        </w:rPr>
        <w:t xml:space="preserve"> A9s e</w:t>
      </w:r>
      <w:r w:rsidRPr="009A405C">
        <w:rPr>
          <w:sz w:val="22"/>
          <w:szCs w:val="22"/>
        </w:rPr>
        <w:t xml:space="preserve"> EDTA na adesão celular da linhagem B16F10</w:t>
      </w:r>
      <w:bookmarkEnd w:id="6"/>
    </w:p>
    <w:p w14:paraId="203B3F1F" w14:textId="5DE7B3AD" w:rsidR="007D5B4E" w:rsidRDefault="00073D78" w:rsidP="00073D78">
      <w:pPr>
        <w:spacing w:line="360" w:lineRule="auto"/>
        <w:ind w:firstLine="708"/>
        <w:rPr>
          <w:rFonts w:ascii="Arial" w:hAnsi="Arial" w:cs="Arial"/>
          <w:sz w:val="22"/>
          <w:szCs w:val="22"/>
        </w:rPr>
      </w:pPr>
      <w:r w:rsidRPr="009A405C">
        <w:rPr>
          <w:rFonts w:ascii="Arial" w:hAnsi="Arial" w:cs="Arial"/>
          <w:sz w:val="22"/>
          <w:szCs w:val="22"/>
        </w:rPr>
        <w:t>Ao adicionar o peptídeo A9s às células B16F10, percebeu-se</w:t>
      </w:r>
      <w:r w:rsidR="007A58F4" w:rsidRPr="009A405C">
        <w:rPr>
          <w:rFonts w:ascii="Arial" w:hAnsi="Arial" w:cs="Arial"/>
          <w:sz w:val="22"/>
          <w:szCs w:val="22"/>
        </w:rPr>
        <w:t xml:space="preserve"> uma inibição dose-dependente da adesão celular, sendo a maior taxa de inibição da adesão de 68% quando adicionado 1000</w:t>
      </w:r>
      <w:r w:rsidR="00786105">
        <w:rPr>
          <w:rFonts w:ascii="Arial" w:hAnsi="Arial" w:cs="Arial"/>
          <w:sz w:val="22"/>
          <w:szCs w:val="22"/>
        </w:rPr>
        <w:t xml:space="preserve"> </w:t>
      </w:r>
      <w:r w:rsidR="007A58F4" w:rsidRPr="009A405C">
        <w:rPr>
          <w:rFonts w:ascii="Arial" w:hAnsi="Arial" w:cs="Arial"/>
          <w:sz w:val="22"/>
          <w:szCs w:val="22"/>
        </w:rPr>
        <w:t>nM</w:t>
      </w:r>
      <w:r w:rsidRPr="009A405C">
        <w:rPr>
          <w:rFonts w:ascii="Arial" w:hAnsi="Arial" w:cs="Arial"/>
          <w:sz w:val="22"/>
          <w:szCs w:val="22"/>
        </w:rPr>
        <w:t xml:space="preserve"> de A9s</w:t>
      </w:r>
      <w:r w:rsidR="00E851F6">
        <w:rPr>
          <w:rFonts w:ascii="Arial" w:hAnsi="Arial" w:cs="Arial"/>
          <w:sz w:val="22"/>
          <w:szCs w:val="22"/>
        </w:rPr>
        <w:t xml:space="preserve"> </w:t>
      </w:r>
      <w:r w:rsidR="00E851F6" w:rsidRPr="00465264">
        <w:rPr>
          <w:rFonts w:ascii="Arial" w:hAnsi="Arial" w:cs="Arial"/>
          <w:color w:val="auto"/>
          <w:sz w:val="22"/>
          <w:szCs w:val="22"/>
        </w:rPr>
        <w:t>(Figura 2)</w:t>
      </w:r>
      <w:r w:rsidR="007A58F4" w:rsidRPr="00465264">
        <w:rPr>
          <w:rFonts w:ascii="Arial" w:hAnsi="Arial" w:cs="Arial"/>
          <w:color w:val="auto"/>
          <w:sz w:val="22"/>
          <w:szCs w:val="22"/>
        </w:rPr>
        <w:t>.</w:t>
      </w:r>
      <w:r w:rsidRPr="00465264">
        <w:rPr>
          <w:rFonts w:ascii="Arial" w:hAnsi="Arial" w:cs="Arial"/>
          <w:color w:val="auto"/>
          <w:sz w:val="22"/>
          <w:szCs w:val="22"/>
        </w:rPr>
        <w:t xml:space="preserve"> </w:t>
      </w:r>
    </w:p>
    <w:p w14:paraId="30E3FF80" w14:textId="069CF1AF" w:rsidR="00073D78" w:rsidRPr="005D0392" w:rsidRDefault="007D5B4E" w:rsidP="007D5B4E">
      <w:pPr>
        <w:spacing w:line="360" w:lineRule="auto"/>
        <w:ind w:firstLine="708"/>
        <w:rPr>
          <w:rFonts w:ascii="Arial" w:hAnsi="Arial" w:cs="Arial"/>
          <w:sz w:val="22"/>
          <w:szCs w:val="22"/>
        </w:rPr>
      </w:pPr>
      <w:r>
        <w:rPr>
          <w:rFonts w:ascii="Arial" w:hAnsi="Arial" w:cs="Arial"/>
          <w:sz w:val="22"/>
          <w:szCs w:val="22"/>
        </w:rPr>
        <w:t>O EDTA (50</w:t>
      </w:r>
      <w:r w:rsidR="00786105">
        <w:rPr>
          <w:rFonts w:ascii="Arial" w:hAnsi="Arial" w:cs="Arial"/>
          <w:sz w:val="22"/>
          <w:szCs w:val="22"/>
        </w:rPr>
        <w:t xml:space="preserve"> </w:t>
      </w:r>
      <w:r w:rsidR="00786105" w:rsidRPr="00CC56FB">
        <w:rPr>
          <w:color w:val="auto"/>
          <w:sz w:val="22"/>
          <w:szCs w:val="22"/>
        </w:rPr>
        <w:t>μ</w:t>
      </w:r>
      <w:r>
        <w:rPr>
          <w:rFonts w:ascii="Arial" w:hAnsi="Arial" w:cs="Arial"/>
          <w:sz w:val="22"/>
          <w:szCs w:val="22"/>
        </w:rPr>
        <w:t xml:space="preserve">M) foi empregado como um inibidor de </w:t>
      </w:r>
      <w:r w:rsidRPr="00465264">
        <w:rPr>
          <w:rFonts w:ascii="Arial" w:hAnsi="Arial" w:cs="Arial"/>
          <w:color w:val="auto"/>
          <w:sz w:val="22"/>
          <w:szCs w:val="22"/>
        </w:rPr>
        <w:t xml:space="preserve">referência </w:t>
      </w:r>
      <w:r w:rsidR="00E851F6" w:rsidRPr="00465264">
        <w:rPr>
          <w:rFonts w:ascii="Arial" w:hAnsi="Arial" w:cs="Arial"/>
          <w:color w:val="auto"/>
          <w:sz w:val="22"/>
          <w:szCs w:val="22"/>
        </w:rPr>
        <w:t xml:space="preserve">para avaliar os níveis mínimos de </w:t>
      </w:r>
      <w:r w:rsidRPr="00465264">
        <w:rPr>
          <w:rFonts w:ascii="Arial" w:hAnsi="Arial" w:cs="Arial"/>
          <w:color w:val="auto"/>
          <w:sz w:val="22"/>
          <w:szCs w:val="22"/>
        </w:rPr>
        <w:t xml:space="preserve">adesão </w:t>
      </w:r>
      <w:r w:rsidR="00A1580D" w:rsidRPr="00465264">
        <w:rPr>
          <w:rFonts w:ascii="Arial" w:hAnsi="Arial" w:cs="Arial"/>
          <w:color w:val="auto"/>
          <w:sz w:val="22"/>
          <w:szCs w:val="22"/>
        </w:rPr>
        <w:t>das células B16F10 à matr</w:t>
      </w:r>
      <w:r w:rsidR="00E851F6" w:rsidRPr="00465264">
        <w:rPr>
          <w:rFonts w:ascii="Arial" w:hAnsi="Arial" w:cs="Arial"/>
          <w:color w:val="auto"/>
          <w:sz w:val="22"/>
          <w:szCs w:val="22"/>
        </w:rPr>
        <w:t xml:space="preserve">iz de fibronectina </w:t>
      </w:r>
      <w:r>
        <w:rPr>
          <w:rFonts w:ascii="Arial" w:hAnsi="Arial" w:cs="Arial"/>
          <w:sz w:val="22"/>
          <w:szCs w:val="22"/>
        </w:rPr>
        <w:fldChar w:fldCharType="begin" w:fldLock="1"/>
      </w:r>
      <w:r w:rsidR="00C35F03">
        <w:rPr>
          <w:rFonts w:ascii="Arial" w:hAnsi="Arial" w:cs="Arial"/>
          <w:sz w:val="22"/>
          <w:szCs w:val="22"/>
        </w:rPr>
        <w:instrText>ADDIN CSL_CITATION {"citationItems":[{"id":"ITEM-1","itemData":{"ISSN":"15306860","abstract":"Vascular endothelial growth factor (VEGF), a major factor mediating endothelial cell survival, migration, and proliferation during angiogenesis, is expressed as five splice variants (121, 145, 165, 189, and 206 aminoacids) encoded by a single gene. Although the three shorter isoforms are mainly diffusible, the two longer ones are sequestered in cell membranes after secretion. However, their potential role as true components of the extracellular matrix has not been investigated. We determined that endothelial cells could adhere and spread on VEGF189 and VEGF165, but not on VEGF121. Adhesion was mediated by the alpha3beta1 and alpha(v)beta3 integrins and other alpha(v) integrins but not by the cognate VEGF receptors. Cells migrated on VEGF165 and VEGF189 and displayed a stellate morphology with numerous lamellopodia and FAK staining but no actin stress fibers. Tumstatin, an antiangiogenic peptide that interacts with the alpha(v)beta3 integrin, could inhibit adhesion on VEGF, and this effect was potentiated by anti-alpha(v)beta3 blocking antibody. Immobilized VEGF almost totally abolished endothelial cell apoptosis through interactions with integrins. The inhibition of alpha(v)beta3 engagement with immobilized VEGF by tumstatin inhibited most of its survival activity. We have thus determined a new VEGF receptor-independent role for immobilized VEGF in supporting cell adhesion and survival through interactions with integrins.","author":[{"dropping-particle":"","family":"Hutchings","given":"Helen","non-dropping-particle":"","parse-names":false,"suffix":""},{"dropping-particle":"","family":"Ortega","given":"Nathalie","non-dropping-particle":"","parse-names":false,"suffix":""},{"dropping-particle":"","family":"Plouët","given":"Jean","non-dropping-particle":"","parse-names":false,"suffix":""}],"container-title":"The FASEB journal : official publication of the Federation of American Societies for Experimental Biology","id":"ITEM-1","issue":"11","issued":{"date-parts":[["2003"]]},"page":"1520-1522","title":"Extracellular matrix-bound vascular endothelial growth factor promotes endothelial cell adhesion, migration, and survival through integrin ligation.","type":"article-journal","volume":"17"},"uris":["http://www.mendeley.com/documents/?uuid=0670d8e5-46f7-48f5-a8ea-75d63648746b"]}],"mendeley":{"formattedCitation":"[32]","plainTextFormattedCitation":"[32]","previouslyFormattedCitation":"[32]"},"properties":{"noteIndex":0},"schema":"https://github.com/citation-style-language/schema/raw/master/csl-citation.json"}</w:instrText>
      </w:r>
      <w:r>
        <w:rPr>
          <w:rFonts w:ascii="Arial" w:hAnsi="Arial" w:cs="Arial"/>
          <w:sz w:val="22"/>
          <w:szCs w:val="22"/>
        </w:rPr>
        <w:fldChar w:fldCharType="separate"/>
      </w:r>
      <w:r w:rsidR="00285352" w:rsidRPr="00285352">
        <w:rPr>
          <w:rFonts w:ascii="Arial" w:hAnsi="Arial" w:cs="Arial"/>
          <w:noProof/>
          <w:sz w:val="22"/>
          <w:szCs w:val="22"/>
        </w:rPr>
        <w:t>[32]</w:t>
      </w:r>
      <w:r>
        <w:rPr>
          <w:rFonts w:ascii="Arial" w:hAnsi="Arial" w:cs="Arial"/>
          <w:sz w:val="22"/>
          <w:szCs w:val="22"/>
        </w:rPr>
        <w:fldChar w:fldCharType="end"/>
      </w:r>
      <w:r>
        <w:rPr>
          <w:rFonts w:ascii="Arial" w:hAnsi="Arial" w:cs="Arial"/>
          <w:sz w:val="22"/>
          <w:szCs w:val="22"/>
        </w:rPr>
        <w:t>. Nas condições do ensaio</w:t>
      </w:r>
      <w:r w:rsidR="00E851F6" w:rsidRPr="00786105">
        <w:rPr>
          <w:rFonts w:ascii="Arial" w:hAnsi="Arial" w:cs="Arial"/>
          <w:color w:val="auto"/>
          <w:sz w:val="22"/>
          <w:szCs w:val="22"/>
        </w:rPr>
        <w:t>,</w:t>
      </w:r>
      <w:r>
        <w:rPr>
          <w:rFonts w:ascii="Arial" w:hAnsi="Arial" w:cs="Arial"/>
          <w:sz w:val="22"/>
          <w:szCs w:val="22"/>
        </w:rPr>
        <w:t xml:space="preserve"> o EDTA promoveu 72% de inibição da adesão das células B16F10 em </w:t>
      </w:r>
      <w:r w:rsidRPr="00A75227">
        <w:rPr>
          <w:rFonts w:ascii="Arial" w:hAnsi="Arial" w:cs="Arial"/>
          <w:sz w:val="22"/>
          <w:szCs w:val="22"/>
        </w:rPr>
        <w:t xml:space="preserve">fibronectina, </w:t>
      </w:r>
      <w:r w:rsidR="00C7433E" w:rsidRPr="00A75227">
        <w:rPr>
          <w:rFonts w:ascii="Arial" w:hAnsi="Arial" w:cs="Arial"/>
          <w:sz w:val="22"/>
          <w:szCs w:val="22"/>
        </w:rPr>
        <w:t>isso</w:t>
      </w:r>
      <w:r w:rsidR="00C7433E" w:rsidRPr="009A405C">
        <w:rPr>
          <w:rFonts w:ascii="Arial" w:hAnsi="Arial" w:cs="Arial"/>
          <w:sz w:val="22"/>
          <w:szCs w:val="22"/>
        </w:rPr>
        <w:t xml:space="preserve"> ocorre </w:t>
      </w:r>
      <w:r w:rsidR="00532C40">
        <w:rPr>
          <w:rFonts w:ascii="Arial" w:hAnsi="Arial" w:cs="Arial"/>
          <w:sz w:val="22"/>
          <w:szCs w:val="22"/>
        </w:rPr>
        <w:t>pois</w:t>
      </w:r>
      <w:r w:rsidR="00C7433E" w:rsidRPr="009A405C">
        <w:rPr>
          <w:rFonts w:ascii="Arial" w:hAnsi="Arial" w:cs="Arial"/>
          <w:sz w:val="22"/>
          <w:szCs w:val="22"/>
        </w:rPr>
        <w:t xml:space="preserve"> o EDTA</w:t>
      </w:r>
      <w:r w:rsidR="00461809">
        <w:rPr>
          <w:rFonts w:ascii="Arial" w:hAnsi="Arial" w:cs="Arial"/>
          <w:sz w:val="22"/>
          <w:szCs w:val="22"/>
        </w:rPr>
        <w:t xml:space="preserve"> é um quelante de íons</w:t>
      </w:r>
      <w:r w:rsidR="006D5BE9">
        <w:rPr>
          <w:rFonts w:ascii="Arial" w:hAnsi="Arial" w:cs="Arial"/>
          <w:sz w:val="22"/>
          <w:szCs w:val="22"/>
        </w:rPr>
        <w:t xml:space="preserve"> </w:t>
      </w:r>
      <w:r w:rsidR="006D5BE9">
        <w:rPr>
          <w:rFonts w:ascii="Arial" w:hAnsi="Arial" w:cs="Arial"/>
          <w:sz w:val="22"/>
          <w:szCs w:val="22"/>
        </w:rPr>
        <w:fldChar w:fldCharType="begin" w:fldLock="1"/>
      </w:r>
      <w:r w:rsidR="00C35F03">
        <w:rPr>
          <w:rFonts w:ascii="Arial" w:hAnsi="Arial" w:cs="Arial"/>
          <w:sz w:val="22"/>
          <w:szCs w:val="22"/>
        </w:rPr>
        <w:instrText>ADDIN CSL_CITATION {"citationItems":[{"id":"ITEM-1","itemData":{"author":[{"dropping-particle":"","family":"Cord","given":"Mc","non-dropping-particle":"","parse-names":false,"suffix":""},{"dropping-particle":"","family":"Day","given":"","non-dropping-particle":"","parse-names":false,"suffix":""}],"container-title":"FEBS Letters","id":"ITEM-1","issue":"1","issued":{"date-parts":[["1978"]]},"page":"139-142","title":"Superoxide-Dependent Production of Hydroxyl By Iron-Edta Complex","type":"article-journal","volume":"86"},"uris":["http://www.mendeley.com/documents/?uuid=c5151c1c-010b-4b62-a7d0-2617e0fa27e0"]}],"mendeley":{"formattedCitation":"[33]","plainTextFormattedCitation":"[33]","previouslyFormattedCitation":"[33]"},"properties":{"noteIndex":0},"schema":"https://github.com/citation-style-language/schema/raw/master/csl-citation.json"}</w:instrText>
      </w:r>
      <w:r w:rsidR="006D5BE9">
        <w:rPr>
          <w:rFonts w:ascii="Arial" w:hAnsi="Arial" w:cs="Arial"/>
          <w:sz w:val="22"/>
          <w:szCs w:val="22"/>
        </w:rPr>
        <w:fldChar w:fldCharType="separate"/>
      </w:r>
      <w:r w:rsidR="00285352" w:rsidRPr="00285352">
        <w:rPr>
          <w:rFonts w:ascii="Arial" w:hAnsi="Arial" w:cs="Arial"/>
          <w:noProof/>
          <w:sz w:val="22"/>
          <w:szCs w:val="22"/>
        </w:rPr>
        <w:t>[33]</w:t>
      </w:r>
      <w:r w:rsidR="006D5BE9">
        <w:rPr>
          <w:rFonts w:ascii="Arial" w:hAnsi="Arial" w:cs="Arial"/>
          <w:sz w:val="22"/>
          <w:szCs w:val="22"/>
        </w:rPr>
        <w:fldChar w:fldCharType="end"/>
      </w:r>
      <w:r w:rsidR="00532C40">
        <w:rPr>
          <w:rFonts w:ascii="Arial" w:hAnsi="Arial" w:cs="Arial"/>
          <w:sz w:val="22"/>
          <w:szCs w:val="22"/>
        </w:rPr>
        <w:t>,</w:t>
      </w:r>
      <w:r w:rsidR="00461809">
        <w:rPr>
          <w:rFonts w:ascii="Arial" w:hAnsi="Arial" w:cs="Arial"/>
          <w:sz w:val="22"/>
          <w:szCs w:val="22"/>
        </w:rPr>
        <w:t xml:space="preserve"> sendo assim ele seria capaz de sequestrar os íons da região MIDAS da</w:t>
      </w:r>
      <w:r w:rsidR="00532C40" w:rsidRPr="009A405C">
        <w:rPr>
          <w:rFonts w:ascii="Arial" w:hAnsi="Arial" w:cs="Arial"/>
          <w:sz w:val="22"/>
          <w:szCs w:val="22"/>
        </w:rPr>
        <w:t>s integrinas</w:t>
      </w:r>
      <w:r w:rsidR="006D5BE9">
        <w:rPr>
          <w:rFonts w:ascii="Arial" w:hAnsi="Arial" w:cs="Arial"/>
          <w:sz w:val="22"/>
          <w:szCs w:val="22"/>
        </w:rPr>
        <w:t xml:space="preserve"> </w:t>
      </w:r>
      <w:r w:rsidR="006D5BE9">
        <w:rPr>
          <w:rFonts w:ascii="Arial" w:hAnsi="Arial" w:cs="Arial"/>
          <w:sz w:val="22"/>
          <w:szCs w:val="22"/>
        </w:rPr>
        <w:fldChar w:fldCharType="begin" w:fldLock="1"/>
      </w:r>
      <w:r w:rsidR="00C35F03">
        <w:rPr>
          <w:rFonts w:ascii="Arial" w:hAnsi="Arial" w:cs="Arial"/>
          <w:sz w:val="22"/>
          <w:szCs w:val="22"/>
        </w:rPr>
        <w:instrText>ADDIN CSL_CITATION {"citationItems":[{"id":"ITEM-1","itemData":{"DOI":"10.1126/science.1064535","ISSN":"00368075","PMID":"11546839","abstract":"Integrins are alphabeta heterodimeric receptors that mediate divalent cation-dependent cell-cell and cell-matrix adhesion through tightly regulated interactions with ligands. We have solved the crystal structure of the extracellular portion of integrin alphaVbeta3 at 3.1 A resolution. Its 12 domains assemble into an ovoid \"head\" and two \"tails.\" In the crystal, alphaVbeta3 is severely bent at a defined region in its tails, reflecting an unusual flexibility that may be linked to integrin regulation. The main inter-subunit interface lies within the head, between a seven-bladed beta-propeller from alphaV and an A domain from beta3, and bears a striking resemblance to the Galpha/Gbeta interface in G proteins. A metal ion-dependent adhesion site (MIDAS) in the betaA domain is positioned to participate in a ligand-binding interface formed of loops from the propeller and betaA domains. MIDAS lies adjacent to a calcium-binding site with a potential regulatory function.","author":[{"dropping-particle":"","family":"Xiong","given":"J.-P.","non-dropping-particle":"","parse-names":false,"suffix":""}],"container-title":"Science","id":"ITEM-1","issue":"5541","issued":{"date-parts":[["2001"]]},"page":"339-345","title":"Crystal Structure of the Extracellular Segment of Integrin alpha Vbeta 3","type":"article-journal","volume":"294"},"uris":["http://www.mendeley.com/documents/?uuid=238c8af4-5873-4ded-bd96-947c77b3aac5"]},{"id":"ITEM-2","itemData":{"DOI":"10.1074/jbc.M111.277699","ISSN":"00219258","abstract":"Several lines of evidence suggest that HAb18G/CD147 interacts with the integrin variants α3β1 and α6β1. However, the mechanism of the interaction remains largely unknown. In this study, mammalian protein-protein interaction trap (MAPPIT), a mammalian two-hybrid method, was used to study the CD147-integrin β1 subunit interaction. CD147 in human hepatocellular carcinoma (HCC) cells was interfered with by small hairpin RNA. Nude mouse xenograft model and metastatic model of HCC were used to detect the role of CD147 in carcinogenesis and metastasis. We found that the extracellular membrane-proximal domain of HAb18G/CD147 (I-type domain) binds at the metal ion-dependent adhesion site in the βA domain of the integrin β1 subunit, and Asp(179) in the I-type domain of HAb18G/CD147 plays an important role in the interaction. The levels of the proteins that act downstream of integrin, including focal adhesion kinase (FAK) and phospho-FAK, were decreased, and the cytoskeletal structures of HCC cells were rearranged bearing the HAb18G/CD147 deletion. Simultaneously, the migration and invasion capacities, secretion of matrix metalloproteinases, colony formation rate in vitro, and tumor growth and metastatic potential in vivo were decreased. These results indicate that the interaction of HAb18G/CD147 extracellular I-type domain with the integrin β1 metal ion-dependent adhesion site motif activates the downstream FAK signaling pathway, subsequently enhancing the malignant properties of HCC cells.","author":[{"dropping-particle":"","family":"Li","given":"Yong","non-dropping-particle":"","parse-names":false,"suffix":""},{"dropping-particle":"","family":"Wu","given":"Jiao","non-dropping-particle":"","parse-names":false,"suffix":""},{"dropping-particle":"","family":"Song","given":"Fei","non-dropping-particle":"","parse-names":false,"suffix":""},{"dropping-particle":"","family":"Tang","given":"Juan","non-dropping-particle":"","parse-names":false,"suffix":""},{"dropping-particle":"","family":"Wang","given":"Shi Jie","non-dropping-particle":"","parse-names":false,"suffix":""},{"dropping-particle":"","family":"Yu","given":"Xiao Ling","non-dropping-particle":"","parse-names":false,"suffix":""},{"dropping-particle":"","family":"Chen","given":"Zhi Nan","non-dropping-particle":"","parse-names":false,"suffix":""},{"dropping-particle":"","family":"Jiang","given":"Jian Li","non-dropping-particle":"","parse-names":false,"suffix":""}],"container-title":"Journal of Biological Chemistry","id":"ITEM-2","issue":"7","issued":{"date-parts":[["2012"]]},"page":"4759-4772","title":"Extracellular membrane-proximal domain of HAb18G/CD147 binds to metal ion-dependent adhesion site (MIDAS) motif of integrin β1 to modulate malignant properties of hepatoma cells","type":"article-journal","volume":"287"},"uris":["http://www.mendeley.com/documents/?uuid=1edbe866-6417-4726-9d65-ef640b160049"]}],"mendeley":{"formattedCitation":"[34,35]","plainTextFormattedCitation":"[34,35]","previouslyFormattedCitation":"[34,35]"},"properties":{"noteIndex":0},"schema":"https://github.com/citation-style-language/schema/raw/master/csl-citation.json"}</w:instrText>
      </w:r>
      <w:r w:rsidR="006D5BE9">
        <w:rPr>
          <w:rFonts w:ascii="Arial" w:hAnsi="Arial" w:cs="Arial"/>
          <w:sz w:val="22"/>
          <w:szCs w:val="22"/>
        </w:rPr>
        <w:fldChar w:fldCharType="separate"/>
      </w:r>
      <w:r w:rsidR="00285352" w:rsidRPr="00285352">
        <w:rPr>
          <w:rFonts w:ascii="Arial" w:hAnsi="Arial" w:cs="Arial"/>
          <w:noProof/>
          <w:sz w:val="22"/>
          <w:szCs w:val="22"/>
        </w:rPr>
        <w:t>[34,35]</w:t>
      </w:r>
      <w:r w:rsidR="006D5BE9">
        <w:rPr>
          <w:rFonts w:ascii="Arial" w:hAnsi="Arial" w:cs="Arial"/>
          <w:sz w:val="22"/>
          <w:szCs w:val="22"/>
        </w:rPr>
        <w:fldChar w:fldCharType="end"/>
      </w:r>
      <w:r w:rsidR="00461809">
        <w:rPr>
          <w:rFonts w:ascii="Arial" w:hAnsi="Arial" w:cs="Arial"/>
          <w:sz w:val="22"/>
          <w:szCs w:val="22"/>
        </w:rPr>
        <w:t xml:space="preserve">. </w:t>
      </w:r>
      <w:r w:rsidR="00A74057">
        <w:rPr>
          <w:rFonts w:ascii="Arial" w:hAnsi="Arial" w:cs="Arial"/>
          <w:sz w:val="22"/>
          <w:szCs w:val="22"/>
        </w:rPr>
        <w:t xml:space="preserve">Como a </w:t>
      </w:r>
      <w:r w:rsidR="00A74057" w:rsidRPr="00A75227">
        <w:rPr>
          <w:rFonts w:ascii="Arial" w:hAnsi="Arial" w:cs="Arial"/>
          <w:sz w:val="22"/>
          <w:szCs w:val="22"/>
        </w:rPr>
        <w:t>interação</w:t>
      </w:r>
      <w:r w:rsidR="00A74057">
        <w:rPr>
          <w:rFonts w:ascii="Arial" w:hAnsi="Arial" w:cs="Arial"/>
          <w:sz w:val="22"/>
          <w:szCs w:val="22"/>
        </w:rPr>
        <w:t xml:space="preserve"> entre integrinas e proteínas da matriz </w:t>
      </w:r>
      <w:r w:rsidR="00532C40" w:rsidRPr="00A75227">
        <w:rPr>
          <w:rFonts w:ascii="Arial" w:hAnsi="Arial" w:cs="Arial"/>
          <w:sz w:val="22"/>
          <w:szCs w:val="22"/>
        </w:rPr>
        <w:t>possu</w:t>
      </w:r>
      <w:r w:rsidR="00A74057" w:rsidRPr="00A75227">
        <w:rPr>
          <w:rFonts w:ascii="Arial" w:hAnsi="Arial" w:cs="Arial"/>
          <w:sz w:val="22"/>
          <w:szCs w:val="22"/>
        </w:rPr>
        <w:t>em</w:t>
      </w:r>
      <w:r w:rsidR="00C7433E" w:rsidRPr="00A75227">
        <w:rPr>
          <w:rFonts w:ascii="Arial" w:hAnsi="Arial" w:cs="Arial"/>
          <w:sz w:val="22"/>
          <w:szCs w:val="22"/>
        </w:rPr>
        <w:t xml:space="preserve"> interações</w:t>
      </w:r>
      <w:r w:rsidR="00C7433E" w:rsidRPr="009A405C">
        <w:rPr>
          <w:rFonts w:ascii="Arial" w:hAnsi="Arial" w:cs="Arial"/>
          <w:sz w:val="22"/>
          <w:szCs w:val="22"/>
        </w:rPr>
        <w:t xml:space="preserve"> dependentes de íons bivalentes</w:t>
      </w:r>
      <w:r w:rsidR="00E851F6">
        <w:rPr>
          <w:rFonts w:ascii="Arial" w:hAnsi="Arial" w:cs="Arial"/>
          <w:color w:val="FF0000"/>
          <w:sz w:val="22"/>
          <w:szCs w:val="22"/>
        </w:rPr>
        <w:t>,</w:t>
      </w:r>
      <w:r w:rsidR="00C7433E" w:rsidRPr="009A405C">
        <w:rPr>
          <w:rFonts w:ascii="Arial" w:hAnsi="Arial" w:cs="Arial"/>
          <w:sz w:val="22"/>
          <w:szCs w:val="22"/>
        </w:rPr>
        <w:t xml:space="preserve"> os 28% de adesão celular </w:t>
      </w:r>
      <w:r w:rsidR="00532C40">
        <w:rPr>
          <w:rFonts w:ascii="Arial" w:hAnsi="Arial" w:cs="Arial"/>
          <w:sz w:val="22"/>
          <w:szCs w:val="22"/>
        </w:rPr>
        <w:t xml:space="preserve">que permaneceram após a adição de EDTA </w:t>
      </w:r>
      <w:r w:rsidR="00C7433E" w:rsidRPr="009A405C">
        <w:rPr>
          <w:rFonts w:ascii="Arial" w:hAnsi="Arial" w:cs="Arial"/>
          <w:sz w:val="22"/>
          <w:szCs w:val="22"/>
        </w:rPr>
        <w:t>foram mediados por interações com outras moléculas de adesão</w:t>
      </w:r>
      <w:r w:rsidR="00532C40">
        <w:rPr>
          <w:rFonts w:ascii="Arial" w:hAnsi="Arial" w:cs="Arial"/>
          <w:sz w:val="22"/>
          <w:szCs w:val="22"/>
        </w:rPr>
        <w:t xml:space="preserve"> que não as integrinas</w:t>
      </w:r>
      <w:r w:rsidR="00C7433E" w:rsidRPr="009A405C">
        <w:rPr>
          <w:rFonts w:ascii="Arial" w:hAnsi="Arial" w:cs="Arial"/>
          <w:sz w:val="22"/>
          <w:szCs w:val="22"/>
        </w:rPr>
        <w:t xml:space="preserve">. </w:t>
      </w:r>
      <w:r w:rsidR="00073D78" w:rsidRPr="009A405C">
        <w:rPr>
          <w:rFonts w:ascii="Arial" w:hAnsi="Arial" w:cs="Arial"/>
          <w:sz w:val="22"/>
          <w:szCs w:val="22"/>
        </w:rPr>
        <w:t>Podemos então afirmar que as</w:t>
      </w:r>
      <w:r w:rsidR="00C7433E" w:rsidRPr="009A405C">
        <w:rPr>
          <w:rFonts w:ascii="Arial" w:hAnsi="Arial" w:cs="Arial"/>
          <w:sz w:val="22"/>
          <w:szCs w:val="22"/>
        </w:rPr>
        <w:t xml:space="preserve"> integrinas foram responsáveis por aproximadamente 70% das interações da linhagem B16F10 com as moléculas da matriz extracelular de fibronectina.</w:t>
      </w:r>
    </w:p>
    <w:p w14:paraId="35CD9F47" w14:textId="7CCC7F7C" w:rsidR="00C7433E" w:rsidRPr="003F46CD" w:rsidRDefault="00693A3C" w:rsidP="003F46CD">
      <w:pPr>
        <w:ind w:firstLine="0"/>
        <w:jc w:val="center"/>
      </w:pPr>
      <w:r>
        <w:rPr>
          <w:noProof/>
          <w:lang w:eastAsia="pt-BR"/>
        </w:rPr>
        <w:drawing>
          <wp:inline distT="0" distB="0" distL="0" distR="0" wp14:anchorId="4C43AE5C" wp14:editId="277EBBCE">
            <wp:extent cx="4200014" cy="3272988"/>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esão edta.png"/>
                    <pic:cNvPicPr/>
                  </pic:nvPicPr>
                  <pic:blipFill>
                    <a:blip r:embed="rId8">
                      <a:extLst>
                        <a:ext uri="{28A0092B-C50C-407E-A947-70E740481C1C}">
                          <a14:useLocalDpi xmlns:a14="http://schemas.microsoft.com/office/drawing/2010/main" val="0"/>
                        </a:ext>
                      </a:extLst>
                    </a:blip>
                    <a:stretch>
                      <a:fillRect/>
                    </a:stretch>
                  </pic:blipFill>
                  <pic:spPr>
                    <a:xfrm>
                      <a:off x="0" y="0"/>
                      <a:ext cx="4203461" cy="3275674"/>
                    </a:xfrm>
                    <a:prstGeom prst="rect">
                      <a:avLst/>
                    </a:prstGeom>
                  </pic:spPr>
                </pic:pic>
              </a:graphicData>
            </a:graphic>
          </wp:inline>
        </w:drawing>
      </w:r>
    </w:p>
    <w:p w14:paraId="2C642F1A" w14:textId="5C9DCAE1" w:rsidR="00137754" w:rsidRDefault="00C7433E" w:rsidP="003F46CD">
      <w:pPr>
        <w:ind w:firstLine="0"/>
        <w:rPr>
          <w:rFonts w:ascii="Arial" w:hAnsi="Arial" w:cs="Arial"/>
          <w:sz w:val="20"/>
          <w:szCs w:val="20"/>
        </w:rPr>
      </w:pPr>
      <w:r w:rsidRPr="003F46CD">
        <w:rPr>
          <w:rFonts w:ascii="Arial" w:hAnsi="Arial" w:cs="Arial"/>
          <w:b/>
          <w:sz w:val="20"/>
          <w:szCs w:val="20"/>
        </w:rPr>
        <w:t xml:space="preserve">Figura </w:t>
      </w:r>
      <w:r w:rsidR="007A58F4" w:rsidRPr="003F46CD">
        <w:rPr>
          <w:rFonts w:ascii="Arial" w:hAnsi="Arial" w:cs="Arial"/>
          <w:b/>
          <w:sz w:val="20"/>
          <w:szCs w:val="20"/>
        </w:rPr>
        <w:t>2</w:t>
      </w:r>
      <w:r w:rsidRPr="003F46CD">
        <w:rPr>
          <w:rFonts w:ascii="Arial" w:hAnsi="Arial" w:cs="Arial"/>
          <w:b/>
          <w:sz w:val="20"/>
          <w:szCs w:val="20"/>
        </w:rPr>
        <w:t xml:space="preserve">: </w:t>
      </w:r>
      <w:r w:rsidRPr="003F46CD">
        <w:rPr>
          <w:rFonts w:ascii="Arial" w:hAnsi="Arial" w:cs="Arial"/>
          <w:sz w:val="20"/>
          <w:szCs w:val="20"/>
        </w:rPr>
        <w:t xml:space="preserve">Ação inibitória do peptídeo A9s na adesão celular da linhagem B16F10 ao substrato fibronectina. Ensaio de adesão celular utilizando o peptídeo A9s em </w:t>
      </w:r>
      <w:r w:rsidR="0015082D" w:rsidRPr="00A74057">
        <w:rPr>
          <w:rFonts w:ascii="Arial" w:hAnsi="Arial" w:cs="Arial"/>
          <w:color w:val="auto"/>
          <w:sz w:val="20"/>
          <w:szCs w:val="20"/>
        </w:rPr>
        <w:t>diferentes concentrações</w:t>
      </w:r>
      <w:r w:rsidRPr="00A74057">
        <w:rPr>
          <w:rFonts w:ascii="Arial" w:hAnsi="Arial" w:cs="Arial"/>
          <w:color w:val="auto"/>
          <w:sz w:val="20"/>
          <w:szCs w:val="20"/>
        </w:rPr>
        <w:t>.</w:t>
      </w:r>
      <w:r w:rsidRPr="003F46CD">
        <w:rPr>
          <w:rFonts w:ascii="Arial" w:hAnsi="Arial" w:cs="Arial"/>
          <w:sz w:val="20"/>
          <w:szCs w:val="20"/>
        </w:rPr>
        <w:t xml:space="preserve"> Cada valor representa a média ± desvio padrão de três experimentos diferentes que foram realizados em octoplicata. </w:t>
      </w:r>
      <w:r w:rsidRPr="00D1108E">
        <w:rPr>
          <w:rFonts w:ascii="Arial" w:hAnsi="Arial" w:cs="Arial"/>
          <w:sz w:val="20"/>
          <w:szCs w:val="20"/>
        </w:rPr>
        <w:t>O ***</w:t>
      </w:r>
      <w:r w:rsidR="00D1108E" w:rsidRPr="00D1108E">
        <w:rPr>
          <w:rFonts w:ascii="Arial" w:hAnsi="Arial" w:cs="Arial"/>
          <w:sz w:val="20"/>
          <w:szCs w:val="20"/>
        </w:rPr>
        <w:t xml:space="preserve"> indica </w:t>
      </w:r>
      <w:r w:rsidRPr="00D1108E">
        <w:rPr>
          <w:rFonts w:ascii="Arial" w:hAnsi="Arial" w:cs="Arial"/>
          <w:sz w:val="20"/>
          <w:szCs w:val="20"/>
        </w:rPr>
        <w:t xml:space="preserve">p &lt;0,001 </w:t>
      </w:r>
      <w:r w:rsidR="00D1108E" w:rsidRPr="00D1108E">
        <w:rPr>
          <w:rFonts w:ascii="Arial" w:hAnsi="Arial" w:cs="Arial"/>
          <w:sz w:val="20"/>
          <w:szCs w:val="20"/>
        </w:rPr>
        <w:t>e está</w:t>
      </w:r>
      <w:r w:rsidRPr="00D1108E">
        <w:rPr>
          <w:rFonts w:ascii="Arial" w:hAnsi="Arial" w:cs="Arial"/>
          <w:sz w:val="20"/>
          <w:szCs w:val="20"/>
        </w:rPr>
        <w:t xml:space="preserve"> rela</w:t>
      </w:r>
      <w:r w:rsidR="00D1108E" w:rsidRPr="00D1108E">
        <w:rPr>
          <w:rFonts w:ascii="Arial" w:hAnsi="Arial" w:cs="Arial"/>
          <w:sz w:val="20"/>
          <w:szCs w:val="20"/>
        </w:rPr>
        <w:t>cionado</w:t>
      </w:r>
      <w:r w:rsidRPr="00D1108E">
        <w:rPr>
          <w:rFonts w:ascii="Arial" w:hAnsi="Arial" w:cs="Arial"/>
          <w:sz w:val="20"/>
          <w:szCs w:val="20"/>
        </w:rPr>
        <w:t xml:space="preserve"> ao controle.</w:t>
      </w:r>
      <w:bookmarkStart w:id="7" w:name="_Toc478569551"/>
    </w:p>
    <w:bookmarkEnd w:id="7"/>
    <w:p w14:paraId="32446F4A" w14:textId="77777777" w:rsidR="00A74057" w:rsidRDefault="00A74057" w:rsidP="00D17220">
      <w:pPr>
        <w:spacing w:line="360" w:lineRule="auto"/>
        <w:rPr>
          <w:rStyle w:val="Refdecomentrio"/>
        </w:rPr>
      </w:pPr>
    </w:p>
    <w:p w14:paraId="6A666DAA" w14:textId="541A870A" w:rsidR="005A756A" w:rsidRDefault="005A756A" w:rsidP="005A756A">
      <w:pPr>
        <w:spacing w:line="360" w:lineRule="auto"/>
        <w:rPr>
          <w:rFonts w:ascii="Arial" w:hAnsi="Arial" w:cs="Arial"/>
          <w:sz w:val="22"/>
          <w:szCs w:val="22"/>
        </w:rPr>
      </w:pPr>
      <w:r>
        <w:rPr>
          <w:rFonts w:ascii="Arial" w:hAnsi="Arial" w:cs="Arial"/>
          <w:sz w:val="22"/>
          <w:szCs w:val="22"/>
        </w:rPr>
        <w:t xml:space="preserve"> </w:t>
      </w:r>
      <w:r w:rsidR="006D5BE9">
        <w:rPr>
          <w:rFonts w:ascii="Arial" w:hAnsi="Arial" w:cs="Arial"/>
          <w:sz w:val="22"/>
          <w:szCs w:val="22"/>
        </w:rPr>
        <w:t xml:space="preserve">As células que continuaram aderidas </w:t>
      </w:r>
      <w:r w:rsidR="006D5BE9" w:rsidRPr="006D5BE9">
        <w:rPr>
          <w:rFonts w:ascii="Arial" w:hAnsi="Arial" w:cs="Arial"/>
          <w:sz w:val="22"/>
          <w:szCs w:val="22"/>
        </w:rPr>
        <w:t xml:space="preserve">na presença de EDTA </w:t>
      </w:r>
      <w:r w:rsidR="006D5BE9">
        <w:rPr>
          <w:rFonts w:ascii="Arial" w:hAnsi="Arial" w:cs="Arial"/>
          <w:sz w:val="22"/>
          <w:szCs w:val="22"/>
        </w:rPr>
        <w:t>50</w:t>
      </w:r>
      <w:r w:rsidR="00786105">
        <w:rPr>
          <w:rFonts w:ascii="Arial" w:hAnsi="Arial" w:cs="Arial"/>
          <w:sz w:val="22"/>
          <w:szCs w:val="22"/>
        </w:rPr>
        <w:t xml:space="preserve"> </w:t>
      </w:r>
      <w:r w:rsidR="006D5BE9" w:rsidRPr="006D5BE9">
        <w:rPr>
          <w:rFonts w:ascii="Arial" w:hAnsi="Arial" w:cs="Arial"/>
          <w:sz w:val="22"/>
          <w:szCs w:val="22"/>
        </w:rPr>
        <w:t>mM pode</w:t>
      </w:r>
      <w:r w:rsidR="006D5BE9">
        <w:rPr>
          <w:rFonts w:ascii="Arial" w:hAnsi="Arial" w:cs="Arial"/>
          <w:sz w:val="22"/>
          <w:szCs w:val="22"/>
        </w:rPr>
        <w:t>m ter sua adesão</w:t>
      </w:r>
      <w:r w:rsidR="006D5BE9" w:rsidRPr="006D5BE9">
        <w:rPr>
          <w:rFonts w:ascii="Arial" w:hAnsi="Arial" w:cs="Arial"/>
          <w:sz w:val="22"/>
          <w:szCs w:val="22"/>
        </w:rPr>
        <w:t xml:space="preserve"> atribuída </w:t>
      </w:r>
      <w:r w:rsidR="006D5BE9">
        <w:rPr>
          <w:rFonts w:ascii="Arial" w:hAnsi="Arial" w:cs="Arial"/>
          <w:sz w:val="22"/>
          <w:szCs w:val="22"/>
        </w:rPr>
        <w:t>à</w:t>
      </w:r>
      <w:r w:rsidR="006D5BE9" w:rsidRPr="006D5BE9">
        <w:rPr>
          <w:rFonts w:ascii="Arial" w:hAnsi="Arial" w:cs="Arial"/>
          <w:sz w:val="22"/>
          <w:szCs w:val="22"/>
        </w:rPr>
        <w:t xml:space="preserve"> interações independentes de cátions bivalentes</w:t>
      </w:r>
      <w:r w:rsidR="006D5BE9">
        <w:rPr>
          <w:rFonts w:ascii="Arial" w:hAnsi="Arial" w:cs="Arial"/>
          <w:sz w:val="22"/>
          <w:szCs w:val="22"/>
        </w:rPr>
        <w:t xml:space="preserve"> </w:t>
      </w:r>
      <w:r w:rsidR="006D5BE9">
        <w:rPr>
          <w:rFonts w:ascii="Arial" w:hAnsi="Arial" w:cs="Arial"/>
          <w:sz w:val="22"/>
          <w:szCs w:val="22"/>
        </w:rPr>
        <w:fldChar w:fldCharType="begin" w:fldLock="1"/>
      </w:r>
      <w:r w:rsidR="00C35F03">
        <w:rPr>
          <w:rFonts w:ascii="Arial" w:hAnsi="Arial" w:cs="Arial"/>
          <w:sz w:val="22"/>
          <w:szCs w:val="22"/>
        </w:rPr>
        <w:instrText>ADDIN CSL_CITATION {"citationItems":[{"id":"ITEM-1","itemData":{"DOI":"10.1016/0092-8674(87)90233-9","ISBN":"0092-8674 (Print)\\r0092-8674 (Linking)","ISSN":"00928674","PMID":"3028640","abstract":"Integrins are a family of cell adhesion molecules (CAM's) that mediate the communication between the intracellular and the extracellular compartments. The growing interest in CAM's is due to the essential role they play in cell-cell and cell-matrix recognition processes. These receptors are formed by a non-covalently associated glycoprotein complex of two distinct polypeptide chains, called, alpha and beta. The association of different subunits results in the formation of, at least, 16 different integrins that provide cells with a great versatility in their adhesion properties. An integrin molecule comprises a cytoplasmic domain that interacts with the cytoskeleton, a transmembranous domain and an extracellular domain that binds to one or more ligands. beta 1, beta 2 and beta 3, are the best characterized integrin subfamilies; they are expressed, in different amounts, in epithelial and endothelial cells, leukocytes, fibroblasts and platelets. b1 integrins are essentially involved in cell-extracellular matrix interactions and beta 2 subfamily in leukocyte-leukocyte and leukocyte-endothelial cell communications. The integrin subfamily beta 3 mediates the adhesion of platelets with fibrinogen and other ligands. During embryonic development, integrins in association with other CAM's, play an essential role in cell migration and morphogenesis. Moreover, in processes like inflammation, wound healing and thrombosis, integrins and other CAM's mediate the interactions among the injured tissue and circulating cells. In two genetic diseases like the leukocyte adhesion deficiency and the Glanzmann's thrombasthenia an impairment in leukocyte-endothelial cell interactions and platelet aggregation is detected, due to deficiencies or abnormalities in beta 2 or beta 3 integrin subfamilies, respectively.","author":[{"dropping-particle":"","family":"Hynes","given":"Richard O.","non-dropping-particle":"","parse-names":false,"suffix":""}],"container-title":"Cell","id":"ITEM-1","issue":"4","issued":{"date-parts":[["1987"]]},"page":"549-554","title":"Integrins: A family of cell surface receptors","type":"article-journal","volume":"48"},"uris":["http://www.mendeley.com/documents/?uuid=18c63f67-b7bb-485c-9be3-7bee24a4bfcf"]}],"mendeley":{"formattedCitation":"[36]","plainTextFormattedCitation":"[36]","previouslyFormattedCitation":"[36]"},"properties":{"noteIndex":0},"schema":"https://github.com/citation-style-language/schema/raw/master/csl-citation.json"}</w:instrText>
      </w:r>
      <w:r w:rsidR="006D5BE9">
        <w:rPr>
          <w:rFonts w:ascii="Arial" w:hAnsi="Arial" w:cs="Arial"/>
          <w:sz w:val="22"/>
          <w:szCs w:val="22"/>
        </w:rPr>
        <w:fldChar w:fldCharType="separate"/>
      </w:r>
      <w:r w:rsidR="00285352" w:rsidRPr="00285352">
        <w:rPr>
          <w:rFonts w:ascii="Arial" w:hAnsi="Arial" w:cs="Arial"/>
          <w:noProof/>
          <w:sz w:val="22"/>
          <w:szCs w:val="22"/>
        </w:rPr>
        <w:t>[36]</w:t>
      </w:r>
      <w:r w:rsidR="006D5BE9">
        <w:rPr>
          <w:rFonts w:ascii="Arial" w:hAnsi="Arial" w:cs="Arial"/>
          <w:sz w:val="22"/>
          <w:szCs w:val="22"/>
        </w:rPr>
        <w:fldChar w:fldCharType="end"/>
      </w:r>
      <w:r w:rsidR="006D5BE9" w:rsidRPr="006D5BE9">
        <w:rPr>
          <w:rFonts w:ascii="Arial" w:hAnsi="Arial" w:cs="Arial"/>
          <w:sz w:val="22"/>
          <w:szCs w:val="22"/>
        </w:rPr>
        <w:t>. Desta forma, o nível basal de adesão celular de 28% detectado na presença de EDTA</w:t>
      </w:r>
      <w:r w:rsidR="006D5BE9">
        <w:rPr>
          <w:rFonts w:ascii="Arial" w:hAnsi="Arial" w:cs="Arial"/>
          <w:sz w:val="22"/>
          <w:szCs w:val="22"/>
        </w:rPr>
        <w:t xml:space="preserve"> </w:t>
      </w:r>
      <w:r w:rsidR="006D5BE9" w:rsidRPr="006D5BE9">
        <w:rPr>
          <w:rFonts w:ascii="Arial" w:hAnsi="Arial" w:cs="Arial"/>
          <w:sz w:val="22"/>
          <w:szCs w:val="22"/>
        </w:rPr>
        <w:t xml:space="preserve">foi subtraído de todos os demais dados detectados de adesão celular. Os dados obtidos </w:t>
      </w:r>
      <w:r w:rsidR="006D5BE9" w:rsidRPr="006D5BE9">
        <w:rPr>
          <w:rFonts w:ascii="Arial" w:hAnsi="Arial" w:cs="Arial"/>
          <w:sz w:val="22"/>
          <w:szCs w:val="22"/>
        </w:rPr>
        <w:lastRenderedPageBreak/>
        <w:t xml:space="preserve">são mostrados na Figura 3 e foram ajustados a um modelo </w:t>
      </w:r>
      <w:r w:rsidR="006D5BE9">
        <w:rPr>
          <w:rFonts w:ascii="Arial" w:hAnsi="Arial" w:cs="Arial"/>
          <w:sz w:val="22"/>
          <w:szCs w:val="22"/>
        </w:rPr>
        <w:t xml:space="preserve">de curva de regressão </w:t>
      </w:r>
      <w:r w:rsidR="006D5BE9" w:rsidRPr="006D5BE9">
        <w:rPr>
          <w:rFonts w:ascii="Arial" w:hAnsi="Arial" w:cs="Arial"/>
          <w:sz w:val="22"/>
          <w:szCs w:val="22"/>
        </w:rPr>
        <w:t xml:space="preserve">não linear </w:t>
      </w:r>
      <w:r w:rsidR="006D5BE9">
        <w:rPr>
          <w:rFonts w:ascii="Arial" w:hAnsi="Arial" w:cs="Arial"/>
          <w:sz w:val="22"/>
          <w:szCs w:val="22"/>
        </w:rPr>
        <w:t>para calcular IC</w:t>
      </w:r>
      <w:r w:rsidR="006D5BE9" w:rsidRPr="00540EB4">
        <w:rPr>
          <w:rFonts w:ascii="Arial" w:hAnsi="Arial" w:cs="Arial"/>
          <w:sz w:val="22"/>
          <w:szCs w:val="22"/>
          <w:vertAlign w:val="subscript"/>
        </w:rPr>
        <w:t>50</w:t>
      </w:r>
      <w:r w:rsidR="006D5BE9">
        <w:rPr>
          <w:rFonts w:ascii="Arial" w:hAnsi="Arial" w:cs="Arial"/>
          <w:sz w:val="22"/>
          <w:szCs w:val="22"/>
        </w:rPr>
        <w:t xml:space="preserve"> </w:t>
      </w:r>
      <w:r w:rsidR="006D5BE9" w:rsidRPr="006D5BE9">
        <w:rPr>
          <w:rFonts w:ascii="Arial" w:hAnsi="Arial" w:cs="Arial"/>
          <w:sz w:val="22"/>
          <w:szCs w:val="22"/>
        </w:rPr>
        <w:t>de acordo com</w:t>
      </w:r>
      <w:r>
        <w:rPr>
          <w:rFonts w:ascii="Arial" w:hAnsi="Arial" w:cs="Arial"/>
          <w:sz w:val="22"/>
          <w:szCs w:val="22"/>
        </w:rPr>
        <w:t xml:space="preserve"> </w:t>
      </w:r>
      <w:r>
        <w:rPr>
          <w:rFonts w:ascii="Arial" w:hAnsi="Arial" w:cs="Arial"/>
          <w:sz w:val="22"/>
          <w:szCs w:val="22"/>
        </w:rPr>
        <w:fldChar w:fldCharType="begin" w:fldLock="1"/>
      </w:r>
      <w:r w:rsidR="00C35F03">
        <w:rPr>
          <w:rFonts w:ascii="Arial" w:hAnsi="Arial" w:cs="Arial"/>
          <w:sz w:val="22"/>
          <w:szCs w:val="22"/>
        </w:rPr>
        <w:instrText>ADDIN CSL_CITATION {"citationItems":[{"id":"ITEM-1","itemData":{"DOI":"10.1016/j.cct.2008.05.009","ISSN":"15517144","abstract":"We present statistical details for estimating an in vitro 50% inhibitory concentration (IC 50 ), based on several models for continuous response data fit to bone-marrow endothelial cell lines replicated in vehicle and at several dose increments. Nonlinear models are fit via maximum likelihood assuming normal errors, and primary attention is given to exponential, Gompertz, and scaled logistic dose-response curves that admit increasing or decreasing monotonic and sigmoidal patterns. Careful consideration is given to dose axis scaling, comparative model fit via mean squared error and graphical assessment, analogues to weighted least squares analysis to address heterogeneity of variance across doses, and potential hormetic effects. Standard error estimation is discussed in detail, highlighting the advantage of reparameterizing dose-response models directly in terms of IC 50 . Specific results for two cell lines are provided, along with a sample commercial software-based program for implementing a selection of the methods discussed. © 2008 Elsevier Inc. All rights reserved.","author":[{"dropping-particle":"","family":"Lyles","given":"Robert H.","non-dropping-particle":"","parse-names":false,"suffix":""},{"dropping-particle":"","family":"Poindexter","given":"Cliff","non-dropping-particle":"","parse-names":false,"suffix":""},{"dropping-particle":"","family":"Evans","given":"Angelo","non-dropping-particle":"","parse-names":false,"suffix":""},{"dropping-particle":"","family":"Brown","given":"Milton","non-dropping-particle":"","parse-names":false,"suffix":""},{"dropping-particle":"","family":"Cooper","given":"Carlton R.","non-dropping-particle":"","parse-names":false,"suffix":""}],"container-title":"Contemporary Clinical Trials","id":"ITEM-1","issue":"6","issued":{"date-parts":[["2008"]]},"page":"878-886","publisher":"Elsevier Inc.","title":"Nonlinear model-based estimates of IC 50 for studies involving continuous therapeutic dose-response data","type":"article-journal","volume":"29"},"uris":["http://www.mendeley.com/documents/?uuid=7d7e53cc-9a1e-41da-bac0-bb19a99b1a37"]}],"mendeley":{"formattedCitation":"[37]","plainTextFormattedCitation":"[37]","previouslyFormattedCitation":"[37]"},"properties":{"noteIndex":0},"schema":"https://github.com/citation-style-language/schema/raw/master/csl-citation.json"}</w:instrText>
      </w:r>
      <w:r>
        <w:rPr>
          <w:rFonts w:ascii="Arial" w:hAnsi="Arial" w:cs="Arial"/>
          <w:sz w:val="22"/>
          <w:szCs w:val="22"/>
        </w:rPr>
        <w:fldChar w:fldCharType="separate"/>
      </w:r>
      <w:r w:rsidR="00285352" w:rsidRPr="00285352">
        <w:rPr>
          <w:rFonts w:ascii="Arial" w:hAnsi="Arial" w:cs="Arial"/>
          <w:noProof/>
          <w:sz w:val="22"/>
          <w:szCs w:val="22"/>
        </w:rPr>
        <w:t>[37]</w:t>
      </w:r>
      <w:r>
        <w:rPr>
          <w:rFonts w:ascii="Arial" w:hAnsi="Arial" w:cs="Arial"/>
          <w:sz w:val="22"/>
          <w:szCs w:val="22"/>
        </w:rPr>
        <w:fldChar w:fldCharType="end"/>
      </w:r>
      <w:r>
        <w:rPr>
          <w:rFonts w:ascii="Arial" w:hAnsi="Arial" w:cs="Arial"/>
          <w:sz w:val="22"/>
          <w:szCs w:val="22"/>
        </w:rPr>
        <w:t>.</w:t>
      </w:r>
    </w:p>
    <w:p w14:paraId="55E291FA" w14:textId="0348B8B3" w:rsidR="005A756A" w:rsidRPr="005A756A" w:rsidRDefault="005A756A" w:rsidP="005A756A">
      <w:pPr>
        <w:spacing w:line="360" w:lineRule="auto"/>
        <w:rPr>
          <w:rFonts w:ascii="Arial" w:hAnsi="Arial" w:cs="Arial"/>
          <w:sz w:val="22"/>
          <w:szCs w:val="22"/>
        </w:rPr>
      </w:pPr>
      <w:r w:rsidRPr="005A756A">
        <w:rPr>
          <w:rFonts w:ascii="Arial" w:hAnsi="Arial" w:cs="Arial"/>
          <w:sz w:val="22"/>
          <w:szCs w:val="22"/>
        </w:rPr>
        <w:t>Ao analisar o percentual de adesão celular da linhagem B16F10 quando tratad</w:t>
      </w:r>
      <w:r w:rsidR="00E851F6" w:rsidRPr="00786105">
        <w:rPr>
          <w:rFonts w:ascii="Arial" w:hAnsi="Arial" w:cs="Arial"/>
          <w:color w:val="auto"/>
          <w:sz w:val="22"/>
          <w:szCs w:val="22"/>
        </w:rPr>
        <w:t>a</w:t>
      </w:r>
      <w:r w:rsidRPr="005A756A">
        <w:rPr>
          <w:rFonts w:ascii="Arial" w:hAnsi="Arial" w:cs="Arial"/>
          <w:sz w:val="22"/>
          <w:szCs w:val="22"/>
        </w:rPr>
        <w:t xml:space="preserve"> com diferentes concentrações do peptídeo A9s foi possível calcular o valor da concentração de inibição média, onde foi obtido um valor de IC</w:t>
      </w:r>
      <w:r w:rsidRPr="005A756A">
        <w:rPr>
          <w:rFonts w:ascii="Arial" w:hAnsi="Arial" w:cs="Arial"/>
          <w:sz w:val="22"/>
          <w:szCs w:val="22"/>
          <w:vertAlign w:val="subscript"/>
        </w:rPr>
        <w:t>50</w:t>
      </w:r>
      <w:r w:rsidRPr="005A756A">
        <w:rPr>
          <w:rFonts w:ascii="Arial" w:hAnsi="Arial" w:cs="Arial"/>
          <w:sz w:val="22"/>
          <w:szCs w:val="22"/>
        </w:rPr>
        <w:t xml:space="preserve"> de 0,2</w:t>
      </w:r>
      <w:r w:rsidR="0024470A">
        <w:rPr>
          <w:rFonts w:ascii="Arial" w:hAnsi="Arial" w:cs="Arial"/>
          <w:sz w:val="22"/>
          <w:szCs w:val="22"/>
        </w:rPr>
        <w:t xml:space="preserve"> </w:t>
      </w:r>
      <w:r w:rsidRPr="005A756A">
        <w:rPr>
          <w:rFonts w:ascii="Arial" w:hAnsi="Arial" w:cs="Arial"/>
          <w:sz w:val="22"/>
          <w:szCs w:val="22"/>
        </w:rPr>
        <w:t>nM (Figura 3).  O percentual de inibição da adesão celular dependente de cátions bivalentes alcançou em torno de 98% na concentração de 500</w:t>
      </w:r>
      <w:r w:rsidR="0024470A">
        <w:rPr>
          <w:rFonts w:ascii="Arial" w:hAnsi="Arial" w:cs="Arial"/>
          <w:sz w:val="22"/>
          <w:szCs w:val="22"/>
        </w:rPr>
        <w:t xml:space="preserve"> </w:t>
      </w:r>
      <w:r w:rsidRPr="005A756A">
        <w:rPr>
          <w:rFonts w:ascii="Arial" w:hAnsi="Arial" w:cs="Arial"/>
          <w:sz w:val="22"/>
          <w:szCs w:val="22"/>
        </w:rPr>
        <w:t>nM.</w:t>
      </w:r>
    </w:p>
    <w:p w14:paraId="2CCA25BF" w14:textId="6C6C5A6C" w:rsidR="006D5BE9" w:rsidRPr="006D5BE9" w:rsidRDefault="006D5BE9" w:rsidP="005A756A">
      <w:pPr>
        <w:spacing w:line="360" w:lineRule="auto"/>
        <w:rPr>
          <w:rFonts w:ascii="Arial" w:hAnsi="Arial" w:cs="Arial"/>
          <w:sz w:val="22"/>
          <w:szCs w:val="22"/>
        </w:rPr>
      </w:pPr>
    </w:p>
    <w:p w14:paraId="6065BF51" w14:textId="6F993F89" w:rsidR="00C7433E" w:rsidRPr="00C44E1B" w:rsidRDefault="001611F8" w:rsidP="00C7433E">
      <w:pPr>
        <w:ind w:firstLine="0"/>
        <w:jc w:val="center"/>
      </w:pPr>
      <w:r>
        <w:rPr>
          <w:noProof/>
          <w:lang w:eastAsia="pt-BR"/>
        </w:rPr>
        <w:drawing>
          <wp:inline distT="0" distB="0" distL="0" distR="0" wp14:anchorId="65274BA6" wp14:editId="17846CA2">
            <wp:extent cx="5123180" cy="3677918"/>
            <wp:effectExtent l="0" t="0" r="1270" b="0"/>
            <wp:docPr id="1" name="Imagem 1"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50 a9s.png"/>
                    <pic:cNvPicPr/>
                  </pic:nvPicPr>
                  <pic:blipFill>
                    <a:blip r:embed="rId9">
                      <a:extLst>
                        <a:ext uri="{28A0092B-C50C-407E-A947-70E740481C1C}">
                          <a14:useLocalDpi xmlns:a14="http://schemas.microsoft.com/office/drawing/2010/main" val="0"/>
                        </a:ext>
                      </a:extLst>
                    </a:blip>
                    <a:stretch>
                      <a:fillRect/>
                    </a:stretch>
                  </pic:blipFill>
                  <pic:spPr>
                    <a:xfrm>
                      <a:off x="0" y="0"/>
                      <a:ext cx="5136973" cy="3687820"/>
                    </a:xfrm>
                    <a:prstGeom prst="rect">
                      <a:avLst/>
                    </a:prstGeom>
                  </pic:spPr>
                </pic:pic>
              </a:graphicData>
            </a:graphic>
          </wp:inline>
        </w:drawing>
      </w:r>
    </w:p>
    <w:p w14:paraId="3A69649C" w14:textId="77777777" w:rsidR="00C7433E" w:rsidRDefault="00C7433E" w:rsidP="00C7433E">
      <w:pPr>
        <w:spacing w:line="360" w:lineRule="auto"/>
        <w:ind w:firstLine="0"/>
        <w:rPr>
          <w:rFonts w:ascii="Arial" w:hAnsi="Arial" w:cs="Arial"/>
          <w:b/>
          <w:sz w:val="22"/>
          <w:szCs w:val="22"/>
        </w:rPr>
      </w:pPr>
      <w:bookmarkStart w:id="8" w:name="OLE_LINK2"/>
    </w:p>
    <w:p w14:paraId="78459ADF" w14:textId="104966CF" w:rsidR="00073D78" w:rsidRPr="003F46CD" w:rsidRDefault="00C7433E" w:rsidP="00C7433E">
      <w:pPr>
        <w:ind w:firstLine="0"/>
        <w:rPr>
          <w:rFonts w:ascii="Arial" w:hAnsi="Arial" w:cs="Arial"/>
          <w:sz w:val="20"/>
          <w:szCs w:val="20"/>
        </w:rPr>
      </w:pPr>
      <w:r w:rsidRPr="003F46CD">
        <w:rPr>
          <w:rFonts w:ascii="Arial" w:hAnsi="Arial" w:cs="Arial"/>
          <w:b/>
          <w:sz w:val="20"/>
          <w:szCs w:val="20"/>
        </w:rPr>
        <w:t xml:space="preserve">Figura </w:t>
      </w:r>
      <w:r w:rsidR="00137754" w:rsidRPr="003F46CD">
        <w:rPr>
          <w:rFonts w:ascii="Arial" w:hAnsi="Arial" w:cs="Arial"/>
          <w:b/>
          <w:sz w:val="20"/>
          <w:szCs w:val="20"/>
        </w:rPr>
        <w:t>3</w:t>
      </w:r>
      <w:r w:rsidRPr="003F46CD">
        <w:rPr>
          <w:rFonts w:ascii="Arial" w:hAnsi="Arial" w:cs="Arial"/>
          <w:b/>
          <w:sz w:val="20"/>
          <w:szCs w:val="20"/>
        </w:rPr>
        <w:t xml:space="preserve">: </w:t>
      </w:r>
      <w:bookmarkStart w:id="9" w:name="OLE_LINK1"/>
      <w:r w:rsidRPr="003F46CD">
        <w:rPr>
          <w:rFonts w:ascii="Arial" w:hAnsi="Arial" w:cs="Arial"/>
          <w:sz w:val="20"/>
          <w:szCs w:val="20"/>
        </w:rPr>
        <w:t>IC</w:t>
      </w:r>
      <w:r w:rsidRPr="003F46CD">
        <w:rPr>
          <w:rFonts w:ascii="Arial" w:hAnsi="Arial" w:cs="Arial"/>
          <w:sz w:val="20"/>
          <w:szCs w:val="20"/>
          <w:vertAlign w:val="subscript"/>
        </w:rPr>
        <w:t>50</w:t>
      </w:r>
      <w:r w:rsidRPr="003F46CD">
        <w:rPr>
          <w:rFonts w:ascii="Arial" w:hAnsi="Arial" w:cs="Arial"/>
          <w:sz w:val="20"/>
          <w:szCs w:val="20"/>
        </w:rPr>
        <w:t xml:space="preserve"> de B16F10 com peptídeo A9s. Curva de</w:t>
      </w:r>
      <w:r w:rsidRPr="003F46CD">
        <w:rPr>
          <w:rFonts w:ascii="Arial" w:hAnsi="Arial" w:cs="Arial"/>
          <w:b/>
          <w:sz w:val="20"/>
          <w:szCs w:val="20"/>
        </w:rPr>
        <w:t xml:space="preserve"> </w:t>
      </w:r>
      <w:r w:rsidRPr="003F46CD">
        <w:rPr>
          <w:rFonts w:ascii="Arial" w:hAnsi="Arial" w:cs="Arial"/>
          <w:sz w:val="20"/>
          <w:szCs w:val="20"/>
        </w:rPr>
        <w:t xml:space="preserve">resposta dose-dependente </w:t>
      </w:r>
      <w:bookmarkEnd w:id="9"/>
      <w:r w:rsidRPr="003F46CD">
        <w:rPr>
          <w:rFonts w:ascii="Arial" w:hAnsi="Arial" w:cs="Arial"/>
          <w:sz w:val="20"/>
          <w:szCs w:val="20"/>
        </w:rPr>
        <w:t xml:space="preserve">referente ao </w:t>
      </w:r>
      <w:r w:rsidR="00E851F6">
        <w:rPr>
          <w:rFonts w:ascii="Arial" w:hAnsi="Arial" w:cs="Arial"/>
          <w:sz w:val="20"/>
          <w:szCs w:val="20"/>
        </w:rPr>
        <w:t xml:space="preserve">A </w:t>
      </w:r>
      <w:r w:rsidRPr="003F46CD">
        <w:rPr>
          <w:rFonts w:ascii="Arial" w:hAnsi="Arial" w:cs="Arial"/>
          <w:sz w:val="20"/>
          <w:szCs w:val="20"/>
        </w:rPr>
        <w:t>tratamento de células B16F10, com peptídeo A9s no teste de adesão celular. O valor de IC</w:t>
      </w:r>
      <w:r w:rsidRPr="003F46CD">
        <w:rPr>
          <w:rFonts w:ascii="Arial" w:hAnsi="Arial" w:cs="Arial"/>
          <w:sz w:val="20"/>
          <w:szCs w:val="20"/>
          <w:vertAlign w:val="subscript"/>
        </w:rPr>
        <w:t>50</w:t>
      </w:r>
      <w:r w:rsidRPr="003F46CD">
        <w:rPr>
          <w:rFonts w:ascii="Arial" w:hAnsi="Arial" w:cs="Arial"/>
          <w:sz w:val="20"/>
          <w:szCs w:val="20"/>
        </w:rPr>
        <w:t xml:space="preserve"> foi obtido com o programa </w:t>
      </w:r>
      <w:r w:rsidRPr="003F46CD">
        <w:rPr>
          <w:rFonts w:ascii="Arial" w:hAnsi="Arial" w:cs="Arial"/>
          <w:i/>
          <w:sz w:val="20"/>
          <w:szCs w:val="20"/>
        </w:rPr>
        <w:t>GraphPad Prism5</w:t>
      </w:r>
      <w:r w:rsidRPr="003F46CD">
        <w:rPr>
          <w:rFonts w:ascii="Arial" w:hAnsi="Arial" w:cs="Arial"/>
          <w:sz w:val="20"/>
          <w:szCs w:val="20"/>
        </w:rPr>
        <w:t xml:space="preserve"> a partir do cálculo de regressão não linear.  </w:t>
      </w:r>
      <w:bookmarkEnd w:id="8"/>
      <w:r w:rsidRPr="003F46CD">
        <w:rPr>
          <w:rFonts w:ascii="Arial" w:hAnsi="Arial" w:cs="Arial"/>
          <w:sz w:val="20"/>
          <w:szCs w:val="20"/>
        </w:rPr>
        <w:t>Cada valor representa a média ± desvio padrão de três experimentos diferentes que foram realizados em octoplicata. O ***</w:t>
      </w:r>
      <w:r w:rsidR="00D1108E">
        <w:rPr>
          <w:rFonts w:ascii="Arial" w:hAnsi="Arial" w:cs="Arial"/>
          <w:sz w:val="20"/>
          <w:szCs w:val="20"/>
        </w:rPr>
        <w:t xml:space="preserve"> indica </w:t>
      </w:r>
      <w:r w:rsidRPr="003F46CD">
        <w:rPr>
          <w:rFonts w:ascii="Arial" w:hAnsi="Arial" w:cs="Arial"/>
          <w:sz w:val="20"/>
          <w:szCs w:val="20"/>
        </w:rPr>
        <w:t>p &lt;0,001 em relação ao controle.</w:t>
      </w:r>
      <w:r w:rsidR="00073D78" w:rsidRPr="003F46CD">
        <w:rPr>
          <w:rFonts w:ascii="Arial" w:hAnsi="Arial" w:cs="Arial"/>
          <w:sz w:val="20"/>
          <w:szCs w:val="20"/>
        </w:rPr>
        <w:t xml:space="preserve"> Para determinar apenas a inibição de interações iônicas foi subtraído a média (28%) da adesão não dependente de integrinas.</w:t>
      </w:r>
    </w:p>
    <w:p w14:paraId="215353ED" w14:textId="77777777" w:rsidR="00C7433E" w:rsidRPr="00C44E1B" w:rsidRDefault="00C7433E" w:rsidP="00C7433E">
      <w:pPr>
        <w:ind w:firstLine="0"/>
        <w:rPr>
          <w:rFonts w:ascii="Arial" w:hAnsi="Arial" w:cs="Arial"/>
          <w:sz w:val="22"/>
          <w:szCs w:val="22"/>
        </w:rPr>
      </w:pPr>
    </w:p>
    <w:p w14:paraId="14C768C4" w14:textId="1487328B" w:rsidR="00C7433E" w:rsidRDefault="00026261" w:rsidP="00C7433E">
      <w:pPr>
        <w:pStyle w:val="seo2"/>
        <w:jc w:val="both"/>
        <w:rPr>
          <w:sz w:val="22"/>
          <w:szCs w:val="22"/>
        </w:rPr>
      </w:pPr>
      <w:bookmarkStart w:id="10" w:name="_Toc478569552"/>
      <w:r>
        <w:rPr>
          <w:sz w:val="22"/>
          <w:szCs w:val="22"/>
        </w:rPr>
        <w:t>C</w:t>
      </w:r>
      <w:r w:rsidR="00C7433E" w:rsidRPr="009A405C">
        <w:rPr>
          <w:sz w:val="22"/>
          <w:szCs w:val="22"/>
        </w:rPr>
        <w:t xml:space="preserve">rescimento </w:t>
      </w:r>
      <w:r w:rsidR="00DA25EF" w:rsidRPr="009A405C">
        <w:rPr>
          <w:sz w:val="22"/>
          <w:szCs w:val="22"/>
        </w:rPr>
        <w:t>de</w:t>
      </w:r>
      <w:r w:rsidR="00C7433E" w:rsidRPr="009A405C">
        <w:rPr>
          <w:sz w:val="22"/>
          <w:szCs w:val="22"/>
        </w:rPr>
        <w:t xml:space="preserve"> B16F10 </w:t>
      </w:r>
      <w:bookmarkEnd w:id="10"/>
      <w:r>
        <w:rPr>
          <w:sz w:val="22"/>
          <w:szCs w:val="22"/>
        </w:rPr>
        <w:t>frente ao peptídeo A9s</w:t>
      </w:r>
    </w:p>
    <w:p w14:paraId="3B8D5A7C" w14:textId="140F436E" w:rsidR="00532EFE" w:rsidRPr="00532EFE" w:rsidRDefault="00532EFE" w:rsidP="00532EFE">
      <w:pPr>
        <w:autoSpaceDE w:val="0"/>
        <w:autoSpaceDN w:val="0"/>
        <w:adjustRightInd w:val="0"/>
        <w:spacing w:line="360" w:lineRule="auto"/>
        <w:ind w:firstLine="708"/>
        <w:rPr>
          <w:sz w:val="22"/>
          <w:szCs w:val="22"/>
        </w:rPr>
      </w:pPr>
      <w:r w:rsidRPr="00532EFE">
        <w:rPr>
          <w:rFonts w:ascii="Arial" w:eastAsiaTheme="minorHAnsi" w:hAnsi="Arial" w:cs="Arial"/>
          <w:sz w:val="22"/>
          <w:szCs w:val="22"/>
        </w:rPr>
        <w:t xml:space="preserve">Para o ensaio de crescimento foram feitas três </w:t>
      </w:r>
      <w:r w:rsidRPr="00532EFE">
        <w:rPr>
          <w:rFonts w:ascii="Arial" w:eastAsiaTheme="minorHAnsi" w:hAnsi="Arial" w:cs="Arial"/>
          <w:color w:val="auto"/>
          <w:sz w:val="22"/>
          <w:szCs w:val="22"/>
        </w:rPr>
        <w:t>condições experimentais: (i) condição controle</w:t>
      </w:r>
      <w:r w:rsidR="005B31D1">
        <w:rPr>
          <w:rFonts w:ascii="Arial" w:eastAsiaTheme="minorHAnsi" w:hAnsi="Arial" w:cs="Arial"/>
          <w:color w:val="auto"/>
          <w:sz w:val="22"/>
          <w:szCs w:val="22"/>
        </w:rPr>
        <w:t xml:space="preserve"> positivo</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linhagem B16F10 aderida à fibronectina</w:t>
      </w:r>
      <w:r>
        <w:rPr>
          <w:rFonts w:ascii="Arial" w:eastAsiaTheme="minorHAnsi" w:hAnsi="Arial" w:cs="Arial"/>
          <w:color w:val="auto"/>
          <w:sz w:val="22"/>
          <w:szCs w:val="22"/>
        </w:rPr>
        <w:t xml:space="preserve"> sem adição de A9s</w:t>
      </w:r>
      <w:r w:rsidRPr="00532EFE">
        <w:rPr>
          <w:rFonts w:ascii="Arial" w:eastAsiaTheme="minorHAnsi" w:hAnsi="Arial" w:cs="Arial"/>
          <w:color w:val="auto"/>
          <w:sz w:val="22"/>
          <w:szCs w:val="22"/>
        </w:rPr>
        <w:t>; (ii) condição de tratamento 1</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w:t>
      </w:r>
      <w:r>
        <w:rPr>
          <w:rFonts w:ascii="Arial" w:eastAsiaTheme="minorHAnsi" w:hAnsi="Arial" w:cs="Arial"/>
          <w:color w:val="auto"/>
          <w:sz w:val="22"/>
          <w:szCs w:val="22"/>
        </w:rPr>
        <w:t>B16F10</w:t>
      </w:r>
      <w:r w:rsidRPr="00532EFE">
        <w:rPr>
          <w:rFonts w:ascii="Arial" w:eastAsiaTheme="minorHAnsi" w:hAnsi="Arial" w:cs="Arial"/>
          <w:color w:val="auto"/>
          <w:sz w:val="22"/>
          <w:szCs w:val="22"/>
        </w:rPr>
        <w:t xml:space="preserve"> adicionad</w:t>
      </w:r>
      <w:r>
        <w:rPr>
          <w:rFonts w:ascii="Arial" w:eastAsiaTheme="minorHAnsi" w:hAnsi="Arial" w:cs="Arial"/>
          <w:color w:val="auto"/>
          <w:sz w:val="22"/>
          <w:szCs w:val="22"/>
        </w:rPr>
        <w:t>a junto com</w:t>
      </w:r>
      <w:r w:rsidRPr="00532EFE">
        <w:rPr>
          <w:rFonts w:ascii="Arial" w:eastAsiaTheme="minorHAnsi" w:hAnsi="Arial" w:cs="Arial"/>
          <w:color w:val="auto"/>
          <w:sz w:val="22"/>
          <w:szCs w:val="22"/>
        </w:rPr>
        <w:t xml:space="preserve"> o peptídeo A9s (0,1</w:t>
      </w:r>
      <w:r w:rsidR="005B31D1">
        <w:rPr>
          <w:rFonts w:ascii="Arial" w:eastAsiaTheme="minorHAnsi" w:hAnsi="Arial" w:cs="Arial"/>
          <w:color w:val="auto"/>
          <w:sz w:val="22"/>
          <w:szCs w:val="22"/>
        </w:rPr>
        <w:t xml:space="preserve"> </w:t>
      </w:r>
      <w:r w:rsidRPr="00532EFE">
        <w:rPr>
          <w:rFonts w:ascii="Arial" w:eastAsiaTheme="minorHAnsi" w:hAnsi="Arial" w:cs="Arial"/>
          <w:color w:val="auto"/>
          <w:sz w:val="22"/>
          <w:szCs w:val="22"/>
        </w:rPr>
        <w:t>nM e 100</w:t>
      </w:r>
      <w:r w:rsidR="005B31D1">
        <w:rPr>
          <w:rFonts w:ascii="Arial" w:eastAsiaTheme="minorHAnsi" w:hAnsi="Arial" w:cs="Arial"/>
          <w:color w:val="auto"/>
          <w:sz w:val="22"/>
          <w:szCs w:val="22"/>
        </w:rPr>
        <w:t xml:space="preserve"> </w:t>
      </w:r>
      <w:r w:rsidRPr="00532EFE">
        <w:rPr>
          <w:rFonts w:ascii="Arial" w:eastAsiaTheme="minorHAnsi" w:hAnsi="Arial" w:cs="Arial"/>
          <w:color w:val="auto"/>
          <w:sz w:val="22"/>
          <w:szCs w:val="22"/>
        </w:rPr>
        <w:t xml:space="preserve">nM) no </w:t>
      </w:r>
      <w:r>
        <w:rPr>
          <w:rFonts w:ascii="Arial" w:eastAsiaTheme="minorHAnsi" w:hAnsi="Arial" w:cs="Arial"/>
          <w:color w:val="auto"/>
          <w:sz w:val="22"/>
          <w:szCs w:val="22"/>
        </w:rPr>
        <w:t>início do experimento</w:t>
      </w:r>
      <w:r w:rsidRPr="00532EFE">
        <w:rPr>
          <w:rFonts w:ascii="Arial" w:eastAsiaTheme="minorHAnsi" w:hAnsi="Arial" w:cs="Arial"/>
          <w:color w:val="auto"/>
          <w:sz w:val="22"/>
          <w:szCs w:val="22"/>
        </w:rPr>
        <w:t>; e (iii) condição de tratamento 2</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onde foi adicionado o peptídeo A9s (0,1</w:t>
      </w:r>
      <w:r w:rsidR="005B31D1">
        <w:rPr>
          <w:rFonts w:ascii="Arial" w:eastAsiaTheme="minorHAnsi" w:hAnsi="Arial" w:cs="Arial"/>
          <w:color w:val="auto"/>
          <w:sz w:val="22"/>
          <w:szCs w:val="22"/>
        </w:rPr>
        <w:t xml:space="preserve"> </w:t>
      </w:r>
      <w:r w:rsidRPr="00532EFE">
        <w:rPr>
          <w:rFonts w:ascii="Arial" w:eastAsiaTheme="minorHAnsi" w:hAnsi="Arial" w:cs="Arial"/>
          <w:color w:val="auto"/>
          <w:sz w:val="22"/>
          <w:szCs w:val="22"/>
        </w:rPr>
        <w:t>nM e 100</w:t>
      </w:r>
      <w:r w:rsidR="005B31D1">
        <w:rPr>
          <w:rFonts w:ascii="Arial" w:eastAsiaTheme="minorHAnsi" w:hAnsi="Arial" w:cs="Arial"/>
          <w:color w:val="auto"/>
          <w:sz w:val="22"/>
          <w:szCs w:val="22"/>
        </w:rPr>
        <w:t xml:space="preserve"> </w:t>
      </w:r>
      <w:r w:rsidRPr="00532EFE">
        <w:rPr>
          <w:rFonts w:ascii="Arial" w:eastAsiaTheme="minorHAnsi" w:hAnsi="Arial" w:cs="Arial"/>
          <w:color w:val="auto"/>
          <w:sz w:val="22"/>
          <w:szCs w:val="22"/>
        </w:rPr>
        <w:t>nM) no início do experimento e novamente nos tempos de 24</w:t>
      </w:r>
      <w:r w:rsidR="005B31D1">
        <w:rPr>
          <w:rFonts w:ascii="Arial" w:eastAsiaTheme="minorHAnsi" w:hAnsi="Arial" w:cs="Arial"/>
          <w:color w:val="auto"/>
          <w:sz w:val="22"/>
          <w:szCs w:val="22"/>
        </w:rPr>
        <w:t xml:space="preserve"> </w:t>
      </w:r>
      <w:r w:rsidRPr="00532EFE">
        <w:rPr>
          <w:rFonts w:ascii="Arial" w:eastAsiaTheme="minorHAnsi" w:hAnsi="Arial" w:cs="Arial"/>
          <w:color w:val="auto"/>
          <w:sz w:val="22"/>
          <w:szCs w:val="22"/>
        </w:rPr>
        <w:t>h e 48</w:t>
      </w:r>
      <w:r w:rsidR="005B31D1">
        <w:rPr>
          <w:rFonts w:ascii="Arial" w:eastAsiaTheme="minorHAnsi" w:hAnsi="Arial" w:cs="Arial"/>
          <w:color w:val="auto"/>
          <w:sz w:val="22"/>
          <w:szCs w:val="22"/>
        </w:rPr>
        <w:t xml:space="preserve"> </w:t>
      </w:r>
      <w:r w:rsidRPr="00532EFE">
        <w:rPr>
          <w:rFonts w:ascii="Arial" w:eastAsiaTheme="minorHAnsi" w:hAnsi="Arial" w:cs="Arial"/>
          <w:color w:val="auto"/>
          <w:sz w:val="22"/>
          <w:szCs w:val="22"/>
        </w:rPr>
        <w:t>h.</w:t>
      </w:r>
    </w:p>
    <w:p w14:paraId="1BB079EB" w14:textId="5ABE87D5" w:rsidR="00566776" w:rsidRDefault="005665B6" w:rsidP="00C7433E">
      <w:pPr>
        <w:spacing w:line="360" w:lineRule="auto"/>
        <w:rPr>
          <w:rFonts w:ascii="Arial" w:hAnsi="Arial" w:cs="Arial"/>
          <w:sz w:val="22"/>
          <w:szCs w:val="22"/>
        </w:rPr>
      </w:pPr>
      <w:r>
        <w:rPr>
          <w:rFonts w:ascii="Arial" w:hAnsi="Arial" w:cs="Arial"/>
          <w:sz w:val="22"/>
          <w:szCs w:val="22"/>
        </w:rPr>
        <w:lastRenderedPageBreak/>
        <w:t>O tratamento</w:t>
      </w:r>
      <w:r w:rsidR="00532EFE">
        <w:rPr>
          <w:rFonts w:ascii="Arial" w:hAnsi="Arial" w:cs="Arial"/>
          <w:sz w:val="22"/>
          <w:szCs w:val="22"/>
        </w:rPr>
        <w:t xml:space="preserve"> 1</w:t>
      </w:r>
      <w:r>
        <w:rPr>
          <w:rFonts w:ascii="Arial" w:hAnsi="Arial" w:cs="Arial"/>
          <w:sz w:val="22"/>
          <w:szCs w:val="22"/>
        </w:rPr>
        <w:t xml:space="preserve"> realizado</w:t>
      </w:r>
      <w:r w:rsidR="00C7433E" w:rsidRPr="009A405C">
        <w:rPr>
          <w:rFonts w:ascii="Arial" w:hAnsi="Arial" w:cs="Arial"/>
          <w:sz w:val="22"/>
          <w:szCs w:val="22"/>
        </w:rPr>
        <w:t xml:space="preserve"> com 0,1</w:t>
      </w:r>
      <w:r w:rsidR="005B31D1">
        <w:rPr>
          <w:rFonts w:ascii="Arial" w:hAnsi="Arial" w:cs="Arial"/>
          <w:sz w:val="22"/>
          <w:szCs w:val="22"/>
        </w:rPr>
        <w:t xml:space="preserve"> </w:t>
      </w:r>
      <w:r w:rsidR="00C7433E" w:rsidRPr="009A405C">
        <w:rPr>
          <w:rFonts w:ascii="Arial" w:hAnsi="Arial" w:cs="Arial"/>
          <w:sz w:val="22"/>
          <w:szCs w:val="22"/>
        </w:rPr>
        <w:t xml:space="preserve">nM </w:t>
      </w:r>
      <w:r w:rsidR="00566776">
        <w:rPr>
          <w:rFonts w:ascii="Arial" w:hAnsi="Arial" w:cs="Arial"/>
          <w:sz w:val="22"/>
          <w:szCs w:val="22"/>
        </w:rPr>
        <w:t>e 100</w:t>
      </w:r>
      <w:r w:rsidR="005B31D1">
        <w:rPr>
          <w:rFonts w:ascii="Arial" w:hAnsi="Arial" w:cs="Arial"/>
          <w:sz w:val="22"/>
          <w:szCs w:val="22"/>
        </w:rPr>
        <w:t xml:space="preserve"> </w:t>
      </w:r>
      <w:r w:rsidR="00566776">
        <w:rPr>
          <w:rFonts w:ascii="Arial" w:hAnsi="Arial" w:cs="Arial"/>
          <w:sz w:val="22"/>
          <w:szCs w:val="22"/>
        </w:rPr>
        <w:t xml:space="preserve">nM </w:t>
      </w:r>
      <w:r w:rsidR="00C7433E" w:rsidRPr="009A405C">
        <w:rPr>
          <w:rFonts w:ascii="Arial" w:hAnsi="Arial" w:cs="Arial"/>
          <w:sz w:val="22"/>
          <w:szCs w:val="22"/>
        </w:rPr>
        <w:t xml:space="preserve">de A9s mostrou redução do crescimento celular de B16F10 </w:t>
      </w:r>
      <w:r w:rsidR="00566776">
        <w:rPr>
          <w:rFonts w:ascii="Arial" w:hAnsi="Arial" w:cs="Arial"/>
          <w:sz w:val="22"/>
          <w:szCs w:val="22"/>
        </w:rPr>
        <w:t>até o tempo de 30</w:t>
      </w:r>
      <w:r w:rsidR="005B31D1">
        <w:rPr>
          <w:rFonts w:ascii="Arial" w:hAnsi="Arial" w:cs="Arial"/>
          <w:sz w:val="22"/>
          <w:szCs w:val="22"/>
        </w:rPr>
        <w:t xml:space="preserve"> </w:t>
      </w:r>
      <w:r w:rsidR="00566776">
        <w:rPr>
          <w:rFonts w:ascii="Arial" w:hAnsi="Arial" w:cs="Arial"/>
          <w:sz w:val="22"/>
          <w:szCs w:val="22"/>
        </w:rPr>
        <w:t xml:space="preserve">h, com inibição máxima de </w:t>
      </w:r>
      <w:r w:rsidR="00BC71D5">
        <w:rPr>
          <w:rFonts w:ascii="Arial" w:hAnsi="Arial" w:cs="Arial"/>
          <w:sz w:val="22"/>
          <w:szCs w:val="22"/>
        </w:rPr>
        <w:t xml:space="preserve">aproximadamente </w:t>
      </w:r>
      <w:r w:rsidR="00566776">
        <w:rPr>
          <w:rFonts w:ascii="Arial" w:hAnsi="Arial" w:cs="Arial"/>
          <w:sz w:val="22"/>
          <w:szCs w:val="22"/>
        </w:rPr>
        <w:t>5</w:t>
      </w:r>
      <w:r w:rsidR="00BC71D5">
        <w:rPr>
          <w:rFonts w:ascii="Arial" w:hAnsi="Arial" w:cs="Arial"/>
          <w:sz w:val="22"/>
          <w:szCs w:val="22"/>
        </w:rPr>
        <w:t>3</w:t>
      </w:r>
      <w:r w:rsidR="00566776">
        <w:rPr>
          <w:rFonts w:ascii="Arial" w:hAnsi="Arial" w:cs="Arial"/>
          <w:sz w:val="22"/>
          <w:szCs w:val="22"/>
        </w:rPr>
        <w:t xml:space="preserve">% em </w:t>
      </w:r>
      <w:r w:rsidR="00BC71D5">
        <w:rPr>
          <w:rFonts w:ascii="Arial" w:hAnsi="Arial" w:cs="Arial"/>
          <w:sz w:val="22"/>
          <w:szCs w:val="22"/>
        </w:rPr>
        <w:t>24</w:t>
      </w:r>
      <w:r w:rsidR="005B31D1">
        <w:rPr>
          <w:rFonts w:ascii="Arial" w:hAnsi="Arial" w:cs="Arial"/>
          <w:sz w:val="22"/>
          <w:szCs w:val="22"/>
        </w:rPr>
        <w:t xml:space="preserve"> </w:t>
      </w:r>
      <w:r w:rsidR="00566776">
        <w:rPr>
          <w:rFonts w:ascii="Arial" w:hAnsi="Arial" w:cs="Arial"/>
          <w:sz w:val="22"/>
          <w:szCs w:val="22"/>
        </w:rPr>
        <w:t>h (Figura 4A e 4B).</w:t>
      </w:r>
      <w:r w:rsidR="00532EFE">
        <w:rPr>
          <w:rFonts w:ascii="Arial" w:hAnsi="Arial" w:cs="Arial"/>
          <w:sz w:val="22"/>
          <w:szCs w:val="22"/>
        </w:rPr>
        <w:t xml:space="preserve"> </w:t>
      </w:r>
      <w:r w:rsidR="00532EFE" w:rsidRPr="009A405C">
        <w:rPr>
          <w:rFonts w:ascii="Arial" w:hAnsi="Arial" w:cs="Arial"/>
          <w:sz w:val="22"/>
          <w:szCs w:val="22"/>
        </w:rPr>
        <w:t>Nos tempos de 48</w:t>
      </w:r>
      <w:r w:rsidR="005B31D1">
        <w:rPr>
          <w:rFonts w:ascii="Arial" w:hAnsi="Arial" w:cs="Arial"/>
          <w:sz w:val="22"/>
          <w:szCs w:val="22"/>
        </w:rPr>
        <w:t xml:space="preserve"> </w:t>
      </w:r>
      <w:r w:rsidR="00532EFE" w:rsidRPr="009A405C">
        <w:rPr>
          <w:rFonts w:ascii="Arial" w:hAnsi="Arial" w:cs="Arial"/>
          <w:sz w:val="22"/>
          <w:szCs w:val="22"/>
        </w:rPr>
        <w:t>h e 72</w:t>
      </w:r>
      <w:r w:rsidR="005B31D1">
        <w:rPr>
          <w:rFonts w:ascii="Arial" w:hAnsi="Arial" w:cs="Arial"/>
          <w:sz w:val="22"/>
          <w:szCs w:val="22"/>
        </w:rPr>
        <w:t xml:space="preserve"> </w:t>
      </w:r>
      <w:r w:rsidR="00532EFE" w:rsidRPr="009A405C">
        <w:rPr>
          <w:rFonts w:ascii="Arial" w:hAnsi="Arial" w:cs="Arial"/>
          <w:sz w:val="22"/>
          <w:szCs w:val="22"/>
        </w:rPr>
        <w:t xml:space="preserve">h não houve diferença estatística entre o controle e a condição de tratamento </w:t>
      </w:r>
      <w:r w:rsidR="00532EFE">
        <w:rPr>
          <w:rFonts w:ascii="Arial" w:hAnsi="Arial" w:cs="Arial"/>
          <w:sz w:val="22"/>
          <w:szCs w:val="22"/>
        </w:rPr>
        <w:t>1.</w:t>
      </w:r>
    </w:p>
    <w:p w14:paraId="5B45966C" w14:textId="2EEFD866" w:rsidR="00C7433E" w:rsidRPr="009A405C" w:rsidRDefault="00BC71D5" w:rsidP="00532EFE">
      <w:pPr>
        <w:spacing w:line="360" w:lineRule="auto"/>
        <w:rPr>
          <w:rFonts w:ascii="Arial" w:hAnsi="Arial" w:cs="Arial"/>
          <w:sz w:val="22"/>
          <w:szCs w:val="22"/>
        </w:rPr>
      </w:pPr>
      <w:r>
        <w:rPr>
          <w:rFonts w:ascii="Arial" w:hAnsi="Arial" w:cs="Arial"/>
          <w:sz w:val="22"/>
          <w:szCs w:val="22"/>
        </w:rPr>
        <w:t>Ao adicionar mais peptídeo a cada 24</w:t>
      </w:r>
      <w:r w:rsidR="005B31D1">
        <w:rPr>
          <w:rFonts w:ascii="Arial" w:hAnsi="Arial" w:cs="Arial"/>
          <w:sz w:val="22"/>
          <w:szCs w:val="22"/>
        </w:rPr>
        <w:t xml:space="preserve"> </w:t>
      </w:r>
      <w:r>
        <w:rPr>
          <w:rFonts w:ascii="Arial" w:hAnsi="Arial" w:cs="Arial"/>
          <w:sz w:val="22"/>
          <w:szCs w:val="22"/>
        </w:rPr>
        <w:t>h a inibição do A9s na concentração de 0,1</w:t>
      </w:r>
      <w:r w:rsidR="005B31D1">
        <w:rPr>
          <w:rFonts w:ascii="Arial" w:hAnsi="Arial" w:cs="Arial"/>
          <w:sz w:val="22"/>
          <w:szCs w:val="22"/>
        </w:rPr>
        <w:t xml:space="preserve"> </w:t>
      </w:r>
      <w:r>
        <w:rPr>
          <w:rFonts w:ascii="Arial" w:hAnsi="Arial" w:cs="Arial"/>
          <w:sz w:val="22"/>
          <w:szCs w:val="22"/>
        </w:rPr>
        <w:t xml:space="preserve">nM alcançou 55% de redução do crescimento celular </w:t>
      </w:r>
      <w:r w:rsidR="00532EFE">
        <w:rPr>
          <w:rFonts w:ascii="Arial" w:hAnsi="Arial" w:cs="Arial"/>
          <w:sz w:val="22"/>
          <w:szCs w:val="22"/>
        </w:rPr>
        <w:t>em 24</w:t>
      </w:r>
      <w:r w:rsidR="005B31D1">
        <w:rPr>
          <w:rFonts w:ascii="Arial" w:hAnsi="Arial" w:cs="Arial"/>
          <w:sz w:val="22"/>
          <w:szCs w:val="22"/>
        </w:rPr>
        <w:t xml:space="preserve"> </w:t>
      </w:r>
      <w:r w:rsidR="00532EFE">
        <w:rPr>
          <w:rFonts w:ascii="Arial" w:hAnsi="Arial" w:cs="Arial"/>
          <w:sz w:val="22"/>
          <w:szCs w:val="22"/>
        </w:rPr>
        <w:t>h e se manteve em 40% até 72</w:t>
      </w:r>
      <w:r w:rsidR="005B31D1">
        <w:rPr>
          <w:rFonts w:ascii="Arial" w:hAnsi="Arial" w:cs="Arial"/>
          <w:sz w:val="22"/>
          <w:szCs w:val="22"/>
        </w:rPr>
        <w:t xml:space="preserve"> </w:t>
      </w:r>
      <w:r w:rsidR="00532EFE">
        <w:rPr>
          <w:rFonts w:ascii="Arial" w:hAnsi="Arial" w:cs="Arial"/>
          <w:sz w:val="22"/>
          <w:szCs w:val="22"/>
        </w:rPr>
        <w:t xml:space="preserve">h </w:t>
      </w:r>
      <w:r>
        <w:rPr>
          <w:rFonts w:ascii="Arial" w:hAnsi="Arial" w:cs="Arial"/>
          <w:sz w:val="22"/>
          <w:szCs w:val="22"/>
        </w:rPr>
        <w:t>(Figura 4A). Ao usar 100</w:t>
      </w:r>
      <w:r w:rsidR="005B31D1">
        <w:rPr>
          <w:rFonts w:ascii="Arial" w:hAnsi="Arial" w:cs="Arial"/>
          <w:sz w:val="22"/>
          <w:szCs w:val="22"/>
        </w:rPr>
        <w:t xml:space="preserve"> </w:t>
      </w:r>
      <w:r>
        <w:rPr>
          <w:rFonts w:ascii="Arial" w:hAnsi="Arial" w:cs="Arial"/>
          <w:sz w:val="22"/>
          <w:szCs w:val="22"/>
        </w:rPr>
        <w:t>nM de A9s o potencial de inibição de crescimento chegou a 73% entre os tempos de 24-72h (Figura 4B).</w:t>
      </w:r>
    </w:p>
    <w:p w14:paraId="17A8880D" w14:textId="77777777" w:rsidR="00C7433E" w:rsidRPr="008667F0" w:rsidRDefault="00C7433E" w:rsidP="003F46CD">
      <w:pPr>
        <w:ind w:firstLine="0"/>
        <w:jc w:val="center"/>
        <w:rPr>
          <w:rFonts w:ascii="Arial" w:hAnsi="Arial" w:cs="Arial"/>
          <w:noProof/>
          <w:lang w:eastAsia="pt-BR"/>
        </w:rPr>
      </w:pPr>
      <w:r>
        <w:rPr>
          <w:rFonts w:ascii="Arial" w:hAnsi="Arial" w:cs="Arial"/>
          <w:noProof/>
          <w:lang w:eastAsia="pt-BR"/>
        </w:rPr>
        <w:drawing>
          <wp:inline distT="0" distB="0" distL="0" distR="0" wp14:anchorId="19A45994" wp14:editId="510D3EB5">
            <wp:extent cx="4894580" cy="5213003"/>
            <wp:effectExtent l="0" t="0" r="127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escimento celular.jpg"/>
                    <pic:cNvPicPr/>
                  </pic:nvPicPr>
                  <pic:blipFill rotWithShape="1">
                    <a:blip r:embed="rId10">
                      <a:extLst>
                        <a:ext uri="{28A0092B-C50C-407E-A947-70E740481C1C}">
                          <a14:useLocalDpi xmlns:a14="http://schemas.microsoft.com/office/drawing/2010/main" val="0"/>
                        </a:ext>
                      </a:extLst>
                    </a:blip>
                    <a:srcRect l="29931" t="6411" r="18972" b="3020"/>
                    <a:stretch/>
                  </pic:blipFill>
                  <pic:spPr bwMode="auto">
                    <a:xfrm>
                      <a:off x="0" y="0"/>
                      <a:ext cx="4970640" cy="5294011"/>
                    </a:xfrm>
                    <a:prstGeom prst="rect">
                      <a:avLst/>
                    </a:prstGeom>
                    <a:ln>
                      <a:noFill/>
                    </a:ln>
                    <a:extLst>
                      <a:ext uri="{53640926-AAD7-44D8-BBD7-CCE9431645EC}">
                        <a14:shadowObscured xmlns:a14="http://schemas.microsoft.com/office/drawing/2010/main"/>
                      </a:ext>
                    </a:extLst>
                  </pic:spPr>
                </pic:pic>
              </a:graphicData>
            </a:graphic>
          </wp:inline>
        </w:drawing>
      </w:r>
    </w:p>
    <w:p w14:paraId="377813E5" w14:textId="2BB33C49" w:rsidR="00C7433E" w:rsidRDefault="00C7433E" w:rsidP="00C7433E">
      <w:pPr>
        <w:ind w:firstLine="0"/>
        <w:rPr>
          <w:rFonts w:ascii="Arial" w:hAnsi="Arial" w:cs="Arial"/>
          <w:sz w:val="20"/>
          <w:szCs w:val="20"/>
        </w:rPr>
      </w:pPr>
      <w:bookmarkStart w:id="11" w:name="OLE_LINK3"/>
      <w:r w:rsidRPr="003F46CD">
        <w:rPr>
          <w:rFonts w:ascii="Arial" w:hAnsi="Arial" w:cs="Arial"/>
          <w:b/>
          <w:sz w:val="20"/>
          <w:szCs w:val="20"/>
        </w:rPr>
        <w:t>Figura</w:t>
      </w:r>
      <w:r w:rsidR="00137754" w:rsidRPr="003F46CD">
        <w:rPr>
          <w:rFonts w:ascii="Arial" w:hAnsi="Arial" w:cs="Arial"/>
          <w:b/>
          <w:sz w:val="20"/>
          <w:szCs w:val="20"/>
        </w:rPr>
        <w:t xml:space="preserve"> 4</w:t>
      </w:r>
      <w:r w:rsidRPr="003F46CD">
        <w:rPr>
          <w:rFonts w:ascii="Arial" w:hAnsi="Arial" w:cs="Arial"/>
          <w:b/>
          <w:sz w:val="20"/>
          <w:szCs w:val="20"/>
        </w:rPr>
        <w:t xml:space="preserve">: </w:t>
      </w:r>
      <w:r w:rsidRPr="003F46CD">
        <w:rPr>
          <w:rFonts w:ascii="Arial" w:hAnsi="Arial" w:cs="Arial"/>
          <w:sz w:val="20"/>
          <w:szCs w:val="20"/>
        </w:rPr>
        <w:t xml:space="preserve">Crescimento celular de B16F10 aderida a fibronectina sob tratamento com diferentes concentrações do peptídeo A9s durante 72h. Foram realizadas duas condições de tratamento com A9s </w:t>
      </w:r>
      <w:r w:rsidR="00532EFE">
        <w:rPr>
          <w:rFonts w:ascii="Arial" w:hAnsi="Arial" w:cs="Arial"/>
          <w:sz w:val="20"/>
          <w:szCs w:val="20"/>
        </w:rPr>
        <w:t>e</w:t>
      </w:r>
      <w:r w:rsidRPr="003F46CD">
        <w:rPr>
          <w:rFonts w:ascii="Arial" w:hAnsi="Arial" w:cs="Arial"/>
          <w:sz w:val="20"/>
          <w:szCs w:val="20"/>
        </w:rPr>
        <w:t xml:space="preserve"> comparado ao controle (B16F10 sem A9s). </w:t>
      </w:r>
      <w:r w:rsidRPr="003F46CD">
        <w:rPr>
          <w:rFonts w:ascii="Arial" w:hAnsi="Arial" w:cs="Arial"/>
          <w:b/>
          <w:sz w:val="20"/>
          <w:szCs w:val="20"/>
        </w:rPr>
        <w:t>A-</w:t>
      </w:r>
      <w:r w:rsidRPr="003F46CD">
        <w:rPr>
          <w:rFonts w:ascii="Arial" w:hAnsi="Arial" w:cs="Arial"/>
          <w:sz w:val="20"/>
          <w:szCs w:val="20"/>
        </w:rPr>
        <w:t xml:space="preserve"> Crescimento celular de B16F10 na condição controle (i) e em condições de tratamento com A9s a 0,1nM apenas no tempo de 0h (ii) e também com re-adição de A9s a 0,1</w:t>
      </w:r>
      <w:r w:rsidR="005B31D1">
        <w:rPr>
          <w:rFonts w:ascii="Arial" w:hAnsi="Arial" w:cs="Arial"/>
          <w:sz w:val="20"/>
          <w:szCs w:val="20"/>
        </w:rPr>
        <w:t xml:space="preserve"> </w:t>
      </w:r>
      <w:r w:rsidRPr="003F46CD">
        <w:rPr>
          <w:rFonts w:ascii="Arial" w:hAnsi="Arial" w:cs="Arial"/>
          <w:sz w:val="20"/>
          <w:szCs w:val="20"/>
        </w:rPr>
        <w:t xml:space="preserve">nM a cada 24h (iii); </w:t>
      </w:r>
      <w:r w:rsidRPr="003F46CD">
        <w:rPr>
          <w:rFonts w:ascii="Arial" w:hAnsi="Arial" w:cs="Arial"/>
          <w:b/>
          <w:sz w:val="20"/>
          <w:szCs w:val="20"/>
        </w:rPr>
        <w:t>B-</w:t>
      </w:r>
      <w:r w:rsidRPr="003F46CD">
        <w:rPr>
          <w:rFonts w:ascii="Arial" w:hAnsi="Arial" w:cs="Arial"/>
          <w:sz w:val="20"/>
          <w:szCs w:val="20"/>
        </w:rPr>
        <w:t xml:space="preserve"> Crescimento celular de B16F10 na condição controle (i) e em condições de tratamento com A9s a 100</w:t>
      </w:r>
      <w:r w:rsidR="0066185C">
        <w:rPr>
          <w:rFonts w:ascii="Arial" w:hAnsi="Arial" w:cs="Arial"/>
          <w:sz w:val="20"/>
          <w:szCs w:val="20"/>
        </w:rPr>
        <w:t xml:space="preserve"> </w:t>
      </w:r>
      <w:r w:rsidRPr="003F46CD">
        <w:rPr>
          <w:rFonts w:ascii="Arial" w:hAnsi="Arial" w:cs="Arial"/>
          <w:sz w:val="20"/>
          <w:szCs w:val="20"/>
        </w:rPr>
        <w:t>nM apenas no tempo de 0h (ii) e também com re-adição de A9s a 10</w:t>
      </w:r>
      <w:r w:rsidR="005B31D1">
        <w:rPr>
          <w:rFonts w:ascii="Arial" w:hAnsi="Arial" w:cs="Arial"/>
          <w:sz w:val="20"/>
          <w:szCs w:val="20"/>
        </w:rPr>
        <w:t xml:space="preserve">0 </w:t>
      </w:r>
      <w:r w:rsidRPr="003F46CD">
        <w:rPr>
          <w:rFonts w:ascii="Arial" w:hAnsi="Arial" w:cs="Arial"/>
          <w:sz w:val="20"/>
          <w:szCs w:val="20"/>
        </w:rPr>
        <w:t>nM a cada 24h (iii). Cada valor representa a média ± desvio padrão de dois experimentos que foram realizados em sextuplicata. O **</w:t>
      </w:r>
      <w:r w:rsidR="00D1108E">
        <w:rPr>
          <w:rFonts w:ascii="Arial" w:hAnsi="Arial" w:cs="Arial"/>
          <w:sz w:val="20"/>
          <w:szCs w:val="20"/>
        </w:rPr>
        <w:t xml:space="preserve"> e </w:t>
      </w:r>
      <w:r w:rsidR="00D1108E" w:rsidRPr="003F46CD">
        <w:rPr>
          <w:rFonts w:ascii="Arial" w:hAnsi="Arial" w:cs="Arial"/>
          <w:sz w:val="20"/>
          <w:szCs w:val="20"/>
        </w:rPr>
        <w:t>***</w:t>
      </w:r>
      <w:r w:rsidR="00D1108E">
        <w:rPr>
          <w:rFonts w:ascii="Arial" w:hAnsi="Arial" w:cs="Arial"/>
          <w:sz w:val="20"/>
          <w:szCs w:val="20"/>
        </w:rPr>
        <w:t xml:space="preserve"> indicam </w:t>
      </w:r>
      <w:r w:rsidRPr="003F46CD">
        <w:rPr>
          <w:rFonts w:ascii="Arial" w:hAnsi="Arial" w:cs="Arial"/>
          <w:sz w:val="20"/>
          <w:szCs w:val="20"/>
        </w:rPr>
        <w:t xml:space="preserve"> p&lt;0,01 e p&lt;0,001</w:t>
      </w:r>
      <w:r w:rsidR="00D1108E">
        <w:rPr>
          <w:rFonts w:ascii="Arial" w:hAnsi="Arial" w:cs="Arial"/>
          <w:sz w:val="20"/>
          <w:szCs w:val="20"/>
        </w:rPr>
        <w:t>, respectivamente,</w:t>
      </w:r>
      <w:r w:rsidRPr="003F46CD">
        <w:rPr>
          <w:rFonts w:ascii="Arial" w:hAnsi="Arial" w:cs="Arial"/>
          <w:sz w:val="20"/>
          <w:szCs w:val="20"/>
        </w:rPr>
        <w:t xml:space="preserve"> em relação ao controle.</w:t>
      </w:r>
      <w:bookmarkEnd w:id="11"/>
    </w:p>
    <w:p w14:paraId="14A00260" w14:textId="77777777" w:rsidR="00D17220" w:rsidRDefault="00D17220" w:rsidP="00C7433E">
      <w:pPr>
        <w:ind w:firstLine="0"/>
        <w:rPr>
          <w:rFonts w:ascii="Arial" w:hAnsi="Arial" w:cs="Arial"/>
          <w:sz w:val="20"/>
          <w:szCs w:val="20"/>
        </w:rPr>
      </w:pPr>
    </w:p>
    <w:p w14:paraId="5987C99B" w14:textId="77777777" w:rsidR="00D17220" w:rsidRPr="003F46CD" w:rsidRDefault="00D17220" w:rsidP="00C7433E">
      <w:pPr>
        <w:ind w:firstLine="0"/>
        <w:rPr>
          <w:rFonts w:ascii="Arial" w:hAnsi="Arial" w:cs="Arial"/>
          <w:sz w:val="20"/>
          <w:szCs w:val="20"/>
        </w:rPr>
      </w:pPr>
    </w:p>
    <w:p w14:paraId="494E2A02" w14:textId="6E7A2658" w:rsidR="00C7433E" w:rsidRPr="009A405C" w:rsidRDefault="002617FC" w:rsidP="00C7433E">
      <w:pPr>
        <w:pStyle w:val="seo2"/>
        <w:jc w:val="both"/>
        <w:rPr>
          <w:sz w:val="22"/>
          <w:szCs w:val="22"/>
        </w:rPr>
      </w:pPr>
      <w:bookmarkStart w:id="12" w:name="_Toc478569553"/>
      <w:r>
        <w:rPr>
          <w:sz w:val="22"/>
          <w:szCs w:val="22"/>
        </w:rPr>
        <w:lastRenderedPageBreak/>
        <w:t>V</w:t>
      </w:r>
      <w:r w:rsidR="00C7433E" w:rsidRPr="009A405C">
        <w:rPr>
          <w:sz w:val="22"/>
          <w:szCs w:val="22"/>
        </w:rPr>
        <w:t>iabilidade de B16F10</w:t>
      </w:r>
      <w:bookmarkEnd w:id="12"/>
      <w:r>
        <w:rPr>
          <w:sz w:val="22"/>
          <w:szCs w:val="22"/>
        </w:rPr>
        <w:t xml:space="preserve"> frente ao tratamento com o peptídeo A9s</w:t>
      </w:r>
    </w:p>
    <w:p w14:paraId="78E5E43E" w14:textId="57EA9B5F" w:rsidR="006930B3" w:rsidRDefault="007A58F4" w:rsidP="00C7433E">
      <w:pPr>
        <w:spacing w:line="360" w:lineRule="auto"/>
        <w:rPr>
          <w:rFonts w:ascii="Arial" w:hAnsi="Arial" w:cs="Arial"/>
          <w:sz w:val="22"/>
          <w:szCs w:val="22"/>
        </w:rPr>
      </w:pPr>
      <w:r w:rsidRPr="009A405C">
        <w:rPr>
          <w:rFonts w:ascii="Arial" w:hAnsi="Arial" w:cs="Arial"/>
          <w:sz w:val="22"/>
          <w:szCs w:val="22"/>
        </w:rPr>
        <w:t>No</w:t>
      </w:r>
      <w:r w:rsidR="00C7433E" w:rsidRPr="009A405C">
        <w:rPr>
          <w:rFonts w:ascii="Arial" w:hAnsi="Arial" w:cs="Arial"/>
          <w:sz w:val="22"/>
          <w:szCs w:val="22"/>
        </w:rPr>
        <w:t xml:space="preserve"> ensaio</w:t>
      </w:r>
      <w:r w:rsidR="00AE0CA2">
        <w:rPr>
          <w:rFonts w:ascii="Arial" w:hAnsi="Arial" w:cs="Arial"/>
          <w:sz w:val="22"/>
          <w:szCs w:val="22"/>
        </w:rPr>
        <w:t xml:space="preserve"> </w:t>
      </w:r>
      <w:r w:rsidR="00C7433E" w:rsidRPr="009A405C">
        <w:rPr>
          <w:rFonts w:ascii="Arial" w:hAnsi="Arial" w:cs="Arial"/>
          <w:sz w:val="22"/>
          <w:szCs w:val="22"/>
        </w:rPr>
        <w:t xml:space="preserve">de viabilidade </w:t>
      </w:r>
      <w:r w:rsidR="009C3522">
        <w:rPr>
          <w:rFonts w:ascii="Arial" w:hAnsi="Arial" w:cs="Arial"/>
          <w:sz w:val="22"/>
          <w:szCs w:val="22"/>
        </w:rPr>
        <w:t>celular</w:t>
      </w:r>
      <w:r w:rsidR="00AE0CA2">
        <w:rPr>
          <w:rFonts w:ascii="Arial" w:hAnsi="Arial" w:cs="Arial"/>
          <w:sz w:val="22"/>
          <w:szCs w:val="22"/>
        </w:rPr>
        <w:t xml:space="preserve"> </w:t>
      </w:r>
      <w:r w:rsidR="00C7433E" w:rsidRPr="009A405C">
        <w:rPr>
          <w:rFonts w:ascii="Arial" w:hAnsi="Arial" w:cs="Arial"/>
          <w:sz w:val="22"/>
          <w:szCs w:val="22"/>
        </w:rPr>
        <w:t>foi observado que as células</w:t>
      </w:r>
      <w:r w:rsidR="00AE0CA2">
        <w:rPr>
          <w:rFonts w:ascii="Arial" w:hAnsi="Arial" w:cs="Arial"/>
          <w:sz w:val="22"/>
          <w:szCs w:val="22"/>
        </w:rPr>
        <w:t xml:space="preserve"> B16F10</w:t>
      </w:r>
      <w:r w:rsidR="00C7433E" w:rsidRPr="009A405C">
        <w:rPr>
          <w:rFonts w:ascii="Arial" w:hAnsi="Arial" w:cs="Arial"/>
          <w:sz w:val="22"/>
          <w:szCs w:val="22"/>
        </w:rPr>
        <w:t xml:space="preserve"> retornaram</w:t>
      </w:r>
      <w:r w:rsidR="00870878">
        <w:rPr>
          <w:rFonts w:ascii="Arial" w:hAnsi="Arial" w:cs="Arial"/>
          <w:sz w:val="22"/>
          <w:szCs w:val="22"/>
        </w:rPr>
        <w:t xml:space="preserve"> ao</w:t>
      </w:r>
      <w:r w:rsidR="00C7433E" w:rsidRPr="009A405C">
        <w:rPr>
          <w:rFonts w:ascii="Arial" w:hAnsi="Arial" w:cs="Arial"/>
          <w:sz w:val="22"/>
          <w:szCs w:val="22"/>
        </w:rPr>
        <w:t xml:space="preserve"> seu padrão de crescimento sem apresentar toxicidade </w:t>
      </w:r>
      <w:r w:rsidR="00AE0CA2">
        <w:rPr>
          <w:rFonts w:ascii="Arial" w:hAnsi="Arial" w:cs="Arial"/>
          <w:sz w:val="22"/>
          <w:szCs w:val="22"/>
        </w:rPr>
        <w:t>aparente do A9s</w:t>
      </w:r>
      <w:r w:rsidR="00870878">
        <w:rPr>
          <w:rFonts w:ascii="Arial" w:hAnsi="Arial" w:cs="Arial"/>
          <w:sz w:val="22"/>
          <w:szCs w:val="22"/>
        </w:rPr>
        <w:t xml:space="preserve"> (adicionado apenas no tempo inicial)</w:t>
      </w:r>
      <w:r w:rsidR="00AE0CA2">
        <w:rPr>
          <w:rFonts w:ascii="Arial" w:hAnsi="Arial" w:cs="Arial"/>
          <w:sz w:val="22"/>
          <w:szCs w:val="22"/>
        </w:rPr>
        <w:t xml:space="preserve"> nas concentrações utilizadas no ensaio</w:t>
      </w:r>
      <w:r w:rsidR="00C7433E" w:rsidRPr="009A405C">
        <w:rPr>
          <w:rFonts w:ascii="Arial" w:hAnsi="Arial" w:cs="Arial"/>
          <w:sz w:val="22"/>
          <w:szCs w:val="22"/>
        </w:rPr>
        <w:t xml:space="preserve"> (Figura </w:t>
      </w:r>
      <w:r w:rsidR="00137754" w:rsidRPr="009A405C">
        <w:rPr>
          <w:rFonts w:ascii="Arial" w:hAnsi="Arial" w:cs="Arial"/>
          <w:sz w:val="22"/>
          <w:szCs w:val="22"/>
        </w:rPr>
        <w:t>5</w:t>
      </w:r>
      <w:r w:rsidR="00870878">
        <w:rPr>
          <w:rFonts w:ascii="Arial" w:hAnsi="Arial" w:cs="Arial"/>
          <w:sz w:val="22"/>
          <w:szCs w:val="22"/>
        </w:rPr>
        <w:t>: A9s 0 h</w:t>
      </w:r>
      <w:r w:rsidR="00C7433E" w:rsidRPr="009A405C">
        <w:rPr>
          <w:rFonts w:ascii="Arial" w:hAnsi="Arial" w:cs="Arial"/>
          <w:sz w:val="22"/>
          <w:szCs w:val="22"/>
        </w:rPr>
        <w:t xml:space="preserve">). Na condição de tratamento </w:t>
      </w:r>
      <w:r w:rsidR="00255875" w:rsidRPr="009A405C">
        <w:rPr>
          <w:rFonts w:ascii="Arial" w:hAnsi="Arial" w:cs="Arial"/>
          <w:sz w:val="22"/>
          <w:szCs w:val="22"/>
        </w:rPr>
        <w:t xml:space="preserve">onde foi adicionado mais peptídeo A9s a cada 24 horas </w:t>
      </w:r>
      <w:r w:rsidR="00255875">
        <w:rPr>
          <w:rFonts w:ascii="Arial" w:hAnsi="Arial" w:cs="Arial"/>
          <w:sz w:val="22"/>
          <w:szCs w:val="22"/>
        </w:rPr>
        <w:t>n</w:t>
      </w:r>
      <w:r w:rsidR="00C7433E" w:rsidRPr="009A405C">
        <w:rPr>
          <w:rFonts w:ascii="Arial" w:hAnsi="Arial" w:cs="Arial"/>
          <w:sz w:val="22"/>
          <w:szCs w:val="22"/>
        </w:rPr>
        <w:t>as células B16F10</w:t>
      </w:r>
      <w:r w:rsidR="00255875">
        <w:rPr>
          <w:rFonts w:ascii="Arial" w:hAnsi="Arial" w:cs="Arial"/>
          <w:sz w:val="22"/>
          <w:szCs w:val="22"/>
        </w:rPr>
        <w:t>,</w:t>
      </w:r>
      <w:r w:rsidR="00C7433E" w:rsidRPr="009A405C">
        <w:rPr>
          <w:rFonts w:ascii="Arial" w:hAnsi="Arial" w:cs="Arial"/>
          <w:sz w:val="22"/>
          <w:szCs w:val="22"/>
        </w:rPr>
        <w:t xml:space="preserve"> observou-se diferença estatística significativa na porcentagem de</w:t>
      </w:r>
      <w:r w:rsidR="00AE0CA2">
        <w:rPr>
          <w:rFonts w:ascii="Arial" w:hAnsi="Arial" w:cs="Arial"/>
          <w:sz w:val="22"/>
          <w:szCs w:val="22"/>
        </w:rPr>
        <w:t xml:space="preserve"> viabilidade celular</w:t>
      </w:r>
      <w:r w:rsidR="00C7433E" w:rsidRPr="009A405C">
        <w:rPr>
          <w:rFonts w:ascii="Arial" w:hAnsi="Arial" w:cs="Arial"/>
          <w:sz w:val="22"/>
          <w:szCs w:val="22"/>
        </w:rPr>
        <w:t>. A re-adição de A9s reduziu em até 62% a viabilidade celular de B16F10 na concentração de 0,1</w:t>
      </w:r>
      <w:r w:rsidR="00870878">
        <w:rPr>
          <w:rFonts w:ascii="Arial" w:hAnsi="Arial" w:cs="Arial"/>
          <w:sz w:val="22"/>
          <w:szCs w:val="22"/>
        </w:rPr>
        <w:t xml:space="preserve"> </w:t>
      </w:r>
      <w:r w:rsidR="00C7433E" w:rsidRPr="009A405C">
        <w:rPr>
          <w:rFonts w:ascii="Arial" w:hAnsi="Arial" w:cs="Arial"/>
          <w:sz w:val="22"/>
          <w:szCs w:val="22"/>
        </w:rPr>
        <w:t xml:space="preserve">nM (Figura </w:t>
      </w:r>
      <w:r w:rsidR="00137754" w:rsidRPr="009A405C">
        <w:rPr>
          <w:rFonts w:ascii="Arial" w:hAnsi="Arial" w:cs="Arial"/>
          <w:sz w:val="22"/>
          <w:szCs w:val="22"/>
        </w:rPr>
        <w:t>5</w:t>
      </w:r>
      <w:r w:rsidR="00870878">
        <w:rPr>
          <w:rFonts w:ascii="Arial" w:hAnsi="Arial" w:cs="Arial"/>
          <w:sz w:val="22"/>
          <w:szCs w:val="22"/>
        </w:rPr>
        <w:t>: +A9s a cada 24h</w:t>
      </w:r>
      <w:r w:rsidR="00C7433E" w:rsidRPr="009A405C">
        <w:rPr>
          <w:rFonts w:ascii="Arial" w:hAnsi="Arial" w:cs="Arial"/>
          <w:sz w:val="22"/>
          <w:szCs w:val="22"/>
        </w:rPr>
        <w:t xml:space="preserve">). Porém, este valor de redução </w:t>
      </w:r>
      <w:r w:rsidR="00AE0CA2">
        <w:rPr>
          <w:rFonts w:ascii="Arial" w:hAnsi="Arial" w:cs="Arial"/>
          <w:sz w:val="22"/>
          <w:szCs w:val="22"/>
        </w:rPr>
        <w:t>deve</w:t>
      </w:r>
      <w:r w:rsidR="00C7433E" w:rsidRPr="009A405C">
        <w:rPr>
          <w:rFonts w:ascii="Arial" w:hAnsi="Arial" w:cs="Arial"/>
          <w:sz w:val="22"/>
          <w:szCs w:val="22"/>
        </w:rPr>
        <w:t xml:space="preserve"> estar associado ao fato de que o crescimento celular é inibido em maior porcentagem ao adicionarmos mais peptídeo a cada 24h.</w:t>
      </w:r>
      <w:r w:rsidR="009C3522">
        <w:rPr>
          <w:rFonts w:ascii="Arial" w:hAnsi="Arial" w:cs="Arial"/>
          <w:sz w:val="22"/>
          <w:szCs w:val="22"/>
        </w:rPr>
        <w:t xml:space="preserve"> </w:t>
      </w:r>
      <w:r w:rsidR="006930B3">
        <w:rPr>
          <w:rFonts w:ascii="Arial" w:hAnsi="Arial" w:cs="Arial"/>
          <w:sz w:val="22"/>
          <w:szCs w:val="22"/>
        </w:rPr>
        <w:t>Ao compararmos os resultados ao adicionar peptídeo no início do experimento frente a adição a cada 24 horas foi possível inferir que a diminuição da viabilidade de B16F10 ao re-adicionar A9s está indicando o tempo de ação do peptídeo. Caso o A9s seja adicionado a cada 24h o seu efeito na inibição da adesão e crescimento celular é potencializado, mas caso a sua adição seja interrompida as células voltam a crescer normalmente.</w:t>
      </w:r>
    </w:p>
    <w:p w14:paraId="56AE5B61" w14:textId="0996ED03" w:rsidR="00C7433E" w:rsidRPr="009A405C" w:rsidRDefault="009C3522" w:rsidP="00C7433E">
      <w:pPr>
        <w:spacing w:line="360" w:lineRule="auto"/>
        <w:rPr>
          <w:rFonts w:ascii="Arial" w:hAnsi="Arial" w:cs="Arial"/>
          <w:sz w:val="22"/>
          <w:szCs w:val="22"/>
        </w:rPr>
      </w:pPr>
      <w:r>
        <w:rPr>
          <w:rFonts w:ascii="Arial" w:hAnsi="Arial" w:cs="Arial"/>
          <w:sz w:val="22"/>
          <w:szCs w:val="22"/>
        </w:rPr>
        <w:t xml:space="preserve">Não houve o efeito de diminuição da viabilidade ao </w:t>
      </w:r>
      <w:r w:rsidR="00C338B3">
        <w:rPr>
          <w:rFonts w:ascii="Arial" w:hAnsi="Arial" w:cs="Arial"/>
          <w:sz w:val="22"/>
          <w:szCs w:val="22"/>
        </w:rPr>
        <w:t>re-</w:t>
      </w:r>
      <w:r>
        <w:rPr>
          <w:rFonts w:ascii="Arial" w:hAnsi="Arial" w:cs="Arial"/>
          <w:sz w:val="22"/>
          <w:szCs w:val="22"/>
        </w:rPr>
        <w:t xml:space="preserve">adicionar </w:t>
      </w:r>
      <w:r w:rsidR="00674824">
        <w:rPr>
          <w:rFonts w:ascii="Arial" w:hAnsi="Arial" w:cs="Arial"/>
          <w:sz w:val="22"/>
          <w:szCs w:val="22"/>
        </w:rPr>
        <w:t>100</w:t>
      </w:r>
      <w:r w:rsidR="00870878">
        <w:rPr>
          <w:rFonts w:ascii="Arial" w:hAnsi="Arial" w:cs="Arial"/>
          <w:sz w:val="22"/>
          <w:szCs w:val="22"/>
        </w:rPr>
        <w:t xml:space="preserve"> </w:t>
      </w:r>
      <w:r w:rsidR="00674824">
        <w:rPr>
          <w:rFonts w:ascii="Arial" w:hAnsi="Arial" w:cs="Arial"/>
          <w:sz w:val="22"/>
          <w:szCs w:val="22"/>
        </w:rPr>
        <w:t>nM e 1000</w:t>
      </w:r>
      <w:r w:rsidR="00870878">
        <w:rPr>
          <w:rFonts w:ascii="Arial" w:hAnsi="Arial" w:cs="Arial"/>
          <w:sz w:val="22"/>
          <w:szCs w:val="22"/>
        </w:rPr>
        <w:t xml:space="preserve"> </w:t>
      </w:r>
      <w:r w:rsidR="00674824">
        <w:rPr>
          <w:rFonts w:ascii="Arial" w:hAnsi="Arial" w:cs="Arial"/>
          <w:sz w:val="22"/>
          <w:szCs w:val="22"/>
        </w:rPr>
        <w:t xml:space="preserve">nM de </w:t>
      </w:r>
      <w:r>
        <w:rPr>
          <w:rFonts w:ascii="Arial" w:hAnsi="Arial" w:cs="Arial"/>
          <w:sz w:val="22"/>
          <w:szCs w:val="22"/>
        </w:rPr>
        <w:t>peptídeo</w:t>
      </w:r>
      <w:r w:rsidR="002617FC">
        <w:rPr>
          <w:rFonts w:ascii="Arial" w:hAnsi="Arial" w:cs="Arial"/>
          <w:sz w:val="22"/>
          <w:szCs w:val="22"/>
        </w:rPr>
        <w:t>.</w:t>
      </w:r>
      <w:r>
        <w:rPr>
          <w:rFonts w:ascii="Arial" w:hAnsi="Arial" w:cs="Arial"/>
          <w:sz w:val="22"/>
          <w:szCs w:val="22"/>
        </w:rPr>
        <w:t xml:space="preserve"> </w:t>
      </w:r>
      <w:r w:rsidR="002617FC">
        <w:rPr>
          <w:rFonts w:ascii="Arial" w:hAnsi="Arial" w:cs="Arial"/>
          <w:sz w:val="22"/>
          <w:szCs w:val="22"/>
        </w:rPr>
        <w:t xml:space="preserve">Como o peptídeo A9s </w:t>
      </w:r>
      <w:r w:rsidR="00ED4217">
        <w:rPr>
          <w:rFonts w:ascii="Arial" w:hAnsi="Arial" w:cs="Arial"/>
          <w:sz w:val="22"/>
          <w:szCs w:val="22"/>
        </w:rPr>
        <w:t>foi desenhado para interagir de forma mecânica com as integrinas, acreditamos que ocorre um melhor</w:t>
      </w:r>
      <w:r>
        <w:rPr>
          <w:rFonts w:ascii="Arial" w:hAnsi="Arial" w:cs="Arial"/>
          <w:sz w:val="22"/>
          <w:szCs w:val="22"/>
        </w:rPr>
        <w:t xml:space="preserve"> reconhec</w:t>
      </w:r>
      <w:r w:rsidR="00ED4217">
        <w:rPr>
          <w:rFonts w:ascii="Arial" w:hAnsi="Arial" w:cs="Arial"/>
          <w:sz w:val="22"/>
          <w:szCs w:val="22"/>
        </w:rPr>
        <w:t>imento deste pelas células quando há</w:t>
      </w:r>
      <w:r w:rsidR="002617FC">
        <w:rPr>
          <w:rFonts w:ascii="Arial" w:hAnsi="Arial" w:cs="Arial"/>
          <w:sz w:val="22"/>
          <w:szCs w:val="22"/>
        </w:rPr>
        <w:t xml:space="preserve"> </w:t>
      </w:r>
      <w:r w:rsidR="00ED4217">
        <w:rPr>
          <w:rFonts w:ascii="Arial" w:hAnsi="Arial" w:cs="Arial"/>
          <w:sz w:val="22"/>
          <w:szCs w:val="22"/>
        </w:rPr>
        <w:t>altas concentrações extracelulares do</w:t>
      </w:r>
      <w:r w:rsidR="002617FC">
        <w:rPr>
          <w:rFonts w:ascii="Arial" w:hAnsi="Arial" w:cs="Arial"/>
          <w:sz w:val="22"/>
          <w:szCs w:val="22"/>
        </w:rPr>
        <w:t xml:space="preserve"> peptídeo </w:t>
      </w:r>
      <w:r w:rsidR="002617FC">
        <w:rPr>
          <w:rFonts w:ascii="Arial" w:hAnsi="Arial" w:cs="Arial"/>
          <w:sz w:val="22"/>
          <w:szCs w:val="22"/>
        </w:rPr>
        <w:fldChar w:fldCharType="begin" w:fldLock="1"/>
      </w:r>
      <w:r w:rsidR="00AA5B1A">
        <w:rPr>
          <w:rFonts w:ascii="Arial" w:hAnsi="Arial" w:cs="Arial"/>
          <w:sz w:val="22"/>
          <w:szCs w:val="22"/>
        </w:rPr>
        <w:instrText>ADDIN CSL_CITATION {"citationItems":[{"id":"ITEM-1","itemData":{"author":[{"dropping-particle":"","family":"Ann M. Thayer","given":"","non-dropping-particle":"","parse-names":false,"suffix":""}],"container-title":"Chemical and Engineering News","id":"ITEM-1","issue":"22","issued":{"date-parts":[["2011"]]},"page":"13-20","title":"Improving Peptides: Small firms develop better peptide drug candidates to expand this pharmaceutical class and attract big pharma partners","type":"article-journal","volume":"89"},"uris":["http://www.mendeley.com/documents/?uuid=d4daf39e-217e-4e20-bbd0-ec2d66cd8f68"]},{"id":"ITEM-2","itemData":{"DOI":"10.1152/physrev.00015.2016","ISSN":"0031-9333","abstract":"Physiological characteristics of diseases bring about both challenges and opportunities for targeted drug delivery. Various drug delivery platforms have been devised ranging from macro- to micro- and further into the nanoscopic scale in the past decades. Recently, the favorable physicochemical properties of nanomaterials, including long circulation, robust tissue and cell penetration attract broad interest, leading to extensive studies for therapeutic benefits. Accumulated knowledge about the physiological barriers that affect the in vivo fate of nanomedicine has led to more rational guidelines for tailoring the nanocarriers, such as size, shape, charge, and surface ligands. Meanwhile, progresses in material chemistry and molecular pharmaceutics generate a panel of physiological stimuli-responsive modules that are equipped into the formulations to prepare “smart” drug delivery systems. The capability of harnessing physiological traits of diseased tissues to control the accumulation of or drug release from...","author":[{"dropping-particle":"","family":"Sun","given":"Wujin","non-dropping-particle":"","parse-names":false,"suffix":""},{"dropping-particle":"","family":"Hu","given":"Quanyin","non-dropping-particle":"","parse-names":false,"suffix":""},{"dropping-particle":"","family":"Ji","given":"Wenyan","non-dropping-particle":"","parse-names":false,"suffix":""},{"dropping-particle":"","family":"Wright","given":"Grace","non-dropping-particle":"","parse-names":false,"suffix":""},{"dropping-particle":"","family":"Gu","given":"Zhen","non-dropping-particle":"","parse-names":false,"suffix":""}],"container-title":"Physiological Reviews","id":"ITEM-2","issue":"1","issued":{"date-parts":[["2016"]]},"page":"189-225","title":"Leveraging Physiology for Precision Drug Delivery","type":"article-journal","volume":"97"},"uris":["http://www.mendeley.com/documents/?uuid=228a8309-c2e6-4901-a065-e5dc5cfa9413"]}],"mendeley":{"formattedCitation":"[14,38]","plainTextFormattedCitation":"[14,38]","previouslyFormattedCitation":"[14]"},"properties":{"noteIndex":0},"schema":"https://github.com/citation-style-language/schema/raw/master/csl-citation.json"}</w:instrText>
      </w:r>
      <w:r w:rsidR="002617FC">
        <w:rPr>
          <w:rFonts w:ascii="Arial" w:hAnsi="Arial" w:cs="Arial"/>
          <w:sz w:val="22"/>
          <w:szCs w:val="22"/>
        </w:rPr>
        <w:fldChar w:fldCharType="separate"/>
      </w:r>
      <w:r w:rsidR="00AA5B1A" w:rsidRPr="00AA5B1A">
        <w:rPr>
          <w:rFonts w:ascii="Arial" w:hAnsi="Arial" w:cs="Arial"/>
          <w:noProof/>
          <w:sz w:val="22"/>
          <w:szCs w:val="22"/>
        </w:rPr>
        <w:t>[14,38]</w:t>
      </w:r>
      <w:r w:rsidR="002617FC">
        <w:rPr>
          <w:rFonts w:ascii="Arial" w:hAnsi="Arial" w:cs="Arial"/>
          <w:sz w:val="22"/>
          <w:szCs w:val="22"/>
        </w:rPr>
        <w:fldChar w:fldCharType="end"/>
      </w:r>
      <w:r w:rsidR="00ED4217">
        <w:rPr>
          <w:rFonts w:ascii="Arial" w:hAnsi="Arial" w:cs="Arial"/>
          <w:sz w:val="22"/>
          <w:szCs w:val="22"/>
        </w:rPr>
        <w:t xml:space="preserve">, </w:t>
      </w:r>
      <w:r w:rsidR="00AA5B1A">
        <w:rPr>
          <w:rFonts w:ascii="Arial" w:hAnsi="Arial" w:cs="Arial"/>
          <w:sz w:val="22"/>
          <w:szCs w:val="22"/>
        </w:rPr>
        <w:t xml:space="preserve">uma vez reconhecido é </w:t>
      </w:r>
      <w:r w:rsidR="002617FC">
        <w:rPr>
          <w:rFonts w:ascii="Arial" w:hAnsi="Arial" w:cs="Arial"/>
          <w:sz w:val="22"/>
          <w:szCs w:val="22"/>
        </w:rPr>
        <w:t>possível</w:t>
      </w:r>
      <w:r w:rsidR="00AA5B1A">
        <w:rPr>
          <w:rFonts w:ascii="Arial" w:hAnsi="Arial" w:cs="Arial"/>
          <w:sz w:val="22"/>
          <w:szCs w:val="22"/>
        </w:rPr>
        <w:t xml:space="preserve"> que ocorra</w:t>
      </w:r>
      <w:r w:rsidR="002617FC">
        <w:rPr>
          <w:rFonts w:ascii="Arial" w:hAnsi="Arial" w:cs="Arial"/>
          <w:sz w:val="22"/>
          <w:szCs w:val="22"/>
        </w:rPr>
        <w:t xml:space="preserve"> a</w:t>
      </w:r>
      <w:r>
        <w:rPr>
          <w:rFonts w:ascii="Arial" w:hAnsi="Arial" w:cs="Arial"/>
          <w:sz w:val="22"/>
          <w:szCs w:val="22"/>
        </w:rPr>
        <w:t xml:space="preserve"> degradação intra</w:t>
      </w:r>
      <w:r w:rsidR="00AA5B1A">
        <w:rPr>
          <w:rFonts w:ascii="Arial" w:hAnsi="Arial" w:cs="Arial"/>
          <w:sz w:val="22"/>
          <w:szCs w:val="22"/>
        </w:rPr>
        <w:t xml:space="preserve"> ou extra</w:t>
      </w:r>
      <w:r>
        <w:rPr>
          <w:rFonts w:ascii="Arial" w:hAnsi="Arial" w:cs="Arial"/>
          <w:sz w:val="22"/>
          <w:szCs w:val="22"/>
        </w:rPr>
        <w:t>celular d</w:t>
      </w:r>
      <w:r w:rsidR="002617FC">
        <w:rPr>
          <w:rFonts w:ascii="Arial" w:hAnsi="Arial" w:cs="Arial"/>
          <w:sz w:val="22"/>
          <w:szCs w:val="22"/>
        </w:rPr>
        <w:t>esse</w:t>
      </w:r>
      <w:r>
        <w:rPr>
          <w:rFonts w:ascii="Arial" w:hAnsi="Arial" w:cs="Arial"/>
          <w:sz w:val="22"/>
          <w:szCs w:val="22"/>
        </w:rPr>
        <w:t xml:space="preserve"> peptídeo</w:t>
      </w:r>
      <w:r w:rsidR="00AA5B1A">
        <w:rPr>
          <w:rFonts w:ascii="Arial" w:hAnsi="Arial" w:cs="Arial"/>
          <w:sz w:val="22"/>
          <w:szCs w:val="22"/>
        </w:rPr>
        <w:t>.</w:t>
      </w:r>
    </w:p>
    <w:p w14:paraId="79F46B1B" w14:textId="77777777" w:rsidR="00C7433E" w:rsidRPr="008667F0" w:rsidRDefault="00C7433E" w:rsidP="00C7433E">
      <w:pPr>
        <w:ind w:firstLine="0"/>
        <w:jc w:val="center"/>
        <w:rPr>
          <w:rFonts w:ascii="Arial" w:hAnsi="Arial" w:cs="Arial"/>
        </w:rPr>
      </w:pPr>
      <w:r>
        <w:rPr>
          <w:rFonts w:ascii="Arial" w:hAnsi="Arial" w:cs="Arial"/>
          <w:noProof/>
          <w:lang w:eastAsia="pt-BR"/>
        </w:rPr>
        <w:drawing>
          <wp:inline distT="0" distB="0" distL="0" distR="0" wp14:anchorId="042B8B96" wp14:editId="1596A734">
            <wp:extent cx="5841166" cy="3054986"/>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T b16f10.jpg"/>
                    <pic:cNvPicPr/>
                  </pic:nvPicPr>
                  <pic:blipFill rotWithShape="1">
                    <a:blip r:embed="rId11" cstate="print">
                      <a:extLst>
                        <a:ext uri="{28A0092B-C50C-407E-A947-70E740481C1C}">
                          <a14:useLocalDpi xmlns:a14="http://schemas.microsoft.com/office/drawing/2010/main" val="0"/>
                        </a:ext>
                      </a:extLst>
                    </a:blip>
                    <a:srcRect t="17451"/>
                    <a:stretch/>
                  </pic:blipFill>
                  <pic:spPr bwMode="auto">
                    <a:xfrm>
                      <a:off x="0" y="0"/>
                      <a:ext cx="5844878" cy="3056928"/>
                    </a:xfrm>
                    <a:prstGeom prst="rect">
                      <a:avLst/>
                    </a:prstGeom>
                    <a:ln>
                      <a:noFill/>
                    </a:ln>
                    <a:extLst>
                      <a:ext uri="{53640926-AAD7-44D8-BBD7-CCE9431645EC}">
                        <a14:shadowObscured xmlns:a14="http://schemas.microsoft.com/office/drawing/2010/main"/>
                      </a:ext>
                    </a:extLst>
                  </pic:spPr>
                </pic:pic>
              </a:graphicData>
            </a:graphic>
          </wp:inline>
        </w:drawing>
      </w:r>
    </w:p>
    <w:p w14:paraId="30BDE6F7" w14:textId="707EA0B0" w:rsidR="00C7433E" w:rsidRPr="003F46CD" w:rsidRDefault="00C7433E" w:rsidP="00C7433E">
      <w:pPr>
        <w:ind w:firstLine="0"/>
        <w:rPr>
          <w:rFonts w:ascii="Arial" w:hAnsi="Arial" w:cs="Arial"/>
          <w:sz w:val="20"/>
          <w:szCs w:val="20"/>
        </w:rPr>
      </w:pPr>
      <w:r w:rsidRPr="003F46CD">
        <w:rPr>
          <w:rFonts w:ascii="Arial" w:hAnsi="Arial" w:cs="Arial"/>
          <w:b/>
          <w:sz w:val="20"/>
          <w:szCs w:val="20"/>
        </w:rPr>
        <w:t xml:space="preserve">Figura </w:t>
      </w:r>
      <w:r w:rsidR="00137754" w:rsidRPr="003F46CD">
        <w:rPr>
          <w:rFonts w:ascii="Arial" w:hAnsi="Arial" w:cs="Arial"/>
          <w:b/>
          <w:sz w:val="20"/>
          <w:szCs w:val="20"/>
        </w:rPr>
        <w:t>5</w:t>
      </w:r>
      <w:r w:rsidRPr="003F46CD">
        <w:rPr>
          <w:rFonts w:ascii="Arial" w:hAnsi="Arial" w:cs="Arial"/>
          <w:b/>
          <w:sz w:val="20"/>
          <w:szCs w:val="20"/>
        </w:rPr>
        <w:t xml:space="preserve">: </w:t>
      </w:r>
      <w:r w:rsidRPr="003F46CD">
        <w:rPr>
          <w:rFonts w:ascii="Arial" w:hAnsi="Arial" w:cs="Arial"/>
          <w:sz w:val="20"/>
          <w:szCs w:val="20"/>
        </w:rPr>
        <w:t xml:space="preserve">Viabilidade celular de B16F10 aderida a fibronectina sobre tratamento com diferentes concentrações de A9s. Foram realizadas duas condições de tratamentos. (i) O peptídeo A9s foi adicionado somente no tempo de 0h. (ii) O peptídeo foi re-adicionado a cada 24h nas diferentes concentrações de A9s. O ensaio foi realizado até 72h e a viabilidade celular foi mensurada na absorbância de 570nm. Cada valor representa a média ± desvio padrão de dois experimentos </w:t>
      </w:r>
      <w:r w:rsidRPr="003F46CD">
        <w:rPr>
          <w:rFonts w:ascii="Arial" w:hAnsi="Arial" w:cs="Arial"/>
          <w:sz w:val="20"/>
          <w:szCs w:val="20"/>
        </w:rPr>
        <w:lastRenderedPageBreak/>
        <w:t>que foram realizados em sextuplicata. O ***</w:t>
      </w:r>
      <w:r w:rsidR="00D1108E">
        <w:rPr>
          <w:rFonts w:ascii="Arial" w:hAnsi="Arial" w:cs="Arial"/>
          <w:sz w:val="20"/>
          <w:szCs w:val="20"/>
        </w:rPr>
        <w:t xml:space="preserve"> indica </w:t>
      </w:r>
      <w:r w:rsidRPr="003F46CD">
        <w:rPr>
          <w:rFonts w:ascii="Arial" w:hAnsi="Arial" w:cs="Arial"/>
          <w:sz w:val="20"/>
          <w:szCs w:val="20"/>
        </w:rPr>
        <w:t>p&lt;0,001 é em relação a condição de tratamento (i).</w:t>
      </w:r>
    </w:p>
    <w:p w14:paraId="00526AD3" w14:textId="77777777" w:rsidR="00C7433E" w:rsidRPr="009A405C" w:rsidRDefault="00C7433E" w:rsidP="00C7433E">
      <w:pPr>
        <w:pStyle w:val="seo2"/>
        <w:rPr>
          <w:sz w:val="22"/>
          <w:szCs w:val="22"/>
        </w:rPr>
      </w:pPr>
      <w:bookmarkStart w:id="13" w:name="_Toc478569554"/>
      <w:r w:rsidRPr="009A405C">
        <w:rPr>
          <w:sz w:val="22"/>
          <w:szCs w:val="22"/>
        </w:rPr>
        <w:t>Efeito da interação de A9s na proliferação e migração celular da linhagem B16F10 em fibronectina</w:t>
      </w:r>
      <w:bookmarkEnd w:id="13"/>
    </w:p>
    <w:p w14:paraId="74D8D300" w14:textId="7282A045" w:rsidR="00C7433E" w:rsidRDefault="00C7433E" w:rsidP="00C7433E">
      <w:pPr>
        <w:spacing w:line="360" w:lineRule="auto"/>
        <w:rPr>
          <w:rFonts w:ascii="Arial" w:hAnsi="Arial" w:cs="Arial"/>
          <w:sz w:val="22"/>
          <w:szCs w:val="22"/>
        </w:rPr>
      </w:pPr>
      <w:r w:rsidRPr="009A405C">
        <w:rPr>
          <w:rFonts w:ascii="Arial" w:hAnsi="Arial" w:cs="Arial"/>
          <w:sz w:val="22"/>
          <w:szCs w:val="22"/>
        </w:rPr>
        <w:t>O ensaio de proliferação e migração celular foi realizado com base no ensaio de cicatrização celular, que mede a adesão, proliferação e migração de células em uma lesão feita na monocamada celular.</w:t>
      </w:r>
    </w:p>
    <w:p w14:paraId="184B782C" w14:textId="3C9A0054" w:rsidR="004A513D" w:rsidRPr="009A405C" w:rsidRDefault="004A513D" w:rsidP="004A513D">
      <w:pPr>
        <w:spacing w:line="360" w:lineRule="auto"/>
        <w:ind w:firstLine="708"/>
        <w:rPr>
          <w:rFonts w:ascii="Arial" w:hAnsi="Arial" w:cs="Arial"/>
          <w:sz w:val="22"/>
          <w:szCs w:val="22"/>
        </w:rPr>
      </w:pPr>
      <w:r w:rsidRPr="009A405C">
        <w:rPr>
          <w:rFonts w:ascii="Arial" w:hAnsi="Arial" w:cs="Arial"/>
          <w:sz w:val="22"/>
          <w:szCs w:val="22"/>
        </w:rPr>
        <w:t xml:space="preserve">As curvas foram calculadas a partir da obtenção de fotos de diferentes pontos da lesão na monocamada nos diferentes tempos. Nas imagens (Figura 6 </w:t>
      </w:r>
      <w:r>
        <w:rPr>
          <w:rFonts w:ascii="Arial" w:hAnsi="Arial" w:cs="Arial"/>
          <w:sz w:val="22"/>
          <w:szCs w:val="22"/>
        </w:rPr>
        <w:t>A</w:t>
      </w:r>
      <w:r w:rsidRPr="009A405C">
        <w:rPr>
          <w:rFonts w:ascii="Arial" w:hAnsi="Arial" w:cs="Arial"/>
          <w:sz w:val="22"/>
          <w:szCs w:val="22"/>
        </w:rPr>
        <w:t xml:space="preserve"> e </w:t>
      </w:r>
      <w:r>
        <w:rPr>
          <w:rFonts w:ascii="Arial" w:hAnsi="Arial" w:cs="Arial"/>
          <w:sz w:val="22"/>
          <w:szCs w:val="22"/>
        </w:rPr>
        <w:t>B</w:t>
      </w:r>
      <w:r w:rsidRPr="009A405C">
        <w:rPr>
          <w:rFonts w:ascii="Arial" w:hAnsi="Arial" w:cs="Arial"/>
          <w:sz w:val="22"/>
          <w:szCs w:val="22"/>
        </w:rPr>
        <w:t>) foi possível observar que no processo de proliferação (Figura 6</w:t>
      </w:r>
      <w:r>
        <w:rPr>
          <w:rFonts w:ascii="Arial" w:hAnsi="Arial" w:cs="Arial"/>
          <w:sz w:val="22"/>
          <w:szCs w:val="22"/>
        </w:rPr>
        <w:t>A</w:t>
      </w:r>
      <w:r w:rsidRPr="009A405C">
        <w:rPr>
          <w:rFonts w:ascii="Arial" w:hAnsi="Arial" w:cs="Arial"/>
          <w:sz w:val="22"/>
          <w:szCs w:val="22"/>
        </w:rPr>
        <w:t>) não houve uma diferença de fechamento da monocamada muito significativa enquanto o processo de inibição da migração é visível (Figura 6</w:t>
      </w:r>
      <w:r>
        <w:rPr>
          <w:rFonts w:ascii="Arial" w:hAnsi="Arial" w:cs="Arial"/>
          <w:sz w:val="22"/>
          <w:szCs w:val="22"/>
        </w:rPr>
        <w:t>B</w:t>
      </w:r>
      <w:r w:rsidRPr="009A405C">
        <w:rPr>
          <w:rFonts w:ascii="Arial" w:hAnsi="Arial" w:cs="Arial"/>
          <w:sz w:val="22"/>
          <w:szCs w:val="22"/>
        </w:rPr>
        <w:t>).</w:t>
      </w:r>
    </w:p>
    <w:p w14:paraId="1C2E51E3" w14:textId="76A27A85" w:rsidR="00C7433E" w:rsidRDefault="00C2252A" w:rsidP="00C7433E">
      <w:pPr>
        <w:spacing w:line="360" w:lineRule="auto"/>
        <w:rPr>
          <w:rFonts w:ascii="Arial" w:hAnsi="Arial" w:cs="Arial"/>
          <w:sz w:val="22"/>
          <w:szCs w:val="22"/>
        </w:rPr>
      </w:pPr>
      <w:r>
        <w:rPr>
          <w:rFonts w:ascii="Arial" w:hAnsi="Arial" w:cs="Arial"/>
          <w:sz w:val="22"/>
          <w:szCs w:val="22"/>
        </w:rPr>
        <w:t>N</w:t>
      </w:r>
      <w:r w:rsidR="00C7433E" w:rsidRPr="009A405C">
        <w:rPr>
          <w:rFonts w:ascii="Arial" w:hAnsi="Arial" w:cs="Arial"/>
          <w:sz w:val="22"/>
          <w:szCs w:val="22"/>
        </w:rPr>
        <w:t xml:space="preserve">o ensaio de proliferação celular </w:t>
      </w:r>
      <w:r>
        <w:rPr>
          <w:rFonts w:ascii="Arial" w:hAnsi="Arial" w:cs="Arial"/>
          <w:sz w:val="22"/>
          <w:szCs w:val="22"/>
        </w:rPr>
        <w:t>quando</w:t>
      </w:r>
      <w:r w:rsidR="00C7433E" w:rsidRPr="009A405C">
        <w:rPr>
          <w:rFonts w:ascii="Arial" w:hAnsi="Arial" w:cs="Arial"/>
          <w:sz w:val="22"/>
          <w:szCs w:val="22"/>
        </w:rPr>
        <w:t xml:space="preserve"> adicionado 0,1</w:t>
      </w:r>
      <w:r w:rsidR="0066185C">
        <w:rPr>
          <w:rFonts w:ascii="Arial" w:hAnsi="Arial" w:cs="Arial"/>
          <w:sz w:val="22"/>
          <w:szCs w:val="22"/>
        </w:rPr>
        <w:t xml:space="preserve"> </w:t>
      </w:r>
      <w:r w:rsidR="00C7433E" w:rsidRPr="009A405C">
        <w:rPr>
          <w:rFonts w:ascii="Arial" w:hAnsi="Arial" w:cs="Arial"/>
          <w:sz w:val="22"/>
          <w:szCs w:val="22"/>
        </w:rPr>
        <w:t>nM</w:t>
      </w:r>
      <w:r>
        <w:rPr>
          <w:rFonts w:ascii="Arial" w:hAnsi="Arial" w:cs="Arial"/>
          <w:sz w:val="22"/>
          <w:szCs w:val="22"/>
        </w:rPr>
        <w:t xml:space="preserve"> e </w:t>
      </w:r>
      <w:r w:rsidRPr="009A405C">
        <w:rPr>
          <w:rFonts w:ascii="Arial" w:hAnsi="Arial" w:cs="Arial"/>
          <w:sz w:val="22"/>
          <w:szCs w:val="22"/>
        </w:rPr>
        <w:t>100</w:t>
      </w:r>
      <w:r w:rsidR="0066185C">
        <w:rPr>
          <w:rFonts w:ascii="Arial" w:hAnsi="Arial" w:cs="Arial"/>
          <w:sz w:val="22"/>
          <w:szCs w:val="22"/>
        </w:rPr>
        <w:t xml:space="preserve"> </w:t>
      </w:r>
      <w:r w:rsidRPr="009A405C">
        <w:rPr>
          <w:rFonts w:ascii="Arial" w:hAnsi="Arial" w:cs="Arial"/>
          <w:sz w:val="22"/>
          <w:szCs w:val="22"/>
        </w:rPr>
        <w:t xml:space="preserve">nM </w:t>
      </w:r>
      <w:r w:rsidR="00C7433E" w:rsidRPr="009A405C">
        <w:rPr>
          <w:rFonts w:ascii="Arial" w:hAnsi="Arial" w:cs="Arial"/>
          <w:sz w:val="22"/>
          <w:szCs w:val="22"/>
        </w:rPr>
        <w:t xml:space="preserve">de A9s às células B16F10 </w:t>
      </w:r>
      <w:r>
        <w:rPr>
          <w:rFonts w:ascii="Arial" w:hAnsi="Arial" w:cs="Arial"/>
          <w:sz w:val="22"/>
          <w:szCs w:val="22"/>
        </w:rPr>
        <w:t>houve, respectivamente, uma</w:t>
      </w:r>
      <w:r w:rsidR="00C7433E" w:rsidRPr="009A405C">
        <w:rPr>
          <w:rFonts w:ascii="Arial" w:hAnsi="Arial" w:cs="Arial"/>
          <w:sz w:val="22"/>
          <w:szCs w:val="22"/>
        </w:rPr>
        <w:t xml:space="preserve"> </w:t>
      </w:r>
      <w:r>
        <w:rPr>
          <w:rFonts w:ascii="Arial" w:hAnsi="Arial" w:cs="Arial"/>
          <w:sz w:val="22"/>
          <w:szCs w:val="22"/>
        </w:rPr>
        <w:t xml:space="preserve">redução </w:t>
      </w:r>
      <w:r w:rsidR="00C7433E" w:rsidRPr="009A405C">
        <w:rPr>
          <w:rFonts w:ascii="Arial" w:hAnsi="Arial" w:cs="Arial"/>
          <w:sz w:val="22"/>
          <w:szCs w:val="22"/>
        </w:rPr>
        <w:t>de 3</w:t>
      </w:r>
      <w:r>
        <w:rPr>
          <w:rFonts w:ascii="Arial" w:hAnsi="Arial" w:cs="Arial"/>
          <w:sz w:val="22"/>
          <w:szCs w:val="22"/>
        </w:rPr>
        <w:t>5</w:t>
      </w:r>
      <w:r w:rsidR="00C7433E" w:rsidRPr="009A405C">
        <w:rPr>
          <w:rFonts w:ascii="Arial" w:hAnsi="Arial" w:cs="Arial"/>
          <w:sz w:val="22"/>
          <w:szCs w:val="22"/>
        </w:rPr>
        <w:t>%</w:t>
      </w:r>
      <w:r>
        <w:rPr>
          <w:rFonts w:ascii="Arial" w:hAnsi="Arial" w:cs="Arial"/>
          <w:sz w:val="22"/>
          <w:szCs w:val="22"/>
        </w:rPr>
        <w:t xml:space="preserve"> (6h)</w:t>
      </w:r>
      <w:r w:rsidR="00C7433E" w:rsidRPr="009A405C">
        <w:rPr>
          <w:rFonts w:ascii="Arial" w:hAnsi="Arial" w:cs="Arial"/>
          <w:sz w:val="22"/>
          <w:szCs w:val="22"/>
        </w:rPr>
        <w:t xml:space="preserve"> </w:t>
      </w:r>
      <w:r>
        <w:rPr>
          <w:rFonts w:ascii="Arial" w:hAnsi="Arial" w:cs="Arial"/>
          <w:sz w:val="22"/>
          <w:szCs w:val="22"/>
        </w:rPr>
        <w:t xml:space="preserve">e 37% (12h) </w:t>
      </w:r>
      <w:r w:rsidR="00C7433E" w:rsidRPr="009A405C">
        <w:rPr>
          <w:rFonts w:ascii="Arial" w:hAnsi="Arial" w:cs="Arial"/>
          <w:sz w:val="22"/>
          <w:szCs w:val="22"/>
        </w:rPr>
        <w:t xml:space="preserve">da proliferação celular </w:t>
      </w:r>
      <w:r>
        <w:rPr>
          <w:rFonts w:ascii="Arial" w:hAnsi="Arial" w:cs="Arial"/>
          <w:sz w:val="22"/>
          <w:szCs w:val="22"/>
        </w:rPr>
        <w:t xml:space="preserve">quando comparado ao controle </w:t>
      </w:r>
      <w:r w:rsidR="00DA25EF" w:rsidRPr="009A405C">
        <w:rPr>
          <w:rFonts w:ascii="Arial" w:hAnsi="Arial" w:cs="Arial"/>
          <w:sz w:val="22"/>
          <w:szCs w:val="22"/>
        </w:rPr>
        <w:t xml:space="preserve">(figura </w:t>
      </w:r>
      <w:r w:rsidR="00AB3A7E" w:rsidRPr="009A405C">
        <w:rPr>
          <w:rFonts w:ascii="Arial" w:hAnsi="Arial" w:cs="Arial"/>
          <w:sz w:val="22"/>
          <w:szCs w:val="22"/>
        </w:rPr>
        <w:t>6</w:t>
      </w:r>
      <w:r>
        <w:rPr>
          <w:rFonts w:ascii="Arial" w:hAnsi="Arial" w:cs="Arial"/>
          <w:sz w:val="22"/>
          <w:szCs w:val="22"/>
        </w:rPr>
        <w:t>C</w:t>
      </w:r>
      <w:r w:rsidR="00DA25EF" w:rsidRPr="009A405C">
        <w:rPr>
          <w:rFonts w:ascii="Arial" w:hAnsi="Arial" w:cs="Arial"/>
          <w:sz w:val="22"/>
          <w:szCs w:val="22"/>
        </w:rPr>
        <w:t xml:space="preserve">). </w:t>
      </w:r>
      <w:r w:rsidR="00C7433E" w:rsidRPr="009A405C">
        <w:rPr>
          <w:rFonts w:ascii="Arial" w:hAnsi="Arial" w:cs="Arial"/>
          <w:sz w:val="22"/>
          <w:szCs w:val="22"/>
        </w:rPr>
        <w:t>O retardo da migração celular ocorreu nos tempos de 6 até 48h, quando a linhagem B16F10 foi tratada com o peptídeo A9s na concentração de 100</w:t>
      </w:r>
      <w:r w:rsidR="0066185C">
        <w:rPr>
          <w:rFonts w:ascii="Arial" w:hAnsi="Arial" w:cs="Arial"/>
          <w:sz w:val="22"/>
          <w:szCs w:val="22"/>
        </w:rPr>
        <w:t xml:space="preserve"> </w:t>
      </w:r>
      <w:r w:rsidR="00C7433E" w:rsidRPr="009A405C">
        <w:rPr>
          <w:rFonts w:ascii="Arial" w:hAnsi="Arial" w:cs="Arial"/>
          <w:sz w:val="22"/>
          <w:szCs w:val="22"/>
        </w:rPr>
        <w:t xml:space="preserve">nM inibindo até 55% da migração celular (Figura </w:t>
      </w:r>
      <w:r w:rsidR="00AB3A7E" w:rsidRPr="009A405C">
        <w:rPr>
          <w:rFonts w:ascii="Arial" w:hAnsi="Arial" w:cs="Arial"/>
          <w:sz w:val="22"/>
          <w:szCs w:val="22"/>
        </w:rPr>
        <w:t>6</w:t>
      </w:r>
      <w:r>
        <w:rPr>
          <w:rFonts w:ascii="Arial" w:hAnsi="Arial" w:cs="Arial"/>
          <w:sz w:val="22"/>
          <w:szCs w:val="22"/>
        </w:rPr>
        <w:t>D</w:t>
      </w:r>
      <w:r w:rsidR="00C7433E" w:rsidRPr="009A405C">
        <w:rPr>
          <w:rFonts w:ascii="Arial" w:hAnsi="Arial" w:cs="Arial"/>
          <w:sz w:val="22"/>
          <w:szCs w:val="22"/>
        </w:rPr>
        <w:t xml:space="preserve">). </w:t>
      </w:r>
      <w:r w:rsidR="00396488">
        <w:rPr>
          <w:rFonts w:ascii="Arial" w:hAnsi="Arial" w:cs="Arial"/>
          <w:sz w:val="22"/>
          <w:szCs w:val="22"/>
        </w:rPr>
        <w:t>Já n</w:t>
      </w:r>
      <w:r>
        <w:rPr>
          <w:rFonts w:ascii="Arial" w:hAnsi="Arial" w:cs="Arial"/>
          <w:sz w:val="22"/>
          <w:szCs w:val="22"/>
        </w:rPr>
        <w:t>a concentração de</w:t>
      </w:r>
      <w:r w:rsidR="00C7433E" w:rsidRPr="009A405C">
        <w:rPr>
          <w:rFonts w:ascii="Arial" w:hAnsi="Arial" w:cs="Arial"/>
          <w:sz w:val="22"/>
          <w:szCs w:val="22"/>
        </w:rPr>
        <w:t xml:space="preserve"> 0,1</w:t>
      </w:r>
      <w:r w:rsidR="0066185C">
        <w:rPr>
          <w:rFonts w:ascii="Arial" w:hAnsi="Arial" w:cs="Arial"/>
          <w:sz w:val="22"/>
          <w:szCs w:val="22"/>
        </w:rPr>
        <w:t xml:space="preserve"> </w:t>
      </w:r>
      <w:r w:rsidR="00C7433E" w:rsidRPr="009A405C">
        <w:rPr>
          <w:rFonts w:ascii="Arial" w:hAnsi="Arial" w:cs="Arial"/>
          <w:sz w:val="22"/>
          <w:szCs w:val="22"/>
        </w:rPr>
        <w:t>nM a capacidade de inibição da migração celular foi de 56% em 6h</w:t>
      </w:r>
      <w:r w:rsidR="00396488">
        <w:rPr>
          <w:rFonts w:ascii="Arial" w:hAnsi="Arial" w:cs="Arial"/>
          <w:sz w:val="22"/>
          <w:szCs w:val="22"/>
        </w:rPr>
        <w:t>.</w:t>
      </w:r>
    </w:p>
    <w:p w14:paraId="63669C2F" w14:textId="77777777" w:rsidR="004A513D" w:rsidRPr="009A405C" w:rsidRDefault="004A513D" w:rsidP="00C7433E">
      <w:pPr>
        <w:spacing w:line="360" w:lineRule="auto"/>
        <w:rPr>
          <w:rFonts w:ascii="Arial" w:hAnsi="Arial" w:cs="Arial"/>
          <w:sz w:val="22"/>
          <w:szCs w:val="22"/>
        </w:rPr>
      </w:pPr>
    </w:p>
    <w:p w14:paraId="2EFBFB01" w14:textId="089CF62B" w:rsidR="00C7433E" w:rsidRPr="00AB3A7E" w:rsidRDefault="001108E2" w:rsidP="00AB3A7E">
      <w:pPr>
        <w:spacing w:line="360" w:lineRule="auto"/>
        <w:ind w:firstLine="0"/>
        <w:rPr>
          <w:rFonts w:ascii="Arial" w:hAnsi="Arial" w:cs="Arial"/>
        </w:rPr>
      </w:pPr>
      <w:r>
        <w:rPr>
          <w:rFonts w:ascii="Arial" w:hAnsi="Arial" w:cs="Arial"/>
          <w:noProof/>
          <w:lang w:eastAsia="pt-BR"/>
        </w:rPr>
        <w:drawing>
          <wp:inline distT="0" distB="0" distL="0" distR="0" wp14:anchorId="089C9469" wp14:editId="325D3EEA">
            <wp:extent cx="5955794" cy="3761740"/>
            <wp:effectExtent l="0" t="0" r="6985" b="0"/>
            <wp:docPr id="16" name="Imagem 1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 de prol e mig.png"/>
                    <pic:cNvPicPr/>
                  </pic:nvPicPr>
                  <pic:blipFill>
                    <a:blip r:embed="rId12">
                      <a:extLst>
                        <a:ext uri="{28A0092B-C50C-407E-A947-70E740481C1C}">
                          <a14:useLocalDpi xmlns:a14="http://schemas.microsoft.com/office/drawing/2010/main" val="0"/>
                        </a:ext>
                      </a:extLst>
                    </a:blip>
                    <a:stretch>
                      <a:fillRect/>
                    </a:stretch>
                  </pic:blipFill>
                  <pic:spPr>
                    <a:xfrm>
                      <a:off x="0" y="0"/>
                      <a:ext cx="5956946" cy="3762468"/>
                    </a:xfrm>
                    <a:prstGeom prst="rect">
                      <a:avLst/>
                    </a:prstGeom>
                  </pic:spPr>
                </pic:pic>
              </a:graphicData>
            </a:graphic>
          </wp:inline>
        </w:drawing>
      </w:r>
    </w:p>
    <w:p w14:paraId="13D91F19" w14:textId="49B8E08C" w:rsidR="0081610A" w:rsidRPr="008E1E25" w:rsidRDefault="00C7433E" w:rsidP="00C7433E">
      <w:pPr>
        <w:ind w:firstLine="0"/>
        <w:rPr>
          <w:rFonts w:ascii="Arial" w:hAnsi="Arial" w:cs="Arial"/>
          <w:sz w:val="20"/>
          <w:szCs w:val="20"/>
        </w:rPr>
      </w:pPr>
      <w:r w:rsidRPr="000C2494">
        <w:rPr>
          <w:rFonts w:ascii="Arial" w:hAnsi="Arial" w:cs="Arial"/>
          <w:b/>
          <w:sz w:val="20"/>
          <w:szCs w:val="20"/>
        </w:rPr>
        <w:lastRenderedPageBreak/>
        <w:t xml:space="preserve">Figura </w:t>
      </w:r>
      <w:r w:rsidR="003F46CD" w:rsidRPr="000C2494">
        <w:rPr>
          <w:rFonts w:ascii="Arial" w:hAnsi="Arial" w:cs="Arial"/>
          <w:b/>
          <w:sz w:val="20"/>
          <w:szCs w:val="20"/>
        </w:rPr>
        <w:t>6</w:t>
      </w:r>
      <w:r w:rsidRPr="000C2494">
        <w:rPr>
          <w:rFonts w:ascii="Arial" w:hAnsi="Arial" w:cs="Arial"/>
          <w:b/>
          <w:sz w:val="20"/>
          <w:szCs w:val="20"/>
        </w:rPr>
        <w:t xml:space="preserve">: </w:t>
      </w:r>
      <w:r w:rsidRPr="000C2494">
        <w:rPr>
          <w:rFonts w:ascii="Arial" w:hAnsi="Arial" w:cs="Arial"/>
          <w:sz w:val="20"/>
          <w:szCs w:val="20"/>
        </w:rPr>
        <w:t xml:space="preserve"> </w:t>
      </w:r>
      <w:r w:rsidR="00396488">
        <w:rPr>
          <w:rFonts w:ascii="Arial" w:hAnsi="Arial" w:cs="Arial"/>
          <w:b/>
          <w:sz w:val="20"/>
          <w:szCs w:val="20"/>
        </w:rPr>
        <w:t>A</w:t>
      </w:r>
      <w:r w:rsidR="00396488" w:rsidRPr="000C2494">
        <w:rPr>
          <w:rFonts w:ascii="Arial" w:hAnsi="Arial" w:cs="Arial"/>
          <w:sz w:val="20"/>
          <w:szCs w:val="20"/>
        </w:rPr>
        <w:t xml:space="preserve"> e</w:t>
      </w:r>
      <w:r w:rsidR="00396488">
        <w:rPr>
          <w:rFonts w:ascii="Arial" w:hAnsi="Arial" w:cs="Arial"/>
          <w:sz w:val="20"/>
          <w:szCs w:val="20"/>
        </w:rPr>
        <w:t xml:space="preserve"> </w:t>
      </w:r>
      <w:r w:rsidR="00396488" w:rsidRPr="00396488">
        <w:rPr>
          <w:rFonts w:ascii="Arial" w:hAnsi="Arial" w:cs="Arial"/>
          <w:b/>
          <w:sz w:val="20"/>
          <w:szCs w:val="20"/>
        </w:rPr>
        <w:t>B</w:t>
      </w:r>
      <w:r w:rsidR="00396488" w:rsidRPr="000C2494">
        <w:rPr>
          <w:rFonts w:ascii="Arial" w:hAnsi="Arial" w:cs="Arial"/>
          <w:sz w:val="20"/>
          <w:szCs w:val="20"/>
        </w:rPr>
        <w:t xml:space="preserve"> representam respectivamente, as imagens obtivas nos ensaios de proliferação e migração através de microscopia de contraste de fase com um aumento de 5x</w:t>
      </w:r>
      <w:r w:rsidR="00396488">
        <w:rPr>
          <w:rFonts w:ascii="Arial" w:hAnsi="Arial" w:cs="Arial"/>
          <w:sz w:val="20"/>
          <w:szCs w:val="20"/>
        </w:rPr>
        <w:t xml:space="preserve">, sendo </w:t>
      </w:r>
      <w:r w:rsidR="00396488" w:rsidRPr="008E1E25">
        <w:rPr>
          <w:rFonts w:ascii="Arial" w:hAnsi="Arial" w:cs="Arial"/>
          <w:b/>
          <w:sz w:val="20"/>
          <w:szCs w:val="20"/>
        </w:rPr>
        <w:t>I-</w:t>
      </w:r>
      <w:r w:rsidR="00396488" w:rsidRPr="000C2494">
        <w:rPr>
          <w:rFonts w:ascii="Arial" w:hAnsi="Arial" w:cs="Arial"/>
          <w:sz w:val="20"/>
          <w:szCs w:val="20"/>
        </w:rPr>
        <w:t xml:space="preserve"> Controle (B16F10 aderida na matriz extracelular); </w:t>
      </w:r>
      <w:r w:rsidR="00396488" w:rsidRPr="008E1E25">
        <w:rPr>
          <w:rFonts w:ascii="Arial" w:hAnsi="Arial" w:cs="Arial"/>
          <w:b/>
          <w:sz w:val="20"/>
          <w:szCs w:val="20"/>
        </w:rPr>
        <w:t xml:space="preserve">II- </w:t>
      </w:r>
      <w:r w:rsidR="00396488" w:rsidRPr="000C2494">
        <w:rPr>
          <w:rFonts w:ascii="Arial" w:hAnsi="Arial" w:cs="Arial"/>
          <w:sz w:val="20"/>
          <w:szCs w:val="20"/>
        </w:rPr>
        <w:t>Tratamento 1 (B16F10 aderida a matriz extracelular com adição de A9s na concentração de 0,1</w:t>
      </w:r>
      <w:r w:rsidR="00396488">
        <w:rPr>
          <w:rFonts w:ascii="Arial" w:hAnsi="Arial" w:cs="Arial"/>
          <w:sz w:val="20"/>
          <w:szCs w:val="20"/>
        </w:rPr>
        <w:t>nM</w:t>
      </w:r>
      <w:r w:rsidR="00396488" w:rsidRPr="000C2494">
        <w:rPr>
          <w:rFonts w:ascii="Arial" w:hAnsi="Arial" w:cs="Arial"/>
          <w:sz w:val="20"/>
          <w:szCs w:val="20"/>
        </w:rPr>
        <w:t>)</w:t>
      </w:r>
      <w:r w:rsidR="00396488" w:rsidRPr="000C2494">
        <w:rPr>
          <w:rFonts w:ascii="Arial" w:hAnsi="Arial" w:cs="Arial"/>
          <w:b/>
          <w:sz w:val="20"/>
          <w:szCs w:val="20"/>
        </w:rPr>
        <w:t xml:space="preserve">. </w:t>
      </w:r>
      <w:r w:rsidR="00396488">
        <w:rPr>
          <w:rFonts w:ascii="Arial" w:hAnsi="Arial" w:cs="Arial"/>
          <w:b/>
          <w:sz w:val="20"/>
          <w:szCs w:val="20"/>
        </w:rPr>
        <w:t>III</w:t>
      </w:r>
      <w:r w:rsidR="00396488" w:rsidRPr="000C2494">
        <w:rPr>
          <w:rFonts w:ascii="Arial" w:hAnsi="Arial" w:cs="Arial"/>
          <w:b/>
          <w:sz w:val="20"/>
          <w:szCs w:val="20"/>
        </w:rPr>
        <w:t xml:space="preserve">- </w:t>
      </w:r>
      <w:r w:rsidR="00396488" w:rsidRPr="000C2494">
        <w:rPr>
          <w:rFonts w:ascii="Arial" w:hAnsi="Arial" w:cs="Arial"/>
          <w:sz w:val="20"/>
          <w:szCs w:val="20"/>
        </w:rPr>
        <w:t>Tratamento 2</w:t>
      </w:r>
      <w:r w:rsidR="00396488" w:rsidRPr="000C2494">
        <w:rPr>
          <w:rFonts w:ascii="Arial" w:hAnsi="Arial" w:cs="Arial"/>
          <w:b/>
          <w:sz w:val="20"/>
          <w:szCs w:val="20"/>
        </w:rPr>
        <w:t xml:space="preserve"> </w:t>
      </w:r>
      <w:r w:rsidR="00396488" w:rsidRPr="008E1E25">
        <w:rPr>
          <w:rFonts w:ascii="Arial" w:hAnsi="Arial" w:cs="Arial"/>
          <w:sz w:val="20"/>
          <w:szCs w:val="20"/>
        </w:rPr>
        <w:t>(</w:t>
      </w:r>
      <w:r w:rsidR="00396488" w:rsidRPr="000C2494">
        <w:rPr>
          <w:rFonts w:ascii="Arial" w:hAnsi="Arial" w:cs="Arial"/>
          <w:sz w:val="20"/>
          <w:szCs w:val="20"/>
        </w:rPr>
        <w:t>B16F10 aderida a matriz extracelular com adição de A9s na concentração de 100nM).</w:t>
      </w:r>
      <w:r w:rsidR="00396488">
        <w:rPr>
          <w:rFonts w:ascii="Arial" w:hAnsi="Arial" w:cs="Arial"/>
          <w:b/>
          <w:sz w:val="20"/>
          <w:szCs w:val="20"/>
        </w:rPr>
        <w:t>C</w:t>
      </w:r>
      <w:r w:rsidR="000C2494" w:rsidRPr="000C2494">
        <w:rPr>
          <w:rFonts w:ascii="Arial" w:hAnsi="Arial" w:cs="Arial"/>
          <w:b/>
          <w:sz w:val="20"/>
          <w:szCs w:val="20"/>
        </w:rPr>
        <w:t>.</w:t>
      </w:r>
      <w:r w:rsidR="000C2494" w:rsidRPr="000C2494">
        <w:rPr>
          <w:rFonts w:ascii="Arial" w:hAnsi="Arial" w:cs="Arial"/>
          <w:sz w:val="20"/>
          <w:szCs w:val="20"/>
        </w:rPr>
        <w:t xml:space="preserve"> </w:t>
      </w:r>
      <w:r w:rsidRPr="000C2494">
        <w:rPr>
          <w:rFonts w:ascii="Arial" w:hAnsi="Arial" w:cs="Arial"/>
          <w:sz w:val="20"/>
          <w:szCs w:val="20"/>
        </w:rPr>
        <w:t>Teste de proliferação celular</w:t>
      </w:r>
      <w:r w:rsidR="000C2494" w:rsidRPr="000C2494">
        <w:rPr>
          <w:rFonts w:ascii="Arial" w:hAnsi="Arial" w:cs="Arial"/>
          <w:sz w:val="20"/>
          <w:szCs w:val="20"/>
        </w:rPr>
        <w:t xml:space="preserve"> com quantificação do número de células que proliferaram para o interior da lesão na monocamada</w:t>
      </w:r>
      <w:r w:rsidR="008E1E25">
        <w:rPr>
          <w:rFonts w:ascii="Arial" w:hAnsi="Arial" w:cs="Arial"/>
          <w:sz w:val="20"/>
          <w:szCs w:val="20"/>
        </w:rPr>
        <w:t>;</w:t>
      </w:r>
      <w:r w:rsidR="000C2494" w:rsidRPr="000C2494">
        <w:rPr>
          <w:rFonts w:ascii="Arial" w:hAnsi="Arial" w:cs="Arial"/>
          <w:sz w:val="20"/>
          <w:szCs w:val="20"/>
        </w:rPr>
        <w:t xml:space="preserve"> </w:t>
      </w:r>
      <w:r w:rsidR="00396488">
        <w:rPr>
          <w:rFonts w:ascii="Arial" w:hAnsi="Arial" w:cs="Arial"/>
          <w:b/>
          <w:sz w:val="20"/>
          <w:szCs w:val="20"/>
        </w:rPr>
        <w:t>D</w:t>
      </w:r>
      <w:r w:rsidR="000C2494" w:rsidRPr="000C2494">
        <w:rPr>
          <w:rFonts w:ascii="Arial" w:hAnsi="Arial" w:cs="Arial"/>
          <w:b/>
          <w:sz w:val="20"/>
          <w:szCs w:val="20"/>
        </w:rPr>
        <w:t xml:space="preserve">. </w:t>
      </w:r>
      <w:r w:rsidR="000C2494" w:rsidRPr="000C2494">
        <w:rPr>
          <w:rFonts w:ascii="Arial" w:hAnsi="Arial" w:cs="Arial"/>
          <w:sz w:val="20"/>
          <w:szCs w:val="20"/>
        </w:rPr>
        <w:t xml:space="preserve">Teste de migração celular </w:t>
      </w:r>
      <w:r w:rsidRPr="000C2494">
        <w:rPr>
          <w:rFonts w:ascii="Arial" w:hAnsi="Arial" w:cs="Arial"/>
          <w:sz w:val="20"/>
          <w:szCs w:val="20"/>
        </w:rPr>
        <w:t>com quantificação do número de células B16F10 que</w:t>
      </w:r>
      <w:r w:rsidR="000C2494" w:rsidRPr="000C2494">
        <w:rPr>
          <w:rFonts w:ascii="Arial" w:hAnsi="Arial" w:cs="Arial"/>
          <w:sz w:val="20"/>
          <w:szCs w:val="20"/>
        </w:rPr>
        <w:t xml:space="preserve"> migraram, sem a interferência do processo de proliferação,</w:t>
      </w:r>
      <w:r w:rsidRPr="000C2494">
        <w:rPr>
          <w:rFonts w:ascii="Arial" w:hAnsi="Arial" w:cs="Arial"/>
          <w:sz w:val="20"/>
          <w:szCs w:val="20"/>
        </w:rPr>
        <w:t xml:space="preserve"> para o interior da lesão na monocamada. O</w:t>
      </w:r>
      <w:r w:rsidR="000C2494" w:rsidRPr="000C2494">
        <w:rPr>
          <w:rFonts w:ascii="Arial" w:hAnsi="Arial" w:cs="Arial"/>
          <w:sz w:val="20"/>
          <w:szCs w:val="20"/>
        </w:rPr>
        <w:t>s</w:t>
      </w:r>
      <w:r w:rsidRPr="000C2494">
        <w:rPr>
          <w:rFonts w:ascii="Arial" w:hAnsi="Arial" w:cs="Arial"/>
          <w:sz w:val="20"/>
          <w:szCs w:val="20"/>
        </w:rPr>
        <w:t xml:space="preserve"> ensaio</w:t>
      </w:r>
      <w:r w:rsidR="000C2494" w:rsidRPr="000C2494">
        <w:rPr>
          <w:rFonts w:ascii="Arial" w:hAnsi="Arial" w:cs="Arial"/>
          <w:sz w:val="20"/>
          <w:szCs w:val="20"/>
        </w:rPr>
        <w:t xml:space="preserve">s </w:t>
      </w:r>
      <w:r w:rsidR="00396488" w:rsidRPr="00396488">
        <w:rPr>
          <w:rFonts w:ascii="Arial" w:hAnsi="Arial" w:cs="Arial"/>
          <w:b/>
          <w:sz w:val="20"/>
          <w:szCs w:val="20"/>
        </w:rPr>
        <w:t>C</w:t>
      </w:r>
      <w:r w:rsidR="000C2494" w:rsidRPr="000C2494">
        <w:rPr>
          <w:rFonts w:ascii="Arial" w:hAnsi="Arial" w:cs="Arial"/>
          <w:sz w:val="20"/>
          <w:szCs w:val="20"/>
        </w:rPr>
        <w:t xml:space="preserve"> e </w:t>
      </w:r>
      <w:r w:rsidR="00396488" w:rsidRPr="00396488">
        <w:rPr>
          <w:rFonts w:ascii="Arial" w:hAnsi="Arial" w:cs="Arial"/>
          <w:b/>
          <w:sz w:val="20"/>
          <w:szCs w:val="20"/>
        </w:rPr>
        <w:t>D</w:t>
      </w:r>
      <w:r w:rsidRPr="000C2494">
        <w:rPr>
          <w:rFonts w:ascii="Arial" w:hAnsi="Arial" w:cs="Arial"/>
          <w:sz w:val="20"/>
          <w:szCs w:val="20"/>
        </w:rPr>
        <w:t xml:space="preserve"> fo</w:t>
      </w:r>
      <w:r w:rsidR="000C2494" w:rsidRPr="000C2494">
        <w:rPr>
          <w:rFonts w:ascii="Arial" w:hAnsi="Arial" w:cs="Arial"/>
          <w:sz w:val="20"/>
          <w:szCs w:val="20"/>
        </w:rPr>
        <w:t>ram</w:t>
      </w:r>
      <w:r w:rsidRPr="000C2494">
        <w:rPr>
          <w:rFonts w:ascii="Arial" w:hAnsi="Arial" w:cs="Arial"/>
          <w:sz w:val="20"/>
          <w:szCs w:val="20"/>
        </w:rPr>
        <w:t xml:space="preserve"> efetuado</w:t>
      </w:r>
      <w:r w:rsidR="000C2494" w:rsidRPr="000C2494">
        <w:rPr>
          <w:rFonts w:ascii="Arial" w:hAnsi="Arial" w:cs="Arial"/>
          <w:sz w:val="20"/>
          <w:szCs w:val="20"/>
        </w:rPr>
        <w:t>s</w:t>
      </w:r>
      <w:r w:rsidRPr="000C2494">
        <w:rPr>
          <w:rFonts w:ascii="Arial" w:hAnsi="Arial" w:cs="Arial"/>
          <w:sz w:val="20"/>
          <w:szCs w:val="20"/>
        </w:rPr>
        <w:t xml:space="preserve"> nos intervalos de tempos de 0, 6, 12, 24, 30 e 48h, frente a diferentes concentrações do peptídeo A9s. Cada valor representa a média ± desvio padrão de dois experimentos que foram realizados em sextuplicata. O * </w:t>
      </w:r>
      <w:r w:rsidR="00D1108E">
        <w:rPr>
          <w:rFonts w:ascii="Arial" w:hAnsi="Arial" w:cs="Arial"/>
          <w:sz w:val="20"/>
          <w:szCs w:val="20"/>
        </w:rPr>
        <w:t xml:space="preserve">e </w:t>
      </w:r>
      <w:r w:rsidR="00D1108E" w:rsidRPr="000C2494">
        <w:rPr>
          <w:rFonts w:ascii="Arial" w:hAnsi="Arial" w:cs="Arial"/>
          <w:sz w:val="20"/>
          <w:szCs w:val="20"/>
        </w:rPr>
        <w:t>**</w:t>
      </w:r>
      <w:r w:rsidR="00D1108E">
        <w:rPr>
          <w:rFonts w:ascii="Arial" w:hAnsi="Arial" w:cs="Arial"/>
          <w:sz w:val="20"/>
          <w:szCs w:val="20"/>
        </w:rPr>
        <w:t xml:space="preserve"> indicam </w:t>
      </w:r>
      <w:r w:rsidRPr="000C2494">
        <w:rPr>
          <w:rFonts w:ascii="Arial" w:hAnsi="Arial" w:cs="Arial"/>
          <w:sz w:val="20"/>
          <w:szCs w:val="20"/>
        </w:rPr>
        <w:t>p&lt;0,05 e  p&lt;0,01 em relação ao controle.</w:t>
      </w:r>
      <w:r w:rsidR="000C2494" w:rsidRPr="000C2494">
        <w:rPr>
          <w:rFonts w:ascii="Arial" w:hAnsi="Arial" w:cs="Arial"/>
          <w:sz w:val="20"/>
          <w:szCs w:val="20"/>
        </w:rPr>
        <w:t xml:space="preserve"> </w:t>
      </w:r>
    </w:p>
    <w:p w14:paraId="0B8AAB5F" w14:textId="77777777" w:rsidR="0081610A" w:rsidRDefault="0081610A" w:rsidP="00C7433E">
      <w:pPr>
        <w:ind w:firstLine="0"/>
        <w:rPr>
          <w:rFonts w:ascii="Arial" w:hAnsi="Arial" w:cs="Arial"/>
          <w:sz w:val="22"/>
          <w:szCs w:val="22"/>
        </w:rPr>
      </w:pPr>
    </w:p>
    <w:p w14:paraId="61DD1235" w14:textId="7314EA34" w:rsidR="003C63D7" w:rsidRPr="009A405C" w:rsidRDefault="001D75B0" w:rsidP="00C7433E">
      <w:pPr>
        <w:ind w:firstLine="0"/>
        <w:rPr>
          <w:rFonts w:ascii="Arial" w:hAnsi="Arial" w:cs="Arial"/>
          <w:b/>
          <w:sz w:val="22"/>
          <w:szCs w:val="22"/>
        </w:rPr>
      </w:pPr>
      <w:r w:rsidRPr="009A405C">
        <w:rPr>
          <w:rFonts w:ascii="Arial" w:hAnsi="Arial" w:cs="Arial"/>
          <w:b/>
          <w:sz w:val="22"/>
          <w:szCs w:val="22"/>
        </w:rPr>
        <w:t>Expressão</w:t>
      </w:r>
      <w:r w:rsidR="003F46CD" w:rsidRPr="009A405C">
        <w:rPr>
          <w:rFonts w:ascii="Arial" w:hAnsi="Arial" w:cs="Arial"/>
          <w:b/>
          <w:sz w:val="22"/>
          <w:szCs w:val="22"/>
        </w:rPr>
        <w:t xml:space="preserve"> das subunidades de integrinas </w:t>
      </w:r>
      <w:r w:rsidR="0022682B">
        <w:rPr>
          <w:rFonts w:ascii="Arial" w:hAnsi="Arial" w:cs="Arial"/>
          <w:b/>
          <w:sz w:val="22"/>
          <w:szCs w:val="22"/>
        </w:rPr>
        <w:t>por PCR em</w:t>
      </w:r>
      <w:r w:rsidR="003F46CD" w:rsidRPr="009A405C">
        <w:rPr>
          <w:rFonts w:ascii="Arial" w:hAnsi="Arial" w:cs="Arial"/>
          <w:b/>
          <w:sz w:val="22"/>
          <w:szCs w:val="22"/>
        </w:rPr>
        <w:t xml:space="preserve"> tempo real</w:t>
      </w:r>
    </w:p>
    <w:p w14:paraId="79106C05" w14:textId="77777777" w:rsidR="001D75B0" w:rsidRPr="009A405C" w:rsidRDefault="001D75B0" w:rsidP="00C7433E">
      <w:pPr>
        <w:ind w:firstLine="0"/>
        <w:rPr>
          <w:rFonts w:ascii="Arial" w:hAnsi="Arial" w:cs="Arial"/>
          <w:sz w:val="22"/>
          <w:szCs w:val="22"/>
        </w:rPr>
      </w:pPr>
    </w:p>
    <w:p w14:paraId="060CE3D2" w14:textId="4E1903F7" w:rsidR="003C63D7" w:rsidRPr="009A405C" w:rsidRDefault="001D75B0" w:rsidP="00AB3A7E">
      <w:pPr>
        <w:spacing w:line="360" w:lineRule="auto"/>
        <w:ind w:firstLine="708"/>
        <w:rPr>
          <w:rFonts w:ascii="Arial" w:hAnsi="Arial" w:cs="Arial"/>
          <w:sz w:val="22"/>
          <w:szCs w:val="22"/>
          <w:lang w:val="en-US"/>
        </w:rPr>
      </w:pPr>
      <w:r w:rsidRPr="009A405C">
        <w:rPr>
          <w:rFonts w:ascii="Arial" w:hAnsi="Arial" w:cs="Arial"/>
          <w:sz w:val="22"/>
          <w:szCs w:val="22"/>
        </w:rPr>
        <w:t xml:space="preserve">Para avaliar se o peptídeo interfere </w:t>
      </w:r>
      <w:r w:rsidR="00073D78" w:rsidRPr="009A405C">
        <w:rPr>
          <w:rFonts w:ascii="Arial" w:hAnsi="Arial" w:cs="Arial"/>
          <w:sz w:val="22"/>
          <w:szCs w:val="22"/>
        </w:rPr>
        <w:t>n</w:t>
      </w:r>
      <w:r w:rsidRPr="009A405C">
        <w:rPr>
          <w:rFonts w:ascii="Arial" w:hAnsi="Arial" w:cs="Arial"/>
          <w:sz w:val="22"/>
          <w:szCs w:val="22"/>
        </w:rPr>
        <w:t xml:space="preserve">a expressão de integrinas nós fizemos um qPCR usando o </w:t>
      </w:r>
      <w:r w:rsidRPr="009A405C">
        <w:rPr>
          <w:rFonts w:ascii="Arial" w:hAnsi="Arial" w:cs="Arial"/>
          <w:i/>
          <w:sz w:val="22"/>
          <w:szCs w:val="22"/>
        </w:rPr>
        <w:t>Integrin Signalling Array primers</w:t>
      </w:r>
      <w:r w:rsidRPr="009A405C">
        <w:rPr>
          <w:rFonts w:ascii="Arial" w:hAnsi="Arial" w:cs="Arial"/>
          <w:sz w:val="22"/>
          <w:szCs w:val="22"/>
        </w:rPr>
        <w:t xml:space="preserve"> (GenOne). Em condições normais de cultura a linhagem B16F10 expressou as subunidades </w:t>
      </w:r>
      <w:r w:rsidRPr="009A405C">
        <w:rPr>
          <w:rFonts w:ascii="Arial" w:hAnsi="Arial" w:cs="Arial"/>
          <w:sz w:val="22"/>
          <w:szCs w:val="22"/>
          <w:lang w:val="en-US"/>
        </w:rPr>
        <w:t>α5, α6, α4, αv, β1 e β3 de integrinas, conhecidas por mediar os processos de adesão e migração celular (Figura suplementar</w:t>
      </w:r>
      <w:r w:rsidR="006409E3">
        <w:rPr>
          <w:rFonts w:ascii="Arial" w:hAnsi="Arial" w:cs="Arial"/>
          <w:sz w:val="22"/>
          <w:szCs w:val="22"/>
          <w:lang w:val="en-US"/>
        </w:rPr>
        <w:t xml:space="preserve"> 2</w:t>
      </w:r>
      <w:r w:rsidRPr="009A405C">
        <w:rPr>
          <w:rFonts w:ascii="Arial" w:hAnsi="Arial" w:cs="Arial"/>
          <w:sz w:val="22"/>
          <w:szCs w:val="22"/>
          <w:lang w:val="en-US"/>
        </w:rPr>
        <w:t>). Quando essas células</w:t>
      </w:r>
      <w:r w:rsidR="00FF233E">
        <w:rPr>
          <w:rFonts w:ascii="Arial" w:hAnsi="Arial" w:cs="Arial"/>
          <w:sz w:val="22"/>
          <w:szCs w:val="22"/>
          <w:lang w:val="en-US"/>
        </w:rPr>
        <w:t xml:space="preserve"> de melanoma</w:t>
      </w:r>
      <w:r w:rsidRPr="009A405C">
        <w:rPr>
          <w:rFonts w:ascii="Arial" w:hAnsi="Arial" w:cs="Arial"/>
          <w:sz w:val="22"/>
          <w:szCs w:val="22"/>
          <w:lang w:val="en-US"/>
        </w:rPr>
        <w:t xml:space="preserve"> aderidas à fibronectina foram plaqueadas por 6h junto ao peptídeo A9s na concentração de 100</w:t>
      </w:r>
      <w:r w:rsidR="0066185C">
        <w:rPr>
          <w:rFonts w:ascii="Arial" w:hAnsi="Arial" w:cs="Arial"/>
          <w:sz w:val="22"/>
          <w:szCs w:val="22"/>
          <w:lang w:val="en-US"/>
        </w:rPr>
        <w:t xml:space="preserve"> </w:t>
      </w:r>
      <w:r w:rsidRPr="009A405C">
        <w:rPr>
          <w:rFonts w:ascii="Arial" w:hAnsi="Arial" w:cs="Arial"/>
          <w:sz w:val="22"/>
          <w:szCs w:val="22"/>
          <w:lang w:val="en-US"/>
        </w:rPr>
        <w:t>nM, houve um aumento significativo na expressão de α5, esse aumento permaneceu até 24h. Já as subunidades conhecidas por serem o alvo do peptídeo A9s (α4β1 e αvβ3) não apresentaram alteração na</w:t>
      </w:r>
      <w:r w:rsidR="00073D78" w:rsidRPr="009A405C">
        <w:rPr>
          <w:rFonts w:ascii="Arial" w:hAnsi="Arial" w:cs="Arial"/>
          <w:sz w:val="22"/>
          <w:szCs w:val="22"/>
          <w:lang w:val="en-US"/>
        </w:rPr>
        <w:t xml:space="preserve"> expressão da</w:t>
      </w:r>
      <w:r w:rsidRPr="009A405C">
        <w:rPr>
          <w:rFonts w:ascii="Arial" w:hAnsi="Arial" w:cs="Arial"/>
          <w:sz w:val="22"/>
          <w:szCs w:val="22"/>
          <w:lang w:val="en-US"/>
        </w:rPr>
        <w:t>s subunidades de integrinas</w:t>
      </w:r>
      <w:r w:rsidR="003F46CD" w:rsidRPr="009A405C">
        <w:rPr>
          <w:rFonts w:ascii="Arial" w:hAnsi="Arial" w:cs="Arial"/>
          <w:sz w:val="22"/>
          <w:szCs w:val="22"/>
          <w:lang w:val="en-US"/>
        </w:rPr>
        <w:t xml:space="preserve"> (Figura 7)</w:t>
      </w:r>
      <w:r w:rsidRPr="009A405C">
        <w:rPr>
          <w:rFonts w:ascii="Arial" w:hAnsi="Arial" w:cs="Arial"/>
          <w:sz w:val="22"/>
          <w:szCs w:val="22"/>
          <w:lang w:val="en-US"/>
        </w:rPr>
        <w:t>.</w:t>
      </w:r>
    </w:p>
    <w:p w14:paraId="378CA743" w14:textId="77777777" w:rsidR="003C63D7" w:rsidRDefault="003C63D7" w:rsidP="003C63D7">
      <w:pPr>
        <w:ind w:firstLine="0"/>
        <w:jc w:val="center"/>
        <w:rPr>
          <w:rFonts w:ascii="Arial" w:hAnsi="Arial" w:cs="Arial"/>
          <w:sz w:val="22"/>
          <w:szCs w:val="22"/>
        </w:rPr>
      </w:pPr>
      <w:r>
        <w:rPr>
          <w:rFonts w:ascii="Arial" w:hAnsi="Arial" w:cs="Arial"/>
          <w:noProof/>
          <w:sz w:val="22"/>
          <w:szCs w:val="22"/>
          <w:lang w:eastAsia="pt-BR"/>
        </w:rPr>
        <w:drawing>
          <wp:inline distT="0" distB="0" distL="0" distR="0" wp14:anchorId="2BB43CD5" wp14:editId="3C8E85C1">
            <wp:extent cx="4319240" cy="3248064"/>
            <wp:effectExtent l="0" t="0" r="5715" b="0"/>
            <wp:docPr id="17" name="Imagem 17" descr="Uma imagem contendo obj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m título.png"/>
                    <pic:cNvPicPr/>
                  </pic:nvPicPr>
                  <pic:blipFill>
                    <a:blip r:embed="rId13">
                      <a:extLst>
                        <a:ext uri="{28A0092B-C50C-407E-A947-70E740481C1C}">
                          <a14:useLocalDpi xmlns:a14="http://schemas.microsoft.com/office/drawing/2010/main" val="0"/>
                        </a:ext>
                      </a:extLst>
                    </a:blip>
                    <a:stretch>
                      <a:fillRect/>
                    </a:stretch>
                  </pic:blipFill>
                  <pic:spPr>
                    <a:xfrm>
                      <a:off x="0" y="0"/>
                      <a:ext cx="4338256" cy="3262364"/>
                    </a:xfrm>
                    <a:prstGeom prst="rect">
                      <a:avLst/>
                    </a:prstGeom>
                  </pic:spPr>
                </pic:pic>
              </a:graphicData>
            </a:graphic>
          </wp:inline>
        </w:drawing>
      </w:r>
    </w:p>
    <w:p w14:paraId="29F9831E" w14:textId="77777777" w:rsidR="003C63D7" w:rsidRDefault="003C63D7" w:rsidP="003C63D7">
      <w:pPr>
        <w:ind w:firstLine="0"/>
        <w:jc w:val="center"/>
        <w:rPr>
          <w:rFonts w:ascii="Arial" w:hAnsi="Arial" w:cs="Arial"/>
          <w:sz w:val="22"/>
          <w:szCs w:val="22"/>
        </w:rPr>
      </w:pPr>
    </w:p>
    <w:p w14:paraId="6427DE34" w14:textId="77777777" w:rsidR="00C7433E" w:rsidRPr="00AB3A7E" w:rsidRDefault="003C63D7" w:rsidP="00C7433E">
      <w:pPr>
        <w:ind w:firstLine="0"/>
        <w:rPr>
          <w:rFonts w:ascii="Arial" w:hAnsi="Arial" w:cs="Arial"/>
          <w:sz w:val="20"/>
          <w:szCs w:val="20"/>
        </w:rPr>
      </w:pPr>
      <w:r w:rsidRPr="00AD5811">
        <w:rPr>
          <w:rFonts w:ascii="Arial" w:hAnsi="Arial" w:cs="Arial"/>
          <w:b/>
          <w:sz w:val="20"/>
          <w:szCs w:val="20"/>
        </w:rPr>
        <w:t xml:space="preserve">Figura </w:t>
      </w:r>
      <w:r w:rsidR="003F46CD" w:rsidRPr="00AD5811">
        <w:rPr>
          <w:rFonts w:ascii="Arial" w:hAnsi="Arial" w:cs="Arial"/>
          <w:b/>
          <w:sz w:val="20"/>
          <w:szCs w:val="20"/>
        </w:rPr>
        <w:t>7</w:t>
      </w:r>
      <w:r w:rsidRPr="00AD5811">
        <w:rPr>
          <w:rFonts w:ascii="Arial" w:hAnsi="Arial" w:cs="Arial"/>
          <w:b/>
          <w:sz w:val="20"/>
          <w:szCs w:val="20"/>
        </w:rPr>
        <w:t>:</w:t>
      </w:r>
      <w:r w:rsidR="00AD5811" w:rsidRPr="00AD5811">
        <w:rPr>
          <w:rFonts w:ascii="Arial" w:hAnsi="Arial" w:cs="Arial"/>
          <w:sz w:val="20"/>
          <w:szCs w:val="20"/>
        </w:rPr>
        <w:t xml:space="preserve"> </w:t>
      </w:r>
      <w:r w:rsidR="003F46CD" w:rsidRPr="00AD5811">
        <w:rPr>
          <w:rFonts w:ascii="Arial" w:eastAsia="ArialMT" w:hAnsi="Arial" w:cs="Arial"/>
          <w:color w:val="auto"/>
          <w:sz w:val="20"/>
          <w:szCs w:val="20"/>
        </w:rPr>
        <w:t xml:space="preserve">Expressão dos genes das subunidades de integrinas em melanoma da linhagem B16F10 sob condições normais de cultura (Ctrl), cultivados sobre fibronectina por 6hs (6h+fib), cultivados sobre fibronectina por 24hs (24h+fib), cultivados sobre fibronectina e tratados com 100nM A9s por 6hs (6h+fib+A9a) e cultivados sobre fibronectina e tratados com 100nM A9s por 24hs (24h+fib+A9a). Os valores representam média±desvio padrão de 3 repetições, cada um com 3 replicatas (n=9). A quantificação relativa foi estimada pela equação RQ=2-ΔΔCT. As </w:t>
      </w:r>
      <w:r w:rsidR="003F46CD" w:rsidRPr="00AD5811">
        <w:rPr>
          <w:rFonts w:ascii="Arial" w:eastAsia="ArialMT" w:hAnsi="Arial" w:cs="Arial"/>
          <w:color w:val="auto"/>
          <w:sz w:val="20"/>
          <w:szCs w:val="20"/>
        </w:rPr>
        <w:lastRenderedPageBreak/>
        <w:t>barras representam o desvio padrão e asteriscos (*) mostram a significância estatística (*p&lt;0,05; ***p&lt;0,001; n=9).</w:t>
      </w:r>
    </w:p>
    <w:p w14:paraId="2FDE89BA" w14:textId="77777777" w:rsidR="009C3522" w:rsidRDefault="009C3522" w:rsidP="00C7433E">
      <w:pPr>
        <w:pStyle w:val="Seo1"/>
      </w:pPr>
      <w:bookmarkStart w:id="14" w:name="_Toc478569555"/>
    </w:p>
    <w:p w14:paraId="68845598" w14:textId="72793B22" w:rsidR="00C7433E" w:rsidRPr="009A405C" w:rsidRDefault="00C7433E" w:rsidP="00C7433E">
      <w:pPr>
        <w:pStyle w:val="Seo1"/>
        <w:rPr>
          <w:sz w:val="22"/>
          <w:szCs w:val="22"/>
        </w:rPr>
      </w:pPr>
      <w:r w:rsidRPr="009A405C">
        <w:rPr>
          <w:sz w:val="22"/>
          <w:szCs w:val="22"/>
        </w:rPr>
        <w:t>DISCUSSÃO</w:t>
      </w:r>
      <w:bookmarkEnd w:id="14"/>
    </w:p>
    <w:p w14:paraId="37D486DB" w14:textId="7BBB677D" w:rsidR="00C7433E" w:rsidRPr="009A405C" w:rsidRDefault="00C7433E" w:rsidP="00C7433E">
      <w:pPr>
        <w:spacing w:line="360" w:lineRule="auto"/>
        <w:ind w:firstLine="708"/>
        <w:rPr>
          <w:rFonts w:ascii="Arial" w:hAnsi="Arial" w:cs="Arial"/>
          <w:color w:val="000000" w:themeColor="text1"/>
          <w:sz w:val="22"/>
          <w:szCs w:val="22"/>
          <w:lang w:eastAsia="ja-JP"/>
        </w:rPr>
      </w:pPr>
      <w:r w:rsidRPr="009A405C">
        <w:rPr>
          <w:rFonts w:ascii="Arial" w:hAnsi="Arial" w:cs="Arial"/>
          <w:color w:val="000000" w:themeColor="text1"/>
          <w:sz w:val="22"/>
          <w:szCs w:val="22"/>
          <w:lang w:eastAsia="ja-JP"/>
        </w:rPr>
        <w:t>No presente trabalho demonstramos a capacidade de um novo peptídeo cíclico, A9s, desenhado para interagir com</w:t>
      </w:r>
      <w:r w:rsidR="006B09B5" w:rsidRPr="009A405C">
        <w:rPr>
          <w:rFonts w:ascii="Arial" w:hAnsi="Arial" w:cs="Arial"/>
          <w:color w:val="000000" w:themeColor="text1"/>
          <w:sz w:val="22"/>
          <w:szCs w:val="22"/>
          <w:lang w:eastAsia="ja-JP"/>
        </w:rPr>
        <w:t xml:space="preserve"> as integrinas</w:t>
      </w:r>
      <w:r w:rsidRPr="009A405C">
        <w:rPr>
          <w:rFonts w:ascii="Arial" w:hAnsi="Arial" w:cs="Arial"/>
          <w:color w:val="000000" w:themeColor="text1"/>
          <w:sz w:val="22"/>
          <w:szCs w:val="22"/>
          <w:lang w:eastAsia="ja-JP"/>
        </w:rPr>
        <w:t xml:space="preserve"> </w:t>
      </w:r>
      <w:r w:rsidR="005B4A62" w:rsidRPr="009A405C">
        <w:rPr>
          <w:rFonts w:ascii="Arial" w:hAnsi="Arial" w:cs="Arial"/>
          <w:sz w:val="22"/>
          <w:szCs w:val="22"/>
        </w:rPr>
        <w:t>α4β1</w:t>
      </w:r>
      <w:r w:rsidR="006B09B5" w:rsidRPr="009A405C">
        <w:rPr>
          <w:rFonts w:ascii="Arial" w:hAnsi="Arial" w:cs="Arial"/>
          <w:color w:val="000000" w:themeColor="text1"/>
          <w:sz w:val="22"/>
          <w:szCs w:val="22"/>
          <w:lang w:eastAsia="ja-JP"/>
        </w:rPr>
        <w:t xml:space="preserve"> e </w:t>
      </w:r>
      <w:r w:rsidR="005B4A62" w:rsidRPr="009A405C">
        <w:rPr>
          <w:rFonts w:ascii="Arial" w:hAnsi="Arial" w:cs="Arial"/>
          <w:sz w:val="22"/>
          <w:szCs w:val="22"/>
        </w:rPr>
        <w:t>αVβ3</w:t>
      </w:r>
      <w:r w:rsidRPr="009A405C">
        <w:rPr>
          <w:rFonts w:ascii="Arial" w:hAnsi="Arial" w:cs="Arial"/>
          <w:color w:val="000000" w:themeColor="text1"/>
          <w:sz w:val="22"/>
          <w:szCs w:val="22"/>
          <w:lang w:eastAsia="ja-JP"/>
        </w:rPr>
        <w:t xml:space="preserve">, em inibir processos celulares </w:t>
      </w:r>
      <w:r w:rsidRPr="009A405C">
        <w:rPr>
          <w:rFonts w:ascii="Arial" w:hAnsi="Arial" w:cs="Arial"/>
          <w:i/>
          <w:color w:val="000000" w:themeColor="text1"/>
          <w:sz w:val="22"/>
          <w:szCs w:val="22"/>
          <w:lang w:eastAsia="ja-JP"/>
        </w:rPr>
        <w:t>in vitro</w:t>
      </w:r>
      <w:r w:rsidRPr="009A405C">
        <w:rPr>
          <w:rFonts w:ascii="Arial" w:hAnsi="Arial" w:cs="Arial"/>
          <w:color w:val="000000" w:themeColor="text1"/>
          <w:sz w:val="22"/>
          <w:szCs w:val="22"/>
          <w:lang w:eastAsia="ja-JP"/>
        </w:rPr>
        <w:t xml:space="preserve"> que estão diretamente relacionados com o sucesso da disseminação de células tumorais para </w:t>
      </w:r>
      <w:r w:rsidRPr="001611F8">
        <w:rPr>
          <w:rFonts w:ascii="Arial" w:hAnsi="Arial" w:cs="Arial"/>
          <w:color w:val="000000" w:themeColor="text1"/>
          <w:sz w:val="22"/>
          <w:szCs w:val="22"/>
          <w:lang w:eastAsia="ja-JP"/>
        </w:rPr>
        <w:t>órgãos distantes</w:t>
      </w:r>
      <w:r w:rsidR="0048023F" w:rsidRPr="001611F8">
        <w:rPr>
          <w:rFonts w:ascii="Arial" w:hAnsi="Arial" w:cs="Arial"/>
          <w:color w:val="000000" w:themeColor="text1"/>
          <w:sz w:val="22"/>
          <w:szCs w:val="22"/>
          <w:lang w:eastAsia="ja-JP"/>
        </w:rPr>
        <w:t xml:space="preserve"> </w:t>
      </w:r>
      <w:r w:rsidR="0048023F" w:rsidRPr="001611F8">
        <w:rPr>
          <w:rFonts w:ascii="Arial" w:hAnsi="Arial" w:cs="Arial"/>
          <w:color w:val="000000" w:themeColor="text1"/>
          <w:sz w:val="22"/>
          <w:szCs w:val="22"/>
          <w:lang w:eastAsia="ja-JP"/>
        </w:rPr>
        <w:fldChar w:fldCharType="begin" w:fldLock="1"/>
      </w:r>
      <w:r w:rsidR="00AA5B1A">
        <w:rPr>
          <w:rFonts w:ascii="Arial" w:hAnsi="Arial" w:cs="Arial"/>
          <w:color w:val="000000" w:themeColor="text1"/>
          <w:sz w:val="22"/>
          <w:szCs w:val="22"/>
          <w:lang w:eastAsia="ja-JP"/>
        </w:rPr>
        <w:instrText>ADDIN CSL_CITATION {"citationItems":[{"id":"ITEM-1","itemData":{"DOI":"10.1371/journal.pone.0041591","ISBN":"2010004311000","ISSN":"19326203","PMID":"22848537","abstract":"BACKGROUND: Matrix metalloproteinase-2 (MMP-2) is a key regulator in the migration of tumor cells. αvβ3 integrin has been reported to play a critical role in cell adhesion and regulate the migration of tumor cells by promoting MMP-2 activation. However, little is known about the effects of MMP-2 on αvβ3 integrin activity and αvβ3 integrin-mediated adhesion and migration of tumor cells.\\n\\nMETHODOLOGY/PRINCIPAL FINDINGS: Human melanoma cells were seeded using an agarose drop model and/or subjected to in vitro analysis using immunofluorescence, adhesion, migration and invasion assays to investigate the relationship between active MMP-2 and αvβ3 integrin during the adhesion and migration of the tumor cells. We found that MMP-2 was localized at the leading edge of spreading cells before αvβ3 integrin. αvβ3 integrin-mediated adhesion and migration of the tumor cells were inhibited by a MMP-2 inhibitor. MMP-2 cleaved fibronectin into small fragments, which promoted the adhesion and migration of the tumor cells.\\n\\nCONCLUSION/SIGNIFICANCE: MMP-2 cleaves fibronectin into small fragments to enhance the adhesion and migration of human melanoma cells mediated by αvβ3 integrin. These results indicate that MMP-2 may guide the direction of the tumor cell migration.","author":[{"dropping-particle":"","family":"Jiao","given":"Yang","non-dropping-particle":"","parse-names":false,"suffix":""},{"dropping-particle":"","family":"Feng","given":"Xue","non-dropping-particle":"","parse-names":false,"suffix":""},{"dropping-particle":"","family":"Zhan","given":"Yinpeng","non-dropping-particle":"","parse-names":false,"suffix":""},{"dropping-particle":"","family":"Wang","given":"Ruifei","non-dropping-particle":"","parse-names":false,"suffix":""},{"dropping-particle":"","family":"Zheng","given":"Sheng","non-dropping-particle":"","parse-names":false,"suffix":""},{"dropping-particle":"","family":"Liu","given":"Wenguang","non-dropping-particle":"","parse-names":false,"suffix":""},{"dropping-particle":"","family":"Zeng","given":"Xianlu","non-dropping-particle":"","parse-names":false,"suffix":""}],"container-title":"PLoS ONE","id":"ITEM-1","issue":"7","issued":{"date-parts":[["2012"]]},"note":"NULL","title":"Matrix metalloproteinase-2 promotes ??v??3 integrin-mediated adhesion and migration of human melanoma cells by cleaving fibronectin","type":"article-journal","volume":"7"},"uris":["http://www.mendeley.com/documents/?uuid=3fb434fd-f831-4ff7-8059-11e07bc22d19"]},{"id":"ITEM-2","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Communications","id":"ITEM-2","issue":"4","issued":{"date-parts":[["2005"]]},"page":"1269-1275","title":"Interaction between integrin α5 and fibronectin is required for metastasis of B16F10 melanoma cells","type":"article-journal","volume":"333"},"uris":["http://www.mendeley.com/documents/?uuid=f2fad469-b845-48c6-8d4c-f07367aaf455"]}],"mendeley":{"formattedCitation":"[1,39]","plainTextFormattedCitation":"[1,39]","previouslyFormattedCitation":"[1,38]"},"properties":{"noteIndex":0},"schema":"https://github.com/citation-style-language/schema/raw/master/csl-citation.json"}</w:instrText>
      </w:r>
      <w:r w:rsidR="0048023F" w:rsidRPr="001611F8">
        <w:rPr>
          <w:rFonts w:ascii="Arial" w:hAnsi="Arial" w:cs="Arial"/>
          <w:color w:val="000000" w:themeColor="text1"/>
          <w:sz w:val="22"/>
          <w:szCs w:val="22"/>
          <w:lang w:eastAsia="ja-JP"/>
        </w:rPr>
        <w:fldChar w:fldCharType="separate"/>
      </w:r>
      <w:r w:rsidR="00AA5B1A" w:rsidRPr="00AA5B1A">
        <w:rPr>
          <w:rFonts w:ascii="Arial" w:hAnsi="Arial" w:cs="Arial"/>
          <w:noProof/>
          <w:color w:val="000000" w:themeColor="text1"/>
          <w:sz w:val="22"/>
          <w:szCs w:val="22"/>
          <w:lang w:eastAsia="ja-JP"/>
        </w:rPr>
        <w:t>[1,39]</w:t>
      </w:r>
      <w:r w:rsidR="0048023F" w:rsidRPr="001611F8">
        <w:rPr>
          <w:rFonts w:ascii="Arial" w:hAnsi="Arial" w:cs="Arial"/>
          <w:color w:val="000000" w:themeColor="text1"/>
          <w:sz w:val="22"/>
          <w:szCs w:val="22"/>
          <w:lang w:eastAsia="ja-JP"/>
        </w:rPr>
        <w:fldChar w:fldCharType="end"/>
      </w:r>
      <w:r w:rsidRPr="001611F8">
        <w:rPr>
          <w:rFonts w:ascii="Arial" w:hAnsi="Arial" w:cs="Arial"/>
          <w:color w:val="000000" w:themeColor="text1"/>
          <w:sz w:val="22"/>
          <w:szCs w:val="22"/>
          <w:lang w:eastAsia="ja-JP"/>
        </w:rPr>
        <w:t xml:space="preserve">. </w:t>
      </w:r>
      <w:r w:rsidR="001611F8" w:rsidRPr="001611F8">
        <w:rPr>
          <w:rFonts w:ascii="Arial" w:hAnsi="Arial" w:cs="Arial"/>
          <w:color w:val="000000" w:themeColor="text1"/>
          <w:sz w:val="22"/>
          <w:szCs w:val="22"/>
          <w:lang w:eastAsia="ja-JP"/>
        </w:rPr>
        <w:t>Este peptídeo o</w:t>
      </w:r>
      <w:r w:rsidRPr="001611F8">
        <w:rPr>
          <w:rFonts w:ascii="Arial" w:hAnsi="Arial" w:cs="Arial"/>
          <w:color w:val="000000" w:themeColor="text1"/>
          <w:sz w:val="22"/>
          <w:szCs w:val="22"/>
          <w:lang w:eastAsia="ja-JP"/>
        </w:rPr>
        <w:t>bte</w:t>
      </w:r>
      <w:r w:rsidR="001611F8" w:rsidRPr="001611F8">
        <w:rPr>
          <w:rFonts w:ascii="Arial" w:hAnsi="Arial" w:cs="Arial"/>
          <w:color w:val="000000" w:themeColor="text1"/>
          <w:sz w:val="22"/>
          <w:szCs w:val="22"/>
          <w:lang w:eastAsia="ja-JP"/>
        </w:rPr>
        <w:t>ve</w:t>
      </w:r>
      <w:r w:rsidRPr="009A405C">
        <w:rPr>
          <w:rFonts w:ascii="Arial" w:hAnsi="Arial" w:cs="Arial"/>
          <w:color w:val="000000" w:themeColor="text1"/>
          <w:sz w:val="22"/>
          <w:szCs w:val="22"/>
          <w:lang w:eastAsia="ja-JP"/>
        </w:rPr>
        <w:t xml:space="preserve"> resultados positivos para a modulação negativa da adesão,</w:t>
      </w:r>
      <w:r w:rsidR="006B09B5" w:rsidRPr="009A405C">
        <w:rPr>
          <w:rFonts w:ascii="Arial" w:hAnsi="Arial" w:cs="Arial"/>
          <w:color w:val="000000" w:themeColor="text1"/>
          <w:sz w:val="22"/>
          <w:szCs w:val="22"/>
          <w:lang w:eastAsia="ja-JP"/>
        </w:rPr>
        <w:t xml:space="preserve"> crescimento,</w:t>
      </w:r>
      <w:r w:rsidRPr="009A405C">
        <w:rPr>
          <w:rFonts w:ascii="Arial" w:hAnsi="Arial" w:cs="Arial"/>
          <w:color w:val="000000" w:themeColor="text1"/>
          <w:sz w:val="22"/>
          <w:szCs w:val="22"/>
          <w:lang w:eastAsia="ja-JP"/>
        </w:rPr>
        <w:t xml:space="preserve"> migração e proliferação celular em</w:t>
      </w:r>
      <w:r w:rsidR="006B09B5" w:rsidRPr="009A405C">
        <w:rPr>
          <w:rFonts w:ascii="Arial" w:hAnsi="Arial" w:cs="Arial"/>
          <w:color w:val="000000" w:themeColor="text1"/>
          <w:sz w:val="22"/>
          <w:szCs w:val="22"/>
          <w:lang w:eastAsia="ja-JP"/>
        </w:rPr>
        <w:t xml:space="preserve"> melanoma.</w:t>
      </w:r>
    </w:p>
    <w:p w14:paraId="2C608AF2" w14:textId="6D6FA161" w:rsidR="007A7A2C" w:rsidRPr="009A405C" w:rsidRDefault="00C7433E" w:rsidP="007A7A2C">
      <w:pPr>
        <w:autoSpaceDE w:val="0"/>
        <w:autoSpaceDN w:val="0"/>
        <w:adjustRightInd w:val="0"/>
        <w:spacing w:line="360" w:lineRule="auto"/>
        <w:rPr>
          <w:rFonts w:ascii="Arial" w:hAnsi="Arial" w:cs="Arial"/>
          <w:sz w:val="22"/>
          <w:szCs w:val="22"/>
        </w:rPr>
      </w:pPr>
      <w:r w:rsidRPr="009A405C">
        <w:rPr>
          <w:rFonts w:ascii="Arial" w:hAnsi="Arial" w:cs="Arial"/>
          <w:sz w:val="22"/>
          <w:szCs w:val="22"/>
        </w:rPr>
        <w:t xml:space="preserve">O peptídeo cíclico A9s se mostrou capaz de inibir, de forma dose-dependente, a adesão das células B16F10 em concentrações extremamente baixas, atuando satisfatoriamente em concentrações na escala de </w:t>
      </w:r>
      <w:r w:rsidR="0066185C">
        <w:rPr>
          <w:rFonts w:ascii="Arial" w:hAnsi="Arial" w:cs="Arial"/>
          <w:sz w:val="22"/>
          <w:szCs w:val="22"/>
        </w:rPr>
        <w:t>nM</w:t>
      </w:r>
      <w:r w:rsidRPr="009A405C">
        <w:rPr>
          <w:rFonts w:ascii="Arial" w:hAnsi="Arial" w:cs="Arial"/>
          <w:sz w:val="22"/>
          <w:szCs w:val="22"/>
        </w:rPr>
        <w:t xml:space="preserve"> até pM, inibindo em até 98% a interação iônica entre integrina e </w:t>
      </w:r>
      <w:r w:rsidR="007F71E7" w:rsidRPr="009A405C">
        <w:rPr>
          <w:rFonts w:ascii="Arial" w:hAnsi="Arial" w:cs="Arial"/>
          <w:sz w:val="22"/>
          <w:szCs w:val="22"/>
        </w:rPr>
        <w:t>fibronectina</w:t>
      </w:r>
      <w:r w:rsidRPr="009A405C">
        <w:rPr>
          <w:rFonts w:ascii="Arial" w:hAnsi="Arial" w:cs="Arial"/>
          <w:sz w:val="22"/>
          <w:szCs w:val="22"/>
        </w:rPr>
        <w:t>.</w:t>
      </w:r>
      <w:r w:rsidR="007A7A2C" w:rsidRPr="009A405C">
        <w:rPr>
          <w:rFonts w:ascii="Arial" w:hAnsi="Arial" w:cs="Arial"/>
          <w:sz w:val="22"/>
          <w:szCs w:val="22"/>
        </w:rPr>
        <w:t xml:space="preserve"> </w:t>
      </w:r>
      <w:r w:rsidR="007D2965">
        <w:rPr>
          <w:rFonts w:ascii="Arial" w:hAnsi="Arial" w:cs="Arial"/>
          <w:sz w:val="22"/>
          <w:szCs w:val="22"/>
        </w:rPr>
        <w:t>Outros estudos também mostram p</w:t>
      </w:r>
      <w:r w:rsidR="007A7A2C" w:rsidRPr="009A405C">
        <w:rPr>
          <w:rFonts w:ascii="Arial" w:hAnsi="Arial" w:cs="Arial"/>
          <w:sz w:val="22"/>
          <w:szCs w:val="22"/>
        </w:rPr>
        <w:t>eptídeos</w:t>
      </w:r>
      <w:r w:rsidR="007D2965">
        <w:rPr>
          <w:rFonts w:ascii="Arial" w:hAnsi="Arial" w:cs="Arial"/>
          <w:sz w:val="22"/>
          <w:szCs w:val="22"/>
        </w:rPr>
        <w:t xml:space="preserve"> capazes de inibir o processo de adesão </w:t>
      </w:r>
      <w:r w:rsidR="00DD78D6">
        <w:rPr>
          <w:rFonts w:ascii="Arial" w:hAnsi="Arial" w:cs="Arial"/>
          <w:sz w:val="22"/>
          <w:szCs w:val="22"/>
        </w:rPr>
        <w:fldChar w:fldCharType="begin" w:fldLock="1"/>
      </w:r>
      <w:r w:rsidR="00AA5B1A">
        <w:rPr>
          <w:rFonts w:ascii="Arial" w:hAnsi="Arial" w:cs="Arial"/>
          <w:sz w:val="22"/>
          <w:szCs w:val="22"/>
        </w:rPr>
        <w:instrText>ADDIN CSL_CITATION {"citationItems":[{"id":"ITEM-1","itemData":{"DOI":"http://dx.doi.org/10.2174/187152007781668706","abstract":"Development of molecular devices endowed with tumor-targeting functions and carrying cytotoxic components should enable the specific delivery of chemotherapeutics to malignant tissues, thus increasing their local efficacy while limiting their peripheral toxicity. Such molecular vectors can pave the way for the development of new classes of therapeutics, fighting against protagonists of neoplastic development. In line with this concept, peptide ligands containing the Arginine-Glycine-Aspartate (RGD) triad, which display a strong affinity and selectivity to the αVβ3 integrin, have been developed to target the tumor-associated cells expressing the αVβ3 receptors. Among the validated ligands, the leader compound is the cyclic pentapeptide c[-RGDf(NMe)V-] (Cilengitide) developed by kessler et al. (J. Med. Chem., 1999, 42, 3033-3040). This compound has entered phase II clinical trials as an anti-angiogenic agent. Further studies have been directed to develop molecular conjugates of the parent c[-RGDfK-] with conventional chemotherapeutics or with labels for non-invasive imaging technologies. More recently, multimeric RGD containing compounds have been exploited to improve the targeting potential as well as cell-membrane breaching, through receptor-mediated endocytosis. The latter have been constructed on various scaffolds (polylysines or polyglutamates, liposomes, nanoparticles...). Our group has developed a chemical system combining all these properties where multivalent RGD targeting functions are associated with functional molecules through a cyclopeptide template. The latter represents a relevant non-viral vector for tumor targeting, imaging and therapy. This review describes the considerations for the design of the diverse RGD ligands developed so far and reports an overview of the main applications of these structures in cancer research.","author":[{"dropping-particle":"","family":"Garanger","given":"Elisabeth","non-dropping-particle":"","parse-names":false,"suffix":""},{"dropping-particle":"","family":"Boturyn","given":"Didier","non-dropping-particle":"","parse-names":false,"suffix":""},{"dropping-particle":"","family":"Dumy","given":"Pascal","non-dropping-particle":"","parse-names":false,"suffix":""}],"container-title":"Anti-Cancer Agents in Medicinal Chemistry","id":"ITEM-1","issue":"5","issued":{"date-parts":[["2007"]]},"page":"552-558","title":"Tumor Targeting with RGD Peptide Ligands-Design of New Molecular Conjugates for Imaging and Therapy of Cancers","type":"article-journal","volume":"7"},"uris":["http://www.mendeley.com/documents/?uuid=f7ee86a6-134b-4bfe-9851-cd8d255003e0"]},{"id":"ITEM-2","itemData":{"ISBN":"1871-5206 (Print)\\r1871-5206 (Linking)","ISSN":"1871-5206","PMID":"17017851","abstract":"Angiogenesis, the formation of new blood vessels from pre-existing vasculature, is a fundamental process during cancer progression. Anti-angiogenic strategies have been pursued for cancer treatment and prevention of cancer recurrence and metastasis. Integrins are a family of cell adhesion molecules consisting of two non-covalently bound transmembrane subunits (alpha and beta). Much research has demonstrated that integrin signaling plays a key role in tumor angiogenesis and metastasis. Integrin alphavbeta3 is highly expressed on activated endothelial cells and tumor cells but is not present in resting endothelial cells and most normal organ systems, which makes it a suitable target for anti-angiogenic cancer therapy. In this review we will focus on cancer therapy targeting integrin alphavbeta3 while other integrins (such as alpha5beta1, alphaIIbbeta3, alphavbeta5, alpha6beta4) will only be briefly mentioned when relevant. MEDI-522 (a humanized anti-human integrin alphavbeta3 monoclonal antibody) and Cilengitide (cyclic peptidic integrin alphavbeta3/alphavbeta5 antagonist) are currently in clinical trials for anti-angiogenic cancer therapy. Small interfering RNA (siRNA) that specifically silences integrin alphav and/or beta3 was reported to cause tumor shrinkage in preclinical xenograft models. Combination of anti-integrin alphavbeta3 therapy and other therapeutic approaches (such as chemotherapy, radiotherapy and gene therapy) has also been applied for cancer treatment. Mounting evidence suggests that there is potentially synergistic effect of combined therapeutic approaches over single modality alone. Lastly, integrin targeted delivery (drugs, genes, and radioisotopes) and imaging (optical, MRI, ultrasound, SPECT, and PET) is discussed in detail.","author":[{"dropping-particle":"","family":"Cai","given":"Weibo","non-dropping-particle":"","parse-names":false,"suffix":""},{"dropping-particle":"","family":"Chen","given":"Xiaoyuan","non-dropping-particle":"","parse-names":false,"suffix":""}],"container-title":"Anti-cancer agents in medicinal chemistry","id":"ITEM-2","issue":"5","issued":{"date-parts":[["2006"]]},"page":"407-28","title":"Anti-angiogenic cancer therapy based on integrin alphavbeta3 antagonism.","type":"article-journal","volume":"6"},"uris":["http://www.mendeley.com/documents/?uuid=994b1618-ab0a-4c59-9434-e9adbc05becc"]},{"id":"ITEM-3","itemData":{"DOI":"10.1016/j.nano.2012.01.003","ISBN":"1549-9634","ISSN":"1549-9642","PMID":"22306158","abstract":"UNLABELLED: As an integrin α(5)β(1) antagonist, N-acetyl-proline-histidine-serine-cysteine-asparagine-amide (Ac-PHSCN-NH(2)) is currently in phase II trials for various cancer therapies. In this study Ac-PHSCNK-NH(2) (PHSCNK) was used as a novel homing peptide to prepare ligand-targeted liposomes loaded with doxorubicin (PHSCNK-PL-DOX), with the hypothesis that the therapy target of integrin α(5)β(1) may also serve as a delivery target. The stealth liposomes loaded with doxorubicin (PL-DOX) were used as the control. PHSCNK-PL-DOX demonstrated an enhanced intracellular uptake and a greater cytotoxicity against melanoma B16F10 cells in comparison with PL-DOX. The novel targeted formulation displayed stronger tumor inhibition and prolonged survival time in comparison with controls in C57BL/6 mice bearing B16F10 tumors, and it exhibited less heart toxicity in hematoxylin-eosin (H&amp;E) staining of tissues. Taking the pharmacokinetics and biodistribution results into account, the authors conclude that α(5)β(1) integrin-mediated liposomes might be used as a potential delivery system for targeted tumor therapy.\\n\\nFROM THE CLINICAL EDITOR: Lactosyl-norcantharidin TMC nanoparticles were found superior in comparison with Lac-NCTD and Lac-NCTD chitosan nanoparticles from the standpoint of antitumor activity on murine hepatocarcinoma 22 subcutaneous model.","author":[{"dropping-particle":"","family":"Dai","given":"Wenbing","non-dropping-particle":"","parse-names":false,"suffix":""},{"dropping-particle":"","family":"Yang","given":"Tingyuan","non-dropping-particle":"","parse-names":false,"suffix":""},{"dropping-particle":"","family":"Wang","given":"Yiguang","non-dropping-particle":"","parse-names":false,"suffix":""},{"dropping-particle":"","family":"Wang","given":"Xueqing","non-dropping-particle":"","parse-names":false,"suffix":""},{"dropping-particle":"","family":"Wang","given":"Jiancheng","non-dropping-particle":"","parse-names":false,"suffix":""},{"dropping-particle":"","family":"Zhang","given":"Xuan","non-dropping-particle":"","parse-names":false,"suffix":""},{"dropping-particle":"","family":"Zhang","given":"Qiang","non-dropping-particle":"","parse-names":false,"suffix":""}],"container-title":"Nanomedicine : nanotechnology, biology, and medicine","id":"ITEM-3","issue":"7","issued":{"date-parts":[["2012"]]},"note":"NULL","page":"1152-61","publisher":"Elsevier Inc.","title":"Peptide PHSCNK as an integrin α5β1 antagonist targets stealth liposomes to integrin-overexpressing melanoma.","type":"article-journal","volume":"8"},"uris":["http://www.mendeley.com/documents/?uuid=4d81bd42-116b-4a35-953f-4775a567cb80"]}],"mendeley":{"formattedCitation":"[11,40,41]","plainTextFormattedCitation":"[11,40,41]","previouslyFormattedCitation":"[11,39,40]"},"properties":{"noteIndex":0},"schema":"https://github.com/citation-style-language/schema/raw/master/csl-citation.json"}</w:instrText>
      </w:r>
      <w:r w:rsidR="00DD78D6">
        <w:rPr>
          <w:rFonts w:ascii="Arial" w:hAnsi="Arial" w:cs="Arial"/>
          <w:sz w:val="22"/>
          <w:szCs w:val="22"/>
        </w:rPr>
        <w:fldChar w:fldCharType="separate"/>
      </w:r>
      <w:r w:rsidR="00AA5B1A" w:rsidRPr="00AA5B1A">
        <w:rPr>
          <w:rFonts w:ascii="Arial" w:hAnsi="Arial" w:cs="Arial"/>
          <w:noProof/>
          <w:sz w:val="22"/>
          <w:szCs w:val="22"/>
        </w:rPr>
        <w:t>[11,40,41]</w:t>
      </w:r>
      <w:r w:rsidR="00DD78D6">
        <w:rPr>
          <w:rFonts w:ascii="Arial" w:hAnsi="Arial" w:cs="Arial"/>
          <w:sz w:val="22"/>
          <w:szCs w:val="22"/>
        </w:rPr>
        <w:fldChar w:fldCharType="end"/>
      </w:r>
      <w:r w:rsidR="007D2965">
        <w:rPr>
          <w:rFonts w:ascii="Arial" w:hAnsi="Arial" w:cs="Arial"/>
          <w:sz w:val="22"/>
          <w:szCs w:val="22"/>
        </w:rPr>
        <w:t>. Como exemplo</w:t>
      </w:r>
      <w:r w:rsidR="007A7A2C" w:rsidRPr="009A405C">
        <w:rPr>
          <w:rFonts w:ascii="Arial" w:hAnsi="Arial" w:cs="Arial"/>
          <w:sz w:val="22"/>
          <w:szCs w:val="22"/>
        </w:rPr>
        <w:t xml:space="preserve"> o 1a-RGD </w:t>
      </w:r>
      <w:r w:rsidR="007D2965">
        <w:rPr>
          <w:rFonts w:ascii="Arial" w:hAnsi="Arial" w:cs="Arial"/>
          <w:sz w:val="22"/>
          <w:szCs w:val="22"/>
        </w:rPr>
        <w:t>que inibe 50% da</w:t>
      </w:r>
      <w:r w:rsidR="007A7A2C" w:rsidRPr="009A405C">
        <w:rPr>
          <w:rFonts w:ascii="Arial" w:hAnsi="Arial" w:cs="Arial"/>
          <w:sz w:val="22"/>
          <w:szCs w:val="22"/>
        </w:rPr>
        <w:t xml:space="preserve"> adesão em uma concentração de 20uM </w:t>
      </w:r>
      <w:r w:rsidR="007A7A2C" w:rsidRPr="009A405C">
        <w:rPr>
          <w:rFonts w:ascii="Arial" w:hAnsi="Arial" w:cs="Arial"/>
          <w:sz w:val="22"/>
          <w:szCs w:val="22"/>
        </w:rPr>
        <w:fldChar w:fldCharType="begin" w:fldLock="1"/>
      </w:r>
      <w:r w:rsidR="00AA5B1A">
        <w:rPr>
          <w:rFonts w:ascii="Arial" w:hAnsi="Arial" w:cs="Arial"/>
          <w:sz w:val="22"/>
          <w:szCs w:val="22"/>
        </w:rPr>
        <w:instrText>ADDIN CSL_CITATION {"citationItems":[{"id":"ITEM-1","itemData":{"DOI":"10.3892/ijo.2012.1708","ISBN":"1791-2423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Oncology","id":"ITEM-1","issue":"1","issued":{"date-parts":[["2013"]]},"page":"83-92","title":"A small-molecule RGD-integrin antagonist inhibits cell adhesion, cell migration and induces anoikis in glioblastoma cells","type":"article-journal","volume":"42"},"uris":["http://www.mendeley.com/documents/?uuid=4d8b18ce-29eb-4fb5-a910-9d7230d3621b"]}],"mendeley":{"formattedCitation":"[42]","plainTextFormattedCitation":"[42]","previouslyFormattedCitation":"[41]"},"properties":{"noteIndex":0},"schema":"https://github.com/citation-style-language/schema/raw/master/csl-citation.json"}</w:instrText>
      </w:r>
      <w:r w:rsidR="007A7A2C" w:rsidRPr="009A405C">
        <w:rPr>
          <w:rFonts w:ascii="Arial" w:hAnsi="Arial" w:cs="Arial"/>
          <w:sz w:val="22"/>
          <w:szCs w:val="22"/>
        </w:rPr>
        <w:fldChar w:fldCharType="separate"/>
      </w:r>
      <w:r w:rsidR="00AA5B1A" w:rsidRPr="00AA5B1A">
        <w:rPr>
          <w:rFonts w:ascii="Arial" w:hAnsi="Arial" w:cs="Arial"/>
          <w:noProof/>
          <w:sz w:val="22"/>
          <w:szCs w:val="22"/>
        </w:rPr>
        <w:t>[42]</w:t>
      </w:r>
      <w:r w:rsidR="007A7A2C" w:rsidRPr="009A405C">
        <w:rPr>
          <w:rFonts w:ascii="Arial" w:hAnsi="Arial" w:cs="Arial"/>
          <w:sz w:val="22"/>
          <w:szCs w:val="22"/>
        </w:rPr>
        <w:fldChar w:fldCharType="end"/>
      </w:r>
      <w:r w:rsidR="007A7A2C" w:rsidRPr="009A405C">
        <w:rPr>
          <w:rFonts w:ascii="Arial" w:hAnsi="Arial" w:cs="Arial"/>
          <w:sz w:val="22"/>
          <w:szCs w:val="22"/>
        </w:rPr>
        <w:t>, porém esta concentração é 20 vezes maior que a concentração máxima utilizada no presente estudo e 200.000 vezes maior do que o IC</w:t>
      </w:r>
      <w:r w:rsidR="007A7A2C" w:rsidRPr="009A405C">
        <w:rPr>
          <w:rFonts w:ascii="Arial" w:hAnsi="Arial" w:cs="Arial"/>
          <w:sz w:val="22"/>
          <w:szCs w:val="22"/>
          <w:vertAlign w:val="subscript"/>
        </w:rPr>
        <w:t>50</w:t>
      </w:r>
      <w:r w:rsidR="007A7A2C" w:rsidRPr="009A405C">
        <w:rPr>
          <w:rFonts w:ascii="Arial" w:hAnsi="Arial" w:cs="Arial"/>
          <w:sz w:val="22"/>
          <w:szCs w:val="22"/>
        </w:rPr>
        <w:t xml:space="preserve"> do peptídeo</w:t>
      </w:r>
      <w:r w:rsidR="00FF233E">
        <w:rPr>
          <w:rFonts w:ascii="Arial" w:hAnsi="Arial" w:cs="Arial"/>
          <w:sz w:val="22"/>
          <w:szCs w:val="22"/>
        </w:rPr>
        <w:t xml:space="preserve"> cíclico</w:t>
      </w:r>
      <w:r w:rsidR="007A7A2C" w:rsidRPr="009A405C">
        <w:rPr>
          <w:rFonts w:ascii="Arial" w:hAnsi="Arial" w:cs="Arial"/>
          <w:sz w:val="22"/>
          <w:szCs w:val="22"/>
        </w:rPr>
        <w:t xml:space="preserve"> A9s</w:t>
      </w:r>
      <w:r w:rsidR="00101A24">
        <w:rPr>
          <w:rFonts w:ascii="Arial" w:hAnsi="Arial" w:cs="Arial"/>
          <w:sz w:val="22"/>
          <w:szCs w:val="22"/>
        </w:rPr>
        <w:t xml:space="preserve"> (0,2</w:t>
      </w:r>
      <w:r w:rsidR="0066185C">
        <w:rPr>
          <w:rFonts w:ascii="Arial" w:hAnsi="Arial" w:cs="Arial"/>
          <w:sz w:val="22"/>
          <w:szCs w:val="22"/>
        </w:rPr>
        <w:t xml:space="preserve"> </w:t>
      </w:r>
      <w:r w:rsidR="00101A24">
        <w:rPr>
          <w:rFonts w:ascii="Arial" w:hAnsi="Arial" w:cs="Arial"/>
          <w:sz w:val="22"/>
          <w:szCs w:val="22"/>
        </w:rPr>
        <w:t>nM)</w:t>
      </w:r>
      <w:r w:rsidR="007A7A2C" w:rsidRPr="009A405C">
        <w:rPr>
          <w:rFonts w:ascii="Arial" w:hAnsi="Arial" w:cs="Arial"/>
          <w:sz w:val="22"/>
          <w:szCs w:val="22"/>
        </w:rPr>
        <w:t>.</w:t>
      </w:r>
    </w:p>
    <w:p w14:paraId="0EBF3D82" w14:textId="341E5382" w:rsidR="00C7433E" w:rsidRPr="009A405C" w:rsidRDefault="00AC11BF" w:rsidP="00C7433E">
      <w:pPr>
        <w:autoSpaceDE w:val="0"/>
        <w:autoSpaceDN w:val="0"/>
        <w:adjustRightInd w:val="0"/>
        <w:spacing w:line="360" w:lineRule="auto"/>
        <w:rPr>
          <w:rFonts w:ascii="Arial" w:hAnsi="Arial" w:cs="Arial"/>
          <w:sz w:val="22"/>
          <w:szCs w:val="22"/>
        </w:rPr>
      </w:pPr>
      <w:r>
        <w:rPr>
          <w:rFonts w:ascii="Arial" w:hAnsi="Arial" w:cs="Arial"/>
          <w:sz w:val="22"/>
          <w:szCs w:val="22"/>
        </w:rPr>
        <w:t>Essa</w:t>
      </w:r>
      <w:r w:rsidR="00C7433E" w:rsidRPr="009A405C">
        <w:rPr>
          <w:rFonts w:ascii="Arial" w:hAnsi="Arial" w:cs="Arial"/>
          <w:sz w:val="22"/>
          <w:szCs w:val="22"/>
        </w:rPr>
        <w:t xml:space="preserve"> ruptura da interação</w:t>
      </w:r>
      <w:r w:rsidR="007A7A2C" w:rsidRPr="009A405C">
        <w:rPr>
          <w:rFonts w:ascii="Arial" w:hAnsi="Arial" w:cs="Arial"/>
          <w:sz w:val="22"/>
          <w:szCs w:val="22"/>
        </w:rPr>
        <w:t xml:space="preserve"> integrina-fibronectina</w:t>
      </w:r>
      <w:r w:rsidR="00C7433E" w:rsidRPr="009A405C">
        <w:rPr>
          <w:rFonts w:ascii="Arial" w:hAnsi="Arial" w:cs="Arial"/>
          <w:sz w:val="22"/>
          <w:szCs w:val="22"/>
        </w:rPr>
        <w:t xml:space="preserve"> é possível uma vez que o peptídeo desenhado </w:t>
      </w:r>
      <w:r w:rsidR="00C7433E" w:rsidRPr="009A405C">
        <w:rPr>
          <w:rFonts w:ascii="Arial" w:hAnsi="Arial" w:cs="Arial"/>
          <w:i/>
          <w:sz w:val="22"/>
          <w:szCs w:val="22"/>
        </w:rPr>
        <w:t>in silico</w:t>
      </w:r>
      <w:r w:rsidR="00C7433E" w:rsidRPr="009A405C">
        <w:rPr>
          <w:rFonts w:ascii="Arial" w:hAnsi="Arial" w:cs="Arial"/>
          <w:sz w:val="22"/>
          <w:szCs w:val="22"/>
        </w:rPr>
        <w:t xml:space="preserve"> é capaz de interagir diretamente na região MIDAS que se localiza na interface da subunidade αβ das integrinas</w:t>
      </w:r>
      <w:r w:rsidR="005D0392">
        <w:rPr>
          <w:rFonts w:ascii="Arial" w:hAnsi="Arial" w:cs="Arial"/>
          <w:sz w:val="22"/>
          <w:szCs w:val="22"/>
        </w:rPr>
        <w:t xml:space="preserve"> </w:t>
      </w:r>
      <w:r w:rsidR="005D0392">
        <w:rPr>
          <w:rFonts w:ascii="Arial" w:hAnsi="Arial" w:cs="Arial"/>
          <w:sz w:val="22"/>
          <w:szCs w:val="22"/>
        </w:rPr>
        <w:fldChar w:fldCharType="begin" w:fldLock="1"/>
      </w:r>
      <w:r w:rsidR="00AA5B1A">
        <w:rPr>
          <w:rFonts w:ascii="Arial" w:hAnsi="Arial" w:cs="Arial"/>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venom","type":"article-journal","volume":"329"},"uris":["http://www.mendeley.com/documents/?uuid=0246a8fb-dbcf-44e8-b025-488daf47cd10"]},{"id":"ITEM-2","itemData":{"author":[{"dropping-particle":"","family":"Coronado","given":"Mônica Aparecida","non-dropping-particle":"","parse-names":false,"suffix":""}],"id":"ITEM-2","issued":{"date-parts":[["2008"]]},"number-of-pages":"161","publisher":"Laboratório Nacional de Computação Científica","title":"Estudo por modelagem e dinâmica molecular da interação da integrina alpha6beta1 com domínio tipo-desintegrina de ADAM2 e ADAM9 humanas","type":"thesis"},"uris":["http://www.mendeley.com/documents/?uuid=ca90e1d9-d72e-4cbe-9a69-cf5d38ddc4d8"]}],"mendeley":{"formattedCitation":"[25,43]","plainTextFormattedCitation":"[25,43]","previouslyFormattedCitation":"[25,42]"},"properties":{"noteIndex":0},"schema":"https://github.com/citation-style-language/schema/raw/master/csl-citation.json"}</w:instrText>
      </w:r>
      <w:r w:rsidR="005D0392">
        <w:rPr>
          <w:rFonts w:ascii="Arial" w:hAnsi="Arial" w:cs="Arial"/>
          <w:sz w:val="22"/>
          <w:szCs w:val="22"/>
        </w:rPr>
        <w:fldChar w:fldCharType="separate"/>
      </w:r>
      <w:r w:rsidR="00AA5B1A" w:rsidRPr="00AA5B1A">
        <w:rPr>
          <w:rFonts w:ascii="Arial" w:hAnsi="Arial" w:cs="Arial"/>
          <w:noProof/>
          <w:sz w:val="22"/>
          <w:szCs w:val="22"/>
        </w:rPr>
        <w:t>[25,43]</w:t>
      </w:r>
      <w:r w:rsidR="005D0392">
        <w:rPr>
          <w:rFonts w:ascii="Arial" w:hAnsi="Arial" w:cs="Arial"/>
          <w:sz w:val="22"/>
          <w:szCs w:val="22"/>
        </w:rPr>
        <w:fldChar w:fldCharType="end"/>
      </w:r>
      <w:r w:rsidR="005D0392">
        <w:rPr>
          <w:rFonts w:ascii="Arial" w:hAnsi="Arial" w:cs="Arial"/>
          <w:sz w:val="22"/>
          <w:szCs w:val="22"/>
        </w:rPr>
        <w:t>.</w:t>
      </w:r>
    </w:p>
    <w:p w14:paraId="59A764AA" w14:textId="52DE55C8" w:rsidR="0048023F" w:rsidRPr="009A405C" w:rsidRDefault="00C7433E" w:rsidP="00D12E89">
      <w:pPr>
        <w:autoSpaceDE w:val="0"/>
        <w:autoSpaceDN w:val="0"/>
        <w:adjustRightInd w:val="0"/>
        <w:spacing w:line="360" w:lineRule="auto"/>
        <w:rPr>
          <w:rFonts w:ascii="Arial" w:hAnsi="Arial" w:cs="Arial"/>
          <w:sz w:val="22"/>
          <w:szCs w:val="22"/>
        </w:rPr>
      </w:pPr>
      <w:r w:rsidRPr="009A405C">
        <w:rPr>
          <w:rFonts w:ascii="Arial" w:hAnsi="Arial" w:cs="Arial"/>
          <w:sz w:val="22"/>
          <w:szCs w:val="22"/>
        </w:rPr>
        <w:t>Ao trata</w:t>
      </w:r>
      <w:r w:rsidR="001611F8">
        <w:rPr>
          <w:rFonts w:ascii="Arial" w:hAnsi="Arial" w:cs="Arial"/>
          <w:sz w:val="22"/>
          <w:szCs w:val="22"/>
        </w:rPr>
        <w:t>r a linhagem B16F10</w:t>
      </w:r>
      <w:r w:rsidRPr="009A405C">
        <w:rPr>
          <w:rFonts w:ascii="Arial" w:hAnsi="Arial" w:cs="Arial"/>
          <w:sz w:val="22"/>
          <w:szCs w:val="22"/>
        </w:rPr>
        <w:t xml:space="preserve"> com o peptídeo</w:t>
      </w:r>
      <w:r w:rsidR="00FF233E">
        <w:rPr>
          <w:rFonts w:ascii="Arial" w:hAnsi="Arial" w:cs="Arial"/>
          <w:sz w:val="22"/>
          <w:szCs w:val="22"/>
        </w:rPr>
        <w:t xml:space="preserve"> cíclico</w:t>
      </w:r>
      <w:r w:rsidRPr="009A405C">
        <w:rPr>
          <w:rFonts w:ascii="Arial" w:hAnsi="Arial" w:cs="Arial"/>
          <w:sz w:val="22"/>
          <w:szCs w:val="22"/>
        </w:rPr>
        <w:t xml:space="preserve"> A9s</w:t>
      </w:r>
      <w:r w:rsidR="0048023F" w:rsidRPr="009A405C">
        <w:rPr>
          <w:rFonts w:ascii="Arial" w:hAnsi="Arial" w:cs="Arial"/>
          <w:sz w:val="22"/>
          <w:szCs w:val="22"/>
        </w:rPr>
        <w:t>,</w:t>
      </w:r>
      <w:r w:rsidR="007C108B" w:rsidRPr="009A405C">
        <w:rPr>
          <w:rFonts w:ascii="Arial" w:hAnsi="Arial" w:cs="Arial"/>
          <w:sz w:val="22"/>
          <w:szCs w:val="22"/>
        </w:rPr>
        <w:t xml:space="preserve"> fo</w:t>
      </w:r>
      <w:r w:rsidRPr="009A405C">
        <w:rPr>
          <w:rFonts w:ascii="Arial" w:hAnsi="Arial" w:cs="Arial"/>
          <w:sz w:val="22"/>
          <w:szCs w:val="22"/>
        </w:rPr>
        <w:t>i observa</w:t>
      </w:r>
      <w:r w:rsidR="007C108B" w:rsidRPr="009A405C">
        <w:rPr>
          <w:rFonts w:ascii="Arial" w:hAnsi="Arial" w:cs="Arial"/>
          <w:sz w:val="22"/>
          <w:szCs w:val="22"/>
        </w:rPr>
        <w:t>da</w:t>
      </w:r>
      <w:r w:rsidRPr="009A405C">
        <w:rPr>
          <w:rFonts w:ascii="Arial" w:hAnsi="Arial" w:cs="Arial"/>
          <w:sz w:val="22"/>
          <w:szCs w:val="22"/>
        </w:rPr>
        <w:t xml:space="preserve"> uma redução de mais de 50% do crescimento </w:t>
      </w:r>
      <w:r w:rsidR="007C108B" w:rsidRPr="009A405C">
        <w:rPr>
          <w:rFonts w:ascii="Arial" w:hAnsi="Arial" w:cs="Arial"/>
          <w:sz w:val="22"/>
          <w:szCs w:val="22"/>
        </w:rPr>
        <w:t>e</w:t>
      </w:r>
      <w:r w:rsidRPr="009A405C">
        <w:rPr>
          <w:rFonts w:ascii="Arial" w:hAnsi="Arial" w:cs="Arial"/>
          <w:sz w:val="22"/>
          <w:szCs w:val="22"/>
        </w:rPr>
        <w:t xml:space="preserve"> da migração</w:t>
      </w:r>
      <w:r w:rsidR="00D12E89" w:rsidRPr="009A405C">
        <w:rPr>
          <w:rFonts w:ascii="Arial" w:hAnsi="Arial" w:cs="Arial"/>
          <w:sz w:val="22"/>
          <w:szCs w:val="22"/>
        </w:rPr>
        <w:t xml:space="preserve"> </w:t>
      </w:r>
      <w:r w:rsidRPr="009A405C">
        <w:rPr>
          <w:rFonts w:ascii="Arial" w:hAnsi="Arial" w:cs="Arial"/>
          <w:sz w:val="22"/>
          <w:szCs w:val="22"/>
        </w:rPr>
        <w:t>celular do melanoma murino</w:t>
      </w:r>
      <w:r w:rsidR="00101A24">
        <w:rPr>
          <w:rFonts w:ascii="Arial" w:hAnsi="Arial" w:cs="Arial"/>
          <w:sz w:val="22"/>
          <w:szCs w:val="22"/>
        </w:rPr>
        <w:t xml:space="preserve"> e</w:t>
      </w:r>
      <w:r w:rsidR="007A7A2C" w:rsidRPr="009A405C">
        <w:rPr>
          <w:rFonts w:ascii="Arial" w:hAnsi="Arial" w:cs="Arial"/>
          <w:sz w:val="22"/>
          <w:szCs w:val="22"/>
        </w:rPr>
        <w:t xml:space="preserve"> esta inibição du</w:t>
      </w:r>
      <w:r w:rsidR="00D12E89" w:rsidRPr="009A405C">
        <w:rPr>
          <w:rFonts w:ascii="Arial" w:hAnsi="Arial" w:cs="Arial"/>
          <w:sz w:val="22"/>
          <w:szCs w:val="22"/>
        </w:rPr>
        <w:t>rou</w:t>
      </w:r>
      <w:r w:rsidR="007A7A2C" w:rsidRPr="009A405C">
        <w:rPr>
          <w:rFonts w:ascii="Arial" w:hAnsi="Arial" w:cs="Arial"/>
          <w:sz w:val="22"/>
          <w:szCs w:val="22"/>
        </w:rPr>
        <w:t xml:space="preserve"> quase todo tempo de experimentação</w:t>
      </w:r>
      <w:r w:rsidR="00DD78D6">
        <w:rPr>
          <w:rFonts w:ascii="Arial" w:hAnsi="Arial" w:cs="Arial"/>
          <w:sz w:val="22"/>
          <w:szCs w:val="22"/>
        </w:rPr>
        <w:t>. Com um valor semelhante de</w:t>
      </w:r>
      <w:r w:rsidR="007A7A2C" w:rsidRPr="009A405C">
        <w:rPr>
          <w:rFonts w:ascii="Arial" w:hAnsi="Arial" w:cs="Arial"/>
          <w:sz w:val="22"/>
          <w:szCs w:val="22"/>
        </w:rPr>
        <w:t xml:space="preserve"> </w:t>
      </w:r>
      <w:r w:rsidR="00DD78D6" w:rsidRPr="009A405C">
        <w:rPr>
          <w:rFonts w:ascii="Arial" w:hAnsi="Arial" w:cs="Arial"/>
          <w:sz w:val="22"/>
          <w:szCs w:val="22"/>
        </w:rPr>
        <w:t>inibição de migração</w:t>
      </w:r>
      <w:r w:rsidR="00DD78D6">
        <w:rPr>
          <w:rFonts w:ascii="Arial" w:hAnsi="Arial" w:cs="Arial"/>
          <w:sz w:val="22"/>
          <w:szCs w:val="22"/>
        </w:rPr>
        <w:t>, o</w:t>
      </w:r>
      <w:r w:rsidR="00DD78D6" w:rsidRPr="009A405C">
        <w:rPr>
          <w:rFonts w:ascii="Arial" w:hAnsi="Arial" w:cs="Arial"/>
          <w:sz w:val="22"/>
          <w:szCs w:val="22"/>
        </w:rPr>
        <w:t xml:space="preserve"> </w:t>
      </w:r>
      <w:r w:rsidR="007A7A2C" w:rsidRPr="009A405C">
        <w:rPr>
          <w:rFonts w:ascii="Arial" w:hAnsi="Arial" w:cs="Arial"/>
          <w:sz w:val="22"/>
          <w:szCs w:val="22"/>
        </w:rPr>
        <w:t>1a-RGD inib</w:t>
      </w:r>
      <w:r w:rsidR="00DD78D6">
        <w:rPr>
          <w:rFonts w:ascii="Arial" w:hAnsi="Arial" w:cs="Arial"/>
          <w:sz w:val="22"/>
          <w:szCs w:val="22"/>
        </w:rPr>
        <w:t>e</w:t>
      </w:r>
      <w:r w:rsidR="007A7A2C" w:rsidRPr="009A405C">
        <w:rPr>
          <w:rFonts w:ascii="Arial" w:hAnsi="Arial" w:cs="Arial"/>
          <w:sz w:val="22"/>
          <w:szCs w:val="22"/>
        </w:rPr>
        <w:t xml:space="preserve"> </w:t>
      </w:r>
      <w:r w:rsidR="00DD78D6" w:rsidRPr="009A405C">
        <w:rPr>
          <w:rFonts w:ascii="Arial" w:hAnsi="Arial" w:cs="Arial"/>
          <w:sz w:val="22"/>
          <w:szCs w:val="22"/>
        </w:rPr>
        <w:t xml:space="preserve">40-50% </w:t>
      </w:r>
      <w:r w:rsidR="00DD78D6">
        <w:rPr>
          <w:rFonts w:ascii="Arial" w:hAnsi="Arial" w:cs="Arial"/>
          <w:sz w:val="22"/>
          <w:szCs w:val="22"/>
        </w:rPr>
        <w:t xml:space="preserve">da </w:t>
      </w:r>
      <w:r w:rsidR="007A7A2C" w:rsidRPr="009A405C">
        <w:rPr>
          <w:rFonts w:ascii="Arial" w:hAnsi="Arial" w:cs="Arial"/>
          <w:sz w:val="22"/>
          <w:szCs w:val="22"/>
        </w:rPr>
        <w:t xml:space="preserve">migração em 12h  para glioblastoma </w:t>
      </w:r>
      <w:r w:rsidR="007A7A2C" w:rsidRPr="009A405C">
        <w:rPr>
          <w:rFonts w:ascii="Arial" w:hAnsi="Arial" w:cs="Arial"/>
          <w:sz w:val="22"/>
          <w:szCs w:val="22"/>
        </w:rPr>
        <w:fldChar w:fldCharType="begin" w:fldLock="1"/>
      </w:r>
      <w:r w:rsidR="00AA5B1A">
        <w:rPr>
          <w:rFonts w:ascii="Arial" w:hAnsi="Arial" w:cs="Arial"/>
          <w:sz w:val="22"/>
          <w:szCs w:val="22"/>
        </w:rPr>
        <w:instrText>ADDIN CSL_CITATION {"citationItems":[{"id":"ITEM-1","itemData":{"DOI":"10.3892/ijo.2012.1708","ISBN":"1791-2423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Oncology","id":"ITEM-1","issue":"1","issued":{"date-parts":[["2013"]]},"page":"83-92","title":"A small-molecule RGD-integrin antagonist inhibits cell adhesion, cell migration and induces anoikis in glioblastoma cells","type":"article-journal","volume":"42"},"uris":["http://www.mendeley.com/documents/?uuid=4d8b18ce-29eb-4fb5-a910-9d7230d3621b"]}],"mendeley":{"formattedCitation":"[42]","plainTextFormattedCitation":"[42]","previouslyFormattedCitation":"[41]"},"properties":{"noteIndex":0},"schema":"https://github.com/citation-style-language/schema/raw/master/csl-citation.json"}</w:instrText>
      </w:r>
      <w:r w:rsidR="007A7A2C" w:rsidRPr="009A405C">
        <w:rPr>
          <w:rFonts w:ascii="Arial" w:hAnsi="Arial" w:cs="Arial"/>
          <w:sz w:val="22"/>
          <w:szCs w:val="22"/>
        </w:rPr>
        <w:fldChar w:fldCharType="separate"/>
      </w:r>
      <w:r w:rsidR="00AA5B1A" w:rsidRPr="00AA5B1A">
        <w:rPr>
          <w:rFonts w:ascii="Arial" w:hAnsi="Arial" w:cs="Arial"/>
          <w:noProof/>
          <w:sz w:val="22"/>
          <w:szCs w:val="22"/>
        </w:rPr>
        <w:t>[42]</w:t>
      </w:r>
      <w:r w:rsidR="007A7A2C" w:rsidRPr="009A405C">
        <w:rPr>
          <w:rFonts w:ascii="Arial" w:hAnsi="Arial" w:cs="Arial"/>
          <w:sz w:val="22"/>
          <w:szCs w:val="22"/>
        </w:rPr>
        <w:fldChar w:fldCharType="end"/>
      </w:r>
      <w:r w:rsidR="007A7A2C" w:rsidRPr="009A405C">
        <w:rPr>
          <w:rFonts w:ascii="Arial" w:hAnsi="Arial" w:cs="Arial"/>
          <w:sz w:val="22"/>
          <w:szCs w:val="22"/>
        </w:rPr>
        <w:t xml:space="preserve">, </w:t>
      </w:r>
      <w:r w:rsidR="00101A24">
        <w:rPr>
          <w:rFonts w:ascii="Arial" w:hAnsi="Arial" w:cs="Arial"/>
          <w:sz w:val="22"/>
          <w:szCs w:val="22"/>
        </w:rPr>
        <w:t>porém estes peptídeos não mostraram uma</w:t>
      </w:r>
      <w:r w:rsidR="007A7A2C" w:rsidRPr="009A405C">
        <w:rPr>
          <w:rFonts w:ascii="Arial" w:hAnsi="Arial" w:cs="Arial"/>
          <w:sz w:val="22"/>
          <w:szCs w:val="22"/>
        </w:rPr>
        <w:t xml:space="preserve"> </w:t>
      </w:r>
      <w:r w:rsidR="00101A24">
        <w:rPr>
          <w:rFonts w:ascii="Arial" w:hAnsi="Arial" w:cs="Arial"/>
          <w:sz w:val="22"/>
          <w:szCs w:val="22"/>
        </w:rPr>
        <w:t>i</w:t>
      </w:r>
      <w:r w:rsidR="007A7A2C" w:rsidRPr="009A405C">
        <w:rPr>
          <w:rFonts w:ascii="Arial" w:hAnsi="Arial" w:cs="Arial"/>
          <w:sz w:val="22"/>
          <w:szCs w:val="22"/>
        </w:rPr>
        <w:t>nibição contínua</w:t>
      </w:r>
      <w:r w:rsidR="00101A24">
        <w:rPr>
          <w:rFonts w:ascii="Arial" w:hAnsi="Arial" w:cs="Arial"/>
          <w:sz w:val="22"/>
          <w:szCs w:val="22"/>
        </w:rPr>
        <w:t xml:space="preserve"> como a do A9s</w:t>
      </w:r>
      <w:r w:rsidRPr="009A405C">
        <w:rPr>
          <w:rFonts w:ascii="Arial" w:hAnsi="Arial" w:cs="Arial"/>
          <w:sz w:val="22"/>
          <w:szCs w:val="22"/>
        </w:rPr>
        <w:t xml:space="preserve">. </w:t>
      </w:r>
      <w:r w:rsidR="00DB038F">
        <w:rPr>
          <w:rFonts w:ascii="Arial" w:hAnsi="Arial" w:cs="Arial"/>
          <w:sz w:val="22"/>
          <w:szCs w:val="22"/>
        </w:rPr>
        <w:t>Mesmo apresentando alta inibição de adesão</w:t>
      </w:r>
      <w:r w:rsidRPr="009A405C">
        <w:rPr>
          <w:rFonts w:ascii="Arial" w:hAnsi="Arial" w:cs="Arial"/>
          <w:sz w:val="22"/>
          <w:szCs w:val="22"/>
        </w:rPr>
        <w:t>,</w:t>
      </w:r>
      <w:r w:rsidR="00DB038F">
        <w:rPr>
          <w:rFonts w:ascii="Arial" w:hAnsi="Arial" w:cs="Arial"/>
          <w:sz w:val="22"/>
          <w:szCs w:val="22"/>
        </w:rPr>
        <w:t xml:space="preserve"> crescimento e migração celular</w:t>
      </w:r>
      <w:r w:rsidRPr="009A405C">
        <w:rPr>
          <w:rFonts w:ascii="Arial" w:hAnsi="Arial" w:cs="Arial"/>
          <w:sz w:val="22"/>
          <w:szCs w:val="22"/>
        </w:rPr>
        <w:t xml:space="preserve"> </w:t>
      </w:r>
      <w:r w:rsidR="000D2DB0">
        <w:rPr>
          <w:rFonts w:ascii="Arial" w:hAnsi="Arial" w:cs="Arial"/>
          <w:sz w:val="22"/>
          <w:szCs w:val="22"/>
        </w:rPr>
        <w:t>o A9s apresentou baixa redução d</w:t>
      </w:r>
      <w:r w:rsidRPr="009A405C">
        <w:rPr>
          <w:rFonts w:ascii="Arial" w:hAnsi="Arial" w:cs="Arial"/>
          <w:sz w:val="22"/>
          <w:szCs w:val="22"/>
        </w:rPr>
        <w:t>a proliferação de</w:t>
      </w:r>
      <w:r w:rsidR="007A7A2C" w:rsidRPr="009A405C">
        <w:rPr>
          <w:rFonts w:ascii="Arial" w:hAnsi="Arial" w:cs="Arial"/>
          <w:sz w:val="22"/>
          <w:szCs w:val="22"/>
        </w:rPr>
        <w:t xml:space="preserve"> B16F10</w:t>
      </w:r>
      <w:r w:rsidR="000D2DB0">
        <w:rPr>
          <w:rFonts w:ascii="Arial" w:hAnsi="Arial" w:cs="Arial"/>
          <w:sz w:val="22"/>
          <w:szCs w:val="22"/>
        </w:rPr>
        <w:t xml:space="preserve">, </w:t>
      </w:r>
      <w:r w:rsidRPr="009A405C">
        <w:rPr>
          <w:rFonts w:ascii="Arial" w:hAnsi="Arial" w:cs="Arial"/>
          <w:sz w:val="22"/>
          <w:szCs w:val="22"/>
        </w:rPr>
        <w:t>mostrando que o peptídeo impede a interação entre B16F10-</w:t>
      </w:r>
      <w:r w:rsidR="006B09B5" w:rsidRPr="009A405C">
        <w:rPr>
          <w:rFonts w:ascii="Arial" w:hAnsi="Arial" w:cs="Arial"/>
          <w:sz w:val="22"/>
          <w:szCs w:val="22"/>
        </w:rPr>
        <w:t>Fi</w:t>
      </w:r>
      <w:r w:rsidR="007C108B" w:rsidRPr="009A405C">
        <w:rPr>
          <w:rFonts w:ascii="Arial" w:hAnsi="Arial" w:cs="Arial"/>
          <w:sz w:val="22"/>
          <w:szCs w:val="22"/>
        </w:rPr>
        <w:t>b</w:t>
      </w:r>
      <w:r w:rsidR="006B09B5" w:rsidRPr="009A405C">
        <w:rPr>
          <w:rFonts w:ascii="Arial" w:hAnsi="Arial" w:cs="Arial"/>
          <w:sz w:val="22"/>
          <w:szCs w:val="22"/>
        </w:rPr>
        <w:t>ronectina</w:t>
      </w:r>
      <w:r w:rsidRPr="009A405C">
        <w:rPr>
          <w:rFonts w:ascii="Arial" w:hAnsi="Arial" w:cs="Arial"/>
          <w:sz w:val="22"/>
          <w:szCs w:val="22"/>
        </w:rPr>
        <w:t xml:space="preserve"> mas, uma vez aderidas, as células não têm sua proliferação celular em contínua redução.</w:t>
      </w:r>
      <w:r w:rsidR="00DB038F">
        <w:rPr>
          <w:rFonts w:ascii="Arial" w:hAnsi="Arial" w:cs="Arial"/>
          <w:sz w:val="22"/>
          <w:szCs w:val="22"/>
        </w:rPr>
        <w:t xml:space="preserve"> </w:t>
      </w:r>
    </w:p>
    <w:p w14:paraId="05CDAFB1" w14:textId="257D70D5" w:rsidR="005B4A62" w:rsidRPr="009A405C" w:rsidRDefault="00C7433E" w:rsidP="00874CD3">
      <w:pPr>
        <w:autoSpaceDE w:val="0"/>
        <w:autoSpaceDN w:val="0"/>
        <w:adjustRightInd w:val="0"/>
        <w:spacing w:line="360" w:lineRule="auto"/>
        <w:rPr>
          <w:rFonts w:ascii="Arial" w:hAnsi="Arial" w:cs="Arial"/>
          <w:sz w:val="22"/>
          <w:szCs w:val="22"/>
        </w:rPr>
      </w:pPr>
      <w:r w:rsidRPr="009A405C">
        <w:rPr>
          <w:rFonts w:ascii="Arial" w:hAnsi="Arial" w:cs="Arial"/>
          <w:sz w:val="22"/>
          <w:szCs w:val="22"/>
        </w:rPr>
        <w:t>Ao se adicionar mais peptídeo</w:t>
      </w:r>
      <w:r w:rsidR="00FF233E">
        <w:rPr>
          <w:rFonts w:ascii="Arial" w:hAnsi="Arial" w:cs="Arial"/>
          <w:sz w:val="22"/>
          <w:szCs w:val="22"/>
        </w:rPr>
        <w:t xml:space="preserve"> cíclico</w:t>
      </w:r>
      <w:r w:rsidRPr="009A405C">
        <w:rPr>
          <w:rFonts w:ascii="Arial" w:hAnsi="Arial" w:cs="Arial"/>
          <w:sz w:val="22"/>
          <w:szCs w:val="22"/>
        </w:rPr>
        <w:t xml:space="preserve"> A9s a cada 24h nos testes de crescimento</w:t>
      </w:r>
      <w:r w:rsidR="007C108B" w:rsidRPr="009A405C">
        <w:rPr>
          <w:rFonts w:ascii="Arial" w:hAnsi="Arial" w:cs="Arial"/>
          <w:sz w:val="22"/>
          <w:szCs w:val="22"/>
        </w:rPr>
        <w:t xml:space="preserve"> e </w:t>
      </w:r>
      <w:r w:rsidR="00897D00" w:rsidRPr="009A405C">
        <w:rPr>
          <w:rFonts w:ascii="Arial" w:hAnsi="Arial" w:cs="Arial"/>
          <w:sz w:val="22"/>
          <w:szCs w:val="22"/>
        </w:rPr>
        <w:t>viabilidade celular,</w:t>
      </w:r>
      <w:r w:rsidRPr="009A405C">
        <w:rPr>
          <w:rFonts w:ascii="Arial" w:hAnsi="Arial" w:cs="Arial"/>
          <w:sz w:val="22"/>
          <w:szCs w:val="22"/>
        </w:rPr>
        <w:t xml:space="preserve"> a ação do peptídeo foi potencializada</w:t>
      </w:r>
      <w:r w:rsidR="000D2DB0">
        <w:rPr>
          <w:rFonts w:ascii="Arial" w:hAnsi="Arial" w:cs="Arial"/>
          <w:sz w:val="22"/>
          <w:szCs w:val="22"/>
        </w:rPr>
        <w:t>.</w:t>
      </w:r>
      <w:r w:rsidR="00897D00" w:rsidRPr="009A405C">
        <w:rPr>
          <w:rFonts w:ascii="Arial" w:hAnsi="Arial" w:cs="Arial"/>
          <w:sz w:val="22"/>
          <w:szCs w:val="22"/>
        </w:rPr>
        <w:t xml:space="preserve"> </w:t>
      </w:r>
      <w:r w:rsidR="000D2DB0">
        <w:rPr>
          <w:rFonts w:ascii="Arial" w:hAnsi="Arial" w:cs="Arial"/>
          <w:sz w:val="22"/>
          <w:szCs w:val="22"/>
        </w:rPr>
        <w:t>I</w:t>
      </w:r>
      <w:r w:rsidR="00897D00" w:rsidRPr="009A405C">
        <w:rPr>
          <w:rFonts w:ascii="Arial" w:hAnsi="Arial" w:cs="Arial"/>
          <w:sz w:val="22"/>
          <w:szCs w:val="22"/>
        </w:rPr>
        <w:t xml:space="preserve">nferimos com esses resultados que </w:t>
      </w:r>
      <w:r w:rsidR="007C108B" w:rsidRPr="009A405C">
        <w:rPr>
          <w:rFonts w:ascii="Arial" w:hAnsi="Arial" w:cs="Arial"/>
          <w:sz w:val="22"/>
          <w:szCs w:val="22"/>
        </w:rPr>
        <w:t>o tempo de ação do peptídeo ocorre dentro das primeiras 24h de tratamento, após esse período o peptídeo provavelmente é degradado intra ou extracelularmente, sendo metabolizado pelas células.</w:t>
      </w:r>
      <w:r w:rsidRPr="009A405C">
        <w:rPr>
          <w:rFonts w:ascii="Arial" w:hAnsi="Arial" w:cs="Arial"/>
          <w:sz w:val="22"/>
          <w:szCs w:val="22"/>
        </w:rPr>
        <w:t xml:space="preserve"> </w:t>
      </w:r>
    </w:p>
    <w:p w14:paraId="3ED9DC49" w14:textId="12DF2F77" w:rsidR="00C7433E" w:rsidRPr="009A405C" w:rsidRDefault="00C7433E" w:rsidP="00D12E89">
      <w:pPr>
        <w:autoSpaceDE w:val="0"/>
        <w:autoSpaceDN w:val="0"/>
        <w:adjustRightInd w:val="0"/>
        <w:spacing w:line="360" w:lineRule="auto"/>
        <w:rPr>
          <w:rFonts w:ascii="Arial" w:hAnsi="Arial" w:cs="Arial"/>
          <w:sz w:val="22"/>
          <w:szCs w:val="22"/>
        </w:rPr>
      </w:pPr>
      <w:r w:rsidRPr="009A405C">
        <w:rPr>
          <w:rFonts w:ascii="Arial" w:hAnsi="Arial" w:cs="Arial"/>
          <w:sz w:val="22"/>
          <w:szCs w:val="22"/>
        </w:rPr>
        <w:lastRenderedPageBreak/>
        <w:t>Outros antagonistas específicos para diferentes integrinas</w:t>
      </w:r>
      <w:r w:rsidR="000D2DB0">
        <w:rPr>
          <w:rFonts w:ascii="Arial" w:hAnsi="Arial" w:cs="Arial"/>
          <w:sz w:val="22"/>
          <w:szCs w:val="22"/>
        </w:rPr>
        <w:t xml:space="preserve"> também</w:t>
      </w:r>
      <w:r w:rsidRPr="009A405C">
        <w:rPr>
          <w:rFonts w:ascii="Arial" w:hAnsi="Arial" w:cs="Arial"/>
          <w:sz w:val="22"/>
          <w:szCs w:val="22"/>
        </w:rPr>
        <w:t xml:space="preserve"> possuem capacidade de inibição nos processos celulares, como os analisados no presente estudo. </w:t>
      </w:r>
      <w:r w:rsidRPr="009A405C">
        <w:rPr>
          <w:rStyle w:val="hps"/>
          <w:rFonts w:ascii="Arial" w:hAnsi="Arial" w:cs="Arial"/>
          <w:sz w:val="22"/>
          <w:szCs w:val="22"/>
        </w:rPr>
        <w:t>A descrição mais bem-sucedida de antagonistas de integrinas é o do peptídeo cíclico cilengitide</w:t>
      </w:r>
      <w:r w:rsidR="00D12E89" w:rsidRPr="009A405C">
        <w:rPr>
          <w:rStyle w:val="hps"/>
          <w:rFonts w:ascii="Arial" w:hAnsi="Arial" w:cs="Arial"/>
          <w:sz w:val="22"/>
          <w:szCs w:val="22"/>
          <w:lang w:val="pt-PT"/>
        </w:rPr>
        <w:t>,</w:t>
      </w:r>
      <w:r w:rsidRPr="009A405C">
        <w:rPr>
          <w:rStyle w:val="hps"/>
          <w:rFonts w:ascii="Arial" w:hAnsi="Arial" w:cs="Arial"/>
          <w:sz w:val="22"/>
          <w:szCs w:val="22"/>
        </w:rPr>
        <w:t xml:space="preserve"> em fase III de testes</w:t>
      </w:r>
      <w:r w:rsidR="00101A24">
        <w:rPr>
          <w:rStyle w:val="hps"/>
          <w:rFonts w:ascii="Arial" w:hAnsi="Arial" w:cs="Arial"/>
          <w:sz w:val="22"/>
          <w:szCs w:val="22"/>
        </w:rPr>
        <w:t>.</w:t>
      </w:r>
      <w:r w:rsidRPr="009A405C">
        <w:rPr>
          <w:rStyle w:val="hps"/>
          <w:rFonts w:ascii="Arial" w:hAnsi="Arial" w:cs="Arial"/>
          <w:sz w:val="22"/>
          <w:szCs w:val="22"/>
        </w:rPr>
        <w:t xml:space="preserve"> </w:t>
      </w:r>
      <w:r w:rsidR="00101A24">
        <w:rPr>
          <w:rStyle w:val="hps"/>
          <w:rFonts w:ascii="Arial" w:hAnsi="Arial" w:cs="Arial"/>
          <w:sz w:val="22"/>
          <w:szCs w:val="22"/>
        </w:rPr>
        <w:t>E</w:t>
      </w:r>
      <w:r w:rsidR="00D12E89" w:rsidRPr="009A405C">
        <w:rPr>
          <w:rStyle w:val="hps"/>
          <w:rFonts w:ascii="Arial" w:hAnsi="Arial" w:cs="Arial"/>
          <w:sz w:val="22"/>
          <w:szCs w:val="22"/>
        </w:rPr>
        <w:t>ste antagonista</w:t>
      </w:r>
      <w:r w:rsidRPr="009A405C">
        <w:rPr>
          <w:rStyle w:val="hps"/>
          <w:rFonts w:ascii="Arial" w:hAnsi="Arial" w:cs="Arial"/>
          <w:sz w:val="22"/>
          <w:szCs w:val="22"/>
        </w:rPr>
        <w:t xml:space="preserve"> possui uma capacidade </w:t>
      </w:r>
      <w:r w:rsidRPr="009A405C">
        <w:rPr>
          <w:rFonts w:ascii="Arial" w:hAnsi="Arial" w:cs="Arial"/>
          <w:sz w:val="22"/>
          <w:szCs w:val="22"/>
        </w:rPr>
        <w:t>máxima inibitória de adesão e proliferação celular de apenas 40%, com valor de IC</w:t>
      </w:r>
      <w:r w:rsidRPr="009A405C">
        <w:rPr>
          <w:rFonts w:ascii="Arial" w:hAnsi="Arial" w:cs="Arial"/>
          <w:sz w:val="22"/>
          <w:szCs w:val="22"/>
          <w:vertAlign w:val="subscript"/>
        </w:rPr>
        <w:t>50</w:t>
      </w:r>
      <w:r w:rsidRPr="009A405C">
        <w:rPr>
          <w:rFonts w:ascii="Arial" w:hAnsi="Arial" w:cs="Arial"/>
          <w:sz w:val="22"/>
          <w:szCs w:val="22"/>
        </w:rPr>
        <w:t xml:space="preserve"> de 79</w:t>
      </w:r>
      <w:r w:rsidR="0066185C">
        <w:rPr>
          <w:rFonts w:ascii="Arial" w:hAnsi="Arial" w:cs="Arial"/>
          <w:sz w:val="22"/>
          <w:szCs w:val="22"/>
        </w:rPr>
        <w:t xml:space="preserve"> </w:t>
      </w:r>
      <w:r w:rsidRPr="009A405C">
        <w:rPr>
          <w:rFonts w:ascii="Arial" w:hAnsi="Arial" w:cs="Arial"/>
          <w:sz w:val="22"/>
          <w:szCs w:val="22"/>
        </w:rPr>
        <w:t xml:space="preserve">nM </w:t>
      </w:r>
      <w:r w:rsidRPr="009A405C">
        <w:rPr>
          <w:rFonts w:ascii="Arial" w:hAnsi="Arial" w:cs="Arial"/>
          <w:sz w:val="22"/>
          <w:szCs w:val="22"/>
        </w:rPr>
        <w:fldChar w:fldCharType="begin" w:fldLock="1"/>
      </w:r>
      <w:r w:rsidR="00AA5B1A">
        <w:rPr>
          <w:rFonts w:ascii="Arial" w:hAnsi="Arial" w:cs="Arial"/>
          <w:sz w:val="22"/>
          <w:szCs w:val="22"/>
        </w:rPr>
        <w:instrText>ADDIN CSL_CITATION {"citationItems":[{"id":"ITEM-1","itemData":{"DOI":"10.1177/1947601912450586","ISSN":"1947-6019","author":[{"dropping-particle":"","family":"Reardon","given":"D. a.","non-dropping-particle":"","parse-names":false,"suffix":""},{"dropping-particle":"","family":"Cheresh","given":"D.","non-dropping-particle":"","parse-names":false,"suffix":""}],"container-title":"Genes &amp; Cancer","id":"ITEM-1","issue":"12","issued":{"date-parts":[["2011"]]},"page":"1159-1165","title":"Cilengitide: A Prototypic Integrin Inhibitor for the Treatment of Glioblastoma and Other Malignancies","type":"article-journal","volume":"2"},"uris":["http://www.mendeley.com/documents/?uuid=6aeedd91-d93e-4470-8294-5f55a4c154da"]},{"id":"ITEM-2","itemData":{"DOI":"10.1016/j.bbrc.2007.04.060","ISSN":"0006291X","author":[{"dropping-particle":"","family":"Loges","given":"Sonja","non-dropping-particle":"","parse-names":false,"suffix":""},{"dropping-particle":"","family":"Butzal","given":"Martin","non-dropping-particle":"","parse-names":false,"suffix":""},{"dropping-particle":"","family":"Otten","given":"Jasmin","non-dropping-particle":"","parse-names":false,"suffix":""},{"dropping-particle":"","family":"Schweizer","given":"Michaela","non-dropping-particle":"","parse-names":false,"suffix":""},{"dropping-particle":"","family":"Fischer","given":"Uta","non-dropping-particle":"","parse-names":false,"suffix":""},{"dropping-particle":"","family":"Bokemeyer","given":"Carsten","non-dropping-particle":"","parse-names":false,"suffix":""},{"dropping-particle":"","family":"Hossfeld","given":"Dieter K.","non-dropping-particle":"","parse-names":false,"suffix":""},{"dropping-particle":"","family":"Schuch","given":"Gunter","non-dropping-particle":"","parse-names":false,"suffix":""},{"dropping-particle":"","family":"Fiedler","given":"Walter","non-dropping-particle":"","parse-names":false,"suffix":""}],"container-title":"Biochemical and Biophysical Research Communications","id":"ITEM-2","issue":"4","issued":{"date-parts":[["2007"]]},"page":"1016-1020","title":"Cilengitide inhibits proliferation and differentiation of human endothelial progenitor cells in vitro","type":"article-journal","volume":"357"},"uris":["http://www.mendeley.com/documents/?uuid=e51e10e2-9879-4830-bfee-86d04e7f56ae"]}],"mendeley":{"formattedCitation":"[9,44]","plainTextFormattedCitation":"[9,44]","previouslyFormattedCitation":"[9,43]"},"properties":{"noteIndex":0},"schema":"https://github.com/citation-style-language/schema/raw/master/csl-citation.json"}</w:instrText>
      </w:r>
      <w:r w:rsidRPr="009A405C">
        <w:rPr>
          <w:rFonts w:ascii="Arial" w:hAnsi="Arial" w:cs="Arial"/>
          <w:sz w:val="22"/>
          <w:szCs w:val="22"/>
        </w:rPr>
        <w:fldChar w:fldCharType="separate"/>
      </w:r>
      <w:r w:rsidR="00AA5B1A" w:rsidRPr="00AA5B1A">
        <w:rPr>
          <w:rFonts w:ascii="Arial" w:hAnsi="Arial" w:cs="Arial"/>
          <w:noProof/>
          <w:sz w:val="22"/>
          <w:szCs w:val="22"/>
        </w:rPr>
        <w:t>[9,44]</w:t>
      </w:r>
      <w:r w:rsidRPr="009A405C">
        <w:rPr>
          <w:rFonts w:ascii="Arial" w:hAnsi="Arial" w:cs="Arial"/>
          <w:sz w:val="22"/>
          <w:szCs w:val="22"/>
        </w:rPr>
        <w:fldChar w:fldCharType="end"/>
      </w:r>
      <w:r w:rsidRPr="009A405C">
        <w:rPr>
          <w:rFonts w:ascii="Arial" w:hAnsi="Arial" w:cs="Arial"/>
          <w:sz w:val="22"/>
          <w:szCs w:val="22"/>
        </w:rPr>
        <w:t xml:space="preserve">. Embora apresente valores modestos de atividade antitumoral, este peptídeo está sendo utilizado em conjunto com a radioterapia para inibir a proliferação do tumor </w:t>
      </w:r>
      <w:r w:rsidRPr="009A405C">
        <w:rPr>
          <w:rFonts w:ascii="Arial" w:hAnsi="Arial" w:cs="Arial"/>
          <w:sz w:val="22"/>
          <w:szCs w:val="22"/>
        </w:rPr>
        <w:fldChar w:fldCharType="begin" w:fldLock="1"/>
      </w:r>
      <w:r w:rsidR="00C35F03">
        <w:rPr>
          <w:rFonts w:ascii="Arial" w:hAnsi="Arial" w:cs="Arial"/>
          <w:sz w:val="22"/>
          <w:szCs w:val="22"/>
        </w:rPr>
        <w:instrText>ADDIN CSL_CITATION {"citationItems":[{"id":"ITEM-1","itemData":{"DOI":"10.1016/S1470-2045(14)70379-1","ISSN":"14702045","author":[{"dropping-particle":"","family":"Stupp","given":"Roger","non-dropping-particle":"","parse-names":false,"suffix":""},{"dropping-particle":"","family":"Hegi","given":"Monika E","non-dropping-particle":"","parse-names":false,"suffix":""},{"dropping-particle":"","family":"Gorlia","given":"Thierry","non-dropping-particle":"","parse-names":false,"suffix":""},{"dropping-particle":"","family":"Erridge","given":"Sara C","non-dropping-particle":"","parse-names":false,"suffix":""},{"dropping-particle":"","family":"Perry","given":"James","non-dropping-particle":"","parse-names":false,"suffix":""},{"dropping-particle":"","family":"Hong","given":"Yong-Kil","non-dropping-particle":"","parse-names":false,"suffix":""},{"dropping-particle":"","family":"Aldape","given":"Kenneth D","non-dropping-particle":"","parse-names":false,"suffix":""},{"dropping-particle":"","family":"Lhermitte","given":"Benoit","non-dropping-particle":"","parse-names":false,"suffix":""},{"dropping-particle":"","family":"Pietsch","given":"Torsten","non-dropping-particle":"","parse-names":false,"suffix":""},{"dropping-particle":"","family":"Grujicic","given":"Danica","non-dropping-particle":"","parse-names":false,"suffix":""},{"dropping-particle":"","family":"Steinbach","given":"Joachim Peter","non-dropping-particle":"","parse-names":false,"suffix":""},{"dropping-particle":"","family":"Wick","given":"Wolfgang","non-dropping-particle":"","parse-names":false,"suffix":""},{"dropping-particle":"","family":"Tarnawski","given":"Rafał","non-dropping-particle":"","parse-names":false,"suffix":""},{"dropping-particle":"","family":"Nam","given":"Do-Hyun","non-dropping-particle":"","parse-names":false,"suffix":""},{"dropping-particle":"","family":"Hau","given":"Peter","non-dropping-particle":"","parse-names":false,"suffix":""},{"dropping-particle":"","family":"Weyerbrock","given":"Astrid","non-dropping-particle":"","parse-names":false,"suffix":""},{"dropping-particle":"","family":"Taphoorn","given":"Martin J B","non-dropping-particle":"","parse-names":false,"suffix":""},{"dropping-particle":"","family":"Shen","given":"Chiung-Chyi","non-dropping-particle":"","parse-names":false,"suffix":""},{"dropping-particle":"","family":"Rao","given":"Nalini","non-dropping-particle":"","parse-names":false,"suffix":""},{"dropping-particle":"","family":"Thurzo","given":"László","non-dropping-particle":"","parse-names":false,"suffix":""},{"dropping-particle":"","family":"Herrlinger","given":"Ulrich","non-dropping-particle":"","parse-names":false,"suffix":""},{"dropping-particle":"","family":"Gupta","given":"Tejpal","non-dropping-particle":"","parse-names":false,"suffix":""},{"dropping-particle":"","family":"Kortmann","given":"Rolf-Dieter","non-dropping-particle":"","parse-names":false,"suffix":""},{"dropping-particle":"","family":"Adamska","given":"Krystyna","non-dropping-particle":"","parse-names":false,"suffix":""},{"dropping-particle":"","family":"McBain","given":"Catherine","non-dropping-particle":"","parse-names":false,"suffix":""},{"dropping-particle":"","family":"Brandes","given":"Alba a","non-dropping-particle":"","parse-names":false,"suffix":""},{"dropping-particle":"","family":"Tonn","given":"Joerg Christian","non-dropping-particle":"","parse-names":false,"suffix":""},{"dropping-particle":"","family":"Schnell","given":"Oliver","non-dropping-particle":"","parse-names":false,"suffix":""},{"dropping-particle":"","family":"Wiegel","given":"Thomas","non-dropping-particle":"","parse-names":false,"suffix":""},{"dropping-particle":"","family":"Kim","given":"Chae-Yong","non-dropping-particle":"","parse-names":false,"suffix":""},{"dropping-particle":"","family":"Nabors","given":"Louis Burt","non-dropping-particle":"","parse-names":false,"suffix":""},{"dropping-particle":"","family":"Reardon","given":"David a","non-dropping-particle":"","parse-names":false,"suffix":""},{"dropping-particle":"","family":"Bent","given":"Martin J","non-dropping-particle":"van den","parse-names":false,"suffix":""},{"dropping-particle":"","family":"Hicking","given":"Christine","non-dropping-particle":"","parse-names":false,"suffix":""},{"dropping-particle":"","family":"Markivskyy","given":"Andriy","non-dropping-particle":"","parse-names":false,"suffix":""},{"dropping-particle":"","family":"Picard","given":"Martin","non-dropping-particle":"","parse-names":false,"suffix":""},{"dropping-particle":"","family":"Weller","given":"Michael","non-dropping-particle":"","parse-names":false,"suffix":""}],"container-title":"The Lancet Oncology","id":"ITEM-1","issue":"10","issued":{"date-parts":[["2014"]]},"page":"1100-1108","title":"Cilengitide combined with standard treatment for patients with newly diagnosed glioblastoma with methylated MGMT promoter (CENTRIC EORTC 26071-22072 study): a multicentre, randomised, open-label, phase 3 trial","type":"article-journal","volume":"15"},"uris":["http://www.mendeley.com/documents/?uuid=42487d48-33d3-4707-9c59-b181e3f58073"]}],"mendeley":{"formattedCitation":"[18]","plainTextFormattedCitation":"[18]","previouslyFormattedCitation":"[18]"},"properties":{"noteIndex":0},"schema":"https://github.com/citation-style-language/schema/raw/master/csl-citation.json"}</w:instrText>
      </w:r>
      <w:r w:rsidRPr="009A405C">
        <w:rPr>
          <w:rFonts w:ascii="Arial" w:hAnsi="Arial" w:cs="Arial"/>
          <w:sz w:val="22"/>
          <w:szCs w:val="22"/>
        </w:rPr>
        <w:fldChar w:fldCharType="separate"/>
      </w:r>
      <w:r w:rsidR="00285352" w:rsidRPr="00285352">
        <w:rPr>
          <w:rFonts w:ascii="Arial" w:hAnsi="Arial" w:cs="Arial"/>
          <w:noProof/>
          <w:sz w:val="22"/>
          <w:szCs w:val="22"/>
        </w:rPr>
        <w:t>[18]</w:t>
      </w:r>
      <w:r w:rsidRPr="009A405C">
        <w:rPr>
          <w:rFonts w:ascii="Arial" w:hAnsi="Arial" w:cs="Arial"/>
          <w:sz w:val="22"/>
          <w:szCs w:val="22"/>
        </w:rPr>
        <w:fldChar w:fldCharType="end"/>
      </w:r>
      <w:r w:rsidRPr="009A405C">
        <w:rPr>
          <w:rFonts w:ascii="Arial" w:hAnsi="Arial" w:cs="Arial"/>
          <w:sz w:val="22"/>
          <w:szCs w:val="22"/>
        </w:rPr>
        <w:t>. No entanto, estudo</w:t>
      </w:r>
      <w:r w:rsidR="00D12E89" w:rsidRPr="009A405C">
        <w:rPr>
          <w:rFonts w:ascii="Arial" w:hAnsi="Arial" w:cs="Arial"/>
          <w:sz w:val="22"/>
          <w:szCs w:val="22"/>
        </w:rPr>
        <w:t>s</w:t>
      </w:r>
      <w:r w:rsidR="00101A24">
        <w:rPr>
          <w:rFonts w:ascii="Arial" w:hAnsi="Arial" w:cs="Arial"/>
          <w:sz w:val="22"/>
          <w:szCs w:val="22"/>
        </w:rPr>
        <w:t xml:space="preserve"> </w:t>
      </w:r>
      <w:r w:rsidRPr="009A405C">
        <w:rPr>
          <w:rFonts w:ascii="Arial" w:hAnsi="Arial" w:cs="Arial"/>
          <w:sz w:val="22"/>
          <w:szCs w:val="22"/>
        </w:rPr>
        <w:t>tem suscitado preocupação sobre o uso de cilengitide em glioblastoma, pois em determinadas condições experimentais e em concentrações nM este peptídeo pode promover a angiogênese ao invés de inibi-la</w:t>
      </w:r>
      <w:r w:rsidR="00E6074E" w:rsidRPr="00E6074E">
        <w:rPr>
          <w:rFonts w:ascii="Arial" w:hAnsi="Arial" w:cs="Arial"/>
          <w:sz w:val="22"/>
          <w:szCs w:val="22"/>
        </w:rPr>
        <w:t xml:space="preserve"> </w:t>
      </w:r>
      <w:r w:rsidR="00E6074E" w:rsidRPr="009A405C">
        <w:rPr>
          <w:rFonts w:ascii="Arial" w:hAnsi="Arial" w:cs="Arial"/>
          <w:sz w:val="22"/>
          <w:szCs w:val="22"/>
        </w:rPr>
        <w:fldChar w:fldCharType="begin" w:fldLock="1"/>
      </w:r>
      <w:r w:rsidR="00AA5B1A">
        <w:rPr>
          <w:rFonts w:ascii="Arial" w:hAnsi="Arial" w:cs="Arial"/>
          <w:sz w:val="22"/>
          <w:szCs w:val="22"/>
        </w:rPr>
        <w:instrText>ADDIN CSL_CITATION {"citationItems":[{"id":"ITEM-1","itemData":{"DOI":"10.1038/nm.1941","ISBN":"1078-8956","ISSN":"1078-8956","PMID":"19305413","abstract":"Inhibitors of alpha(v)beta(3) and alpha(v)beta(5) integrin have entered clinical trials as antiangiogenic agents for cancer treatment but generally have been unsuccessful. Here we present in vivo evidence that low (nanomolar) concentrations of RGD-mimetic alpha(v)beta(3) and alpha(v)beta(5) inhibitors can paradoxically stimulate tumor growth and tumor angiogenesis. We show that low concentrations of these inhibitors promote VEGF-mediated angiogenesis by altering alpha(v)beta(3) integrin and vascular endothelial growth factor receptor-2 trafficking, thereby promoting endothelial cell migration to VEGF. The proangiogenic effects of low concentrations of RGD-mimetic integrin inhibitors could compromise their efficacy as anticancer agents and have major implications for the use of RGD-mimetic compounds in humans.","author":[{"dropping-particle":"","family":"Reynolds","given":"Andrew R","non-dropping-particle":"","parse-names":false,"suffix":""},{"dropping-particle":"","family":"Hart","given":"Ian R","non-dropping-particle":"","parse-names":false,"suffix":""},{"dropping-particle":"","family":"Watson","given":"Alan R","non-dropping-particle":"","parse-names":false,"suffix":""},{"dropping-particle":"","family":"Welti","given":"Jonathan C","non-dropping-particle":"","parse-names":false,"suffix":""},{"dropping-particle":"","family":"Silva","given":"Rita G","non-dropping-particle":"","parse-names":false,"suffix":""},{"dropping-particle":"","family":"Robinson","given":"Stephen D","non-dropping-particle":"","parse-names":false,"suffix":""},{"dropping-particle":"","family":"Violante","given":"Georges","non-dropping-particle":"Da","parse-names":false,"suffix":""},{"dropping-particle":"","family":"Gourlaouen","given":"Morgane","non-dropping-particle":"","parse-names":false,"suffix":""},{"dropping-particle":"","family":"Salih","given":"Mishal","non-dropping-particle":"","parse-names":false,"suffix":""},{"dropping-particle":"","family":"Jones","given":"Matt C","non-dropping-particle":"","parse-names":false,"suffix":""},{"dropping-particle":"","family":"Jones","given":"Dylan T","non-dropping-particle":"","parse-names":false,"suffix":""},{"dropping-particle":"","family":"Saunders","given":"Garry","non-dropping-particle":"","parse-names":false,"suffix":""},{"dropping-particle":"","family":"Kostourou","given":"Vassiliki","non-dropping-particle":"","parse-names":false,"suffix":""},{"dropping-particle":"","family":"Perron-Sierra","given":"Françoise","non-dropping-particle":"","parse-names":false,"suffix":""},{"dropping-particle":"","family":"Norman","given":"Jim C","non-dropping-particle":"","parse-names":false,"suffix":""},{"dropping-particle":"","family":"Tucker","given":"Gordon C","non-dropping-particle":"","parse-names":false,"suffix":""},{"dropping-particle":"","family":"Hodivala-Dilke","given":"Kairbaan M","non-dropping-particle":"","parse-names":false,"suffix":""}],"container-title":"Nature medicine","id":"ITEM-1","issue":"4","issued":{"date-parts":[["2009"]]},"page":"392-400","title":"Stimulation of tumor growth and angiogenesis by low concentrations of RGD-mimetic integrin inhibitors.","type":"article-journal","volume":"15"},"uris":["http://www.mendeley.com/documents/?uuid=253ddbb8-9d04-4b02-84dd-6cbbd1b7ba7d"]}],"mendeley":{"formattedCitation":"[45]","plainTextFormattedCitation":"[45]","previouslyFormattedCitation":"[44]"},"properties":{"noteIndex":0},"schema":"https://github.com/citation-style-language/schema/raw/master/csl-citation.json"}</w:instrText>
      </w:r>
      <w:r w:rsidR="00E6074E" w:rsidRPr="009A405C">
        <w:rPr>
          <w:rFonts w:ascii="Arial" w:hAnsi="Arial" w:cs="Arial"/>
          <w:sz w:val="22"/>
          <w:szCs w:val="22"/>
        </w:rPr>
        <w:fldChar w:fldCharType="separate"/>
      </w:r>
      <w:r w:rsidR="00AA5B1A" w:rsidRPr="00AA5B1A">
        <w:rPr>
          <w:rFonts w:ascii="Arial" w:hAnsi="Arial" w:cs="Arial"/>
          <w:noProof/>
          <w:sz w:val="22"/>
          <w:szCs w:val="22"/>
        </w:rPr>
        <w:t>[45]</w:t>
      </w:r>
      <w:r w:rsidR="00E6074E" w:rsidRPr="009A405C">
        <w:rPr>
          <w:rFonts w:ascii="Arial" w:hAnsi="Arial" w:cs="Arial"/>
          <w:sz w:val="22"/>
          <w:szCs w:val="22"/>
        </w:rPr>
        <w:fldChar w:fldCharType="end"/>
      </w:r>
      <w:r w:rsidRPr="009A405C">
        <w:rPr>
          <w:rFonts w:ascii="Arial" w:hAnsi="Arial" w:cs="Arial"/>
          <w:sz w:val="22"/>
          <w:szCs w:val="22"/>
        </w:rPr>
        <w:t>.</w:t>
      </w:r>
    </w:p>
    <w:p w14:paraId="516DDF7D" w14:textId="686607FB" w:rsidR="00D12E89" w:rsidRPr="00485DDA" w:rsidRDefault="00D12E89" w:rsidP="00485DDA">
      <w:pPr>
        <w:autoSpaceDE w:val="0"/>
        <w:autoSpaceDN w:val="0"/>
        <w:adjustRightInd w:val="0"/>
        <w:spacing w:line="360" w:lineRule="auto"/>
        <w:ind w:firstLine="708"/>
        <w:rPr>
          <w:rFonts w:ascii="Arial" w:eastAsia="ArialMT" w:hAnsi="Arial" w:cs="Arial"/>
          <w:color w:val="auto"/>
          <w:sz w:val="22"/>
          <w:szCs w:val="22"/>
        </w:rPr>
      </w:pPr>
      <w:r w:rsidRPr="009A405C">
        <w:rPr>
          <w:rFonts w:ascii="Arial" w:eastAsia="ArialMT" w:hAnsi="Arial" w:cs="Arial"/>
          <w:color w:val="auto"/>
          <w:sz w:val="22"/>
          <w:szCs w:val="22"/>
        </w:rPr>
        <w:t xml:space="preserve">Os experimentos de qPCR utilizando cDNA de B16F10 incubada com A9s demonstraram que o peptídeo cíclico não interferiu na expressão das subunidades de integrinas α4, αV, β3 e β1. Logo, os efeitos desse peptídeo na adesão, migração e proliferação de </w:t>
      </w:r>
      <w:r w:rsidR="005D0392">
        <w:rPr>
          <w:rFonts w:ascii="Arial" w:eastAsia="ArialMT" w:hAnsi="Arial" w:cs="Arial"/>
          <w:color w:val="auto"/>
          <w:sz w:val="22"/>
          <w:szCs w:val="22"/>
        </w:rPr>
        <w:t>B16F10</w:t>
      </w:r>
      <w:r w:rsidRPr="009A405C">
        <w:rPr>
          <w:rFonts w:ascii="Arial" w:eastAsia="ArialMT" w:hAnsi="Arial" w:cs="Arial"/>
          <w:color w:val="auto"/>
          <w:sz w:val="22"/>
          <w:szCs w:val="22"/>
        </w:rPr>
        <w:t xml:space="preserve"> não podem ser explicados pelo consequente efeito do antagonista sobre a expressão dessas subunidades de integrinas. Então, como esperado, sugere-se que </w:t>
      </w:r>
      <w:r w:rsidR="00101A24">
        <w:rPr>
          <w:rFonts w:ascii="Arial" w:eastAsia="ArialMT" w:hAnsi="Arial" w:cs="Arial"/>
          <w:color w:val="auto"/>
          <w:sz w:val="22"/>
          <w:szCs w:val="22"/>
        </w:rPr>
        <w:t xml:space="preserve">a interação do </w:t>
      </w:r>
      <w:r w:rsidRPr="009A405C">
        <w:rPr>
          <w:rFonts w:ascii="Arial" w:eastAsia="ArialMT" w:hAnsi="Arial" w:cs="Arial"/>
          <w:color w:val="auto"/>
          <w:sz w:val="22"/>
          <w:szCs w:val="22"/>
        </w:rPr>
        <w:t>A9s</w:t>
      </w:r>
      <w:r w:rsidR="00101A24">
        <w:rPr>
          <w:rFonts w:ascii="Arial" w:eastAsia="ArialMT" w:hAnsi="Arial" w:cs="Arial"/>
          <w:color w:val="auto"/>
          <w:sz w:val="22"/>
          <w:szCs w:val="22"/>
        </w:rPr>
        <w:t xml:space="preserve"> com as integrinas seja</w:t>
      </w:r>
      <w:r w:rsidRPr="009A405C">
        <w:rPr>
          <w:rFonts w:ascii="Arial" w:eastAsia="ArialMT" w:hAnsi="Arial" w:cs="Arial"/>
          <w:color w:val="auto"/>
          <w:sz w:val="22"/>
          <w:szCs w:val="22"/>
        </w:rPr>
        <w:t xml:space="preserve"> </w:t>
      </w:r>
      <w:r w:rsidR="00101A24">
        <w:rPr>
          <w:rFonts w:ascii="Arial" w:eastAsia="ArialMT" w:hAnsi="Arial" w:cs="Arial"/>
          <w:color w:val="auto"/>
          <w:sz w:val="22"/>
          <w:szCs w:val="22"/>
        </w:rPr>
        <w:t xml:space="preserve">de forma </w:t>
      </w:r>
      <w:r w:rsidRPr="009A405C">
        <w:rPr>
          <w:rFonts w:ascii="Arial" w:eastAsia="ArialMT" w:hAnsi="Arial" w:cs="Arial"/>
          <w:color w:val="auto"/>
          <w:sz w:val="22"/>
          <w:szCs w:val="22"/>
        </w:rPr>
        <w:t>mec</w:t>
      </w:r>
      <w:r w:rsidR="00101A24">
        <w:rPr>
          <w:rFonts w:ascii="Arial" w:eastAsia="ArialMT" w:hAnsi="Arial" w:cs="Arial"/>
          <w:color w:val="auto"/>
          <w:sz w:val="22"/>
          <w:szCs w:val="22"/>
        </w:rPr>
        <w:t>â</w:t>
      </w:r>
      <w:r w:rsidRPr="009A405C">
        <w:rPr>
          <w:rFonts w:ascii="Arial" w:eastAsia="ArialMT" w:hAnsi="Arial" w:cs="Arial"/>
          <w:color w:val="auto"/>
          <w:sz w:val="22"/>
          <w:szCs w:val="22"/>
        </w:rPr>
        <w:t>nic</w:t>
      </w:r>
      <w:r w:rsidR="00101A24">
        <w:rPr>
          <w:rFonts w:ascii="Arial" w:eastAsia="ArialMT" w:hAnsi="Arial" w:cs="Arial"/>
          <w:color w:val="auto"/>
          <w:sz w:val="22"/>
          <w:szCs w:val="22"/>
        </w:rPr>
        <w:t>a</w:t>
      </w:r>
      <w:r w:rsidRPr="009A405C">
        <w:rPr>
          <w:rFonts w:ascii="Arial" w:eastAsia="ArialMT" w:hAnsi="Arial" w:cs="Arial"/>
          <w:color w:val="auto"/>
          <w:sz w:val="22"/>
          <w:szCs w:val="22"/>
        </w:rPr>
        <w:t>.</w:t>
      </w:r>
      <w:r w:rsidR="00485DDA">
        <w:rPr>
          <w:rFonts w:ascii="Arial" w:eastAsia="ArialMT" w:hAnsi="Arial" w:cs="Arial"/>
          <w:color w:val="auto"/>
          <w:sz w:val="22"/>
          <w:szCs w:val="22"/>
        </w:rPr>
        <w:t xml:space="preserve"> </w:t>
      </w:r>
      <w:r w:rsidRPr="009A405C">
        <w:rPr>
          <w:rFonts w:ascii="Arial" w:hAnsi="Arial" w:cs="Arial"/>
          <w:sz w:val="22"/>
          <w:szCs w:val="22"/>
        </w:rPr>
        <w:t xml:space="preserve">Esses resultados demonstram a especificidade do peptídeo em modular a interação da matriz extracelular com as subunidades β1 e β3 de integrinas, presente na maioria dos cânceres capazes de sofrer metástase </w:t>
      </w:r>
      <w:r w:rsidRPr="009A405C">
        <w:rPr>
          <w:rFonts w:ascii="Arial" w:hAnsi="Arial" w:cs="Arial"/>
          <w:sz w:val="22"/>
          <w:szCs w:val="22"/>
        </w:rPr>
        <w:fldChar w:fldCharType="begin" w:fldLock="1"/>
      </w:r>
      <w:r w:rsidR="00AA5B1A">
        <w:rPr>
          <w:rFonts w:ascii="Arial" w:hAnsi="Arial" w:cs="Arial"/>
          <w:sz w:val="22"/>
          <w:szCs w:val="22"/>
        </w:rPr>
        <w:instrText>ADDIN CSL_CITATION {"citationItems":[{"id":"ITEM-1","itemData":{"DOI":"10.1038/nrm1490","ISBN":"1471-0072 (Print)\\r1471-0072 (Linking)","ISSN":"1471-0072","PMID":"15459662","abstract":"During progression from tumour growth to metastasis, specific integrin signals enable cancer cells to detach from neighbouring cells, re-orientate their polarity during migration, and survive and proliferate in foreign microenvironments. There is increasing evidence that certain integrins associate with receptor tyrosine kinases (RTKs) to activate signalling pathways that are necessary for tumour invasion and metastasis. The effect of these integrins might be especially important in cancer cells that have activating mutations, or amplifications, of the genes that encode these RTKs.","author":[{"dropping-particle":"","family":"Guo","given":"Wenjun","non-dropping-particle":"","parse-names":false,"suffix":""},{"dropping-particle":"","family":"Giancotti","given":"Filippo G","non-dropping-particle":"","parse-names":false,"suffix":""}],"container-title":"Nature reviews. Molecular cell biology","id":"ITEM-1","issue":"10","issued":{"date-parts":[["2004"]]},"page":"816-826","title":"Integrin signalling during tumour progression.","type":"article-journal","volume":"5"},"uris":["http://www.mendeley.com/documents/?uuid=2040268e-6922-439c-9cd3-99e18bfbf1ef"]}],"mendeley":{"formattedCitation":"[46]","plainTextFormattedCitation":"[46]","previouslyFormattedCitation":"[45]"},"properties":{"noteIndex":0},"schema":"https://github.com/citation-style-language/schema/raw/master/csl-citation.json"}</w:instrText>
      </w:r>
      <w:r w:rsidRPr="009A405C">
        <w:rPr>
          <w:rFonts w:ascii="Arial" w:hAnsi="Arial" w:cs="Arial"/>
          <w:sz w:val="22"/>
          <w:szCs w:val="22"/>
        </w:rPr>
        <w:fldChar w:fldCharType="separate"/>
      </w:r>
      <w:r w:rsidR="00AA5B1A" w:rsidRPr="00AA5B1A">
        <w:rPr>
          <w:rFonts w:ascii="Arial" w:hAnsi="Arial" w:cs="Arial"/>
          <w:noProof/>
          <w:sz w:val="22"/>
          <w:szCs w:val="22"/>
        </w:rPr>
        <w:t>[46]</w:t>
      </w:r>
      <w:r w:rsidRPr="009A405C">
        <w:rPr>
          <w:rFonts w:ascii="Arial" w:hAnsi="Arial" w:cs="Arial"/>
          <w:sz w:val="22"/>
          <w:szCs w:val="22"/>
        </w:rPr>
        <w:fldChar w:fldCharType="end"/>
      </w:r>
      <w:r w:rsidRPr="009A405C">
        <w:rPr>
          <w:rFonts w:ascii="Arial" w:hAnsi="Arial" w:cs="Arial"/>
          <w:sz w:val="22"/>
          <w:szCs w:val="22"/>
        </w:rPr>
        <w:t>.</w:t>
      </w:r>
    </w:p>
    <w:p w14:paraId="7F238D75" w14:textId="090B1A86" w:rsidR="009A405C" w:rsidRPr="009A405C" w:rsidRDefault="001611F8" w:rsidP="00874CD3">
      <w:pPr>
        <w:autoSpaceDE w:val="0"/>
        <w:autoSpaceDN w:val="0"/>
        <w:adjustRightInd w:val="0"/>
        <w:spacing w:line="360" w:lineRule="auto"/>
        <w:ind w:firstLine="708"/>
        <w:rPr>
          <w:rFonts w:ascii="Arial" w:eastAsia="ArialMT" w:hAnsi="Arial" w:cs="Arial"/>
          <w:color w:val="auto"/>
          <w:sz w:val="22"/>
          <w:szCs w:val="22"/>
        </w:rPr>
      </w:pPr>
      <w:r>
        <w:rPr>
          <w:rFonts w:ascii="Arial" w:eastAsia="ArialMT" w:hAnsi="Arial" w:cs="Arial"/>
          <w:color w:val="auto"/>
          <w:sz w:val="22"/>
          <w:szCs w:val="22"/>
        </w:rPr>
        <w:t>F</w:t>
      </w:r>
      <w:r w:rsidR="00874CD3" w:rsidRPr="009A405C">
        <w:rPr>
          <w:rFonts w:ascii="Arial" w:eastAsia="ArialMT" w:hAnsi="Arial" w:cs="Arial"/>
          <w:color w:val="auto"/>
          <w:sz w:val="22"/>
          <w:szCs w:val="22"/>
        </w:rPr>
        <w:t>oi observado que o peptídeo cíclico A9s aumenta a expressão da subunidade de integrina α5, a qual não é o alvo original para o antagonista proposto. Especula-se que a interação mecânica do peptídeo cíclico A9s com as outras integrinas possa interferir com vias de sinalização, como observado em outros estudos que propõem antagonistas de integrinas</w:t>
      </w:r>
      <w:r w:rsidR="00101A24">
        <w:rPr>
          <w:rFonts w:ascii="Arial" w:eastAsia="ArialMT" w:hAnsi="Arial" w:cs="Arial"/>
          <w:color w:val="auto"/>
          <w:sz w:val="22"/>
          <w:szCs w:val="22"/>
        </w:rPr>
        <w:t xml:space="preserve"> </w:t>
      </w:r>
      <w:r w:rsidR="00101A24">
        <w:rPr>
          <w:rFonts w:ascii="Arial" w:eastAsia="ArialMT" w:hAnsi="Arial" w:cs="Arial"/>
          <w:color w:val="auto"/>
          <w:sz w:val="22"/>
          <w:szCs w:val="22"/>
        </w:rPr>
        <w:fldChar w:fldCharType="begin" w:fldLock="1"/>
      </w:r>
      <w:r w:rsidR="00AA5B1A">
        <w:rPr>
          <w:rFonts w:ascii="Arial" w:eastAsia="ArialMT" w:hAnsi="Arial" w:cs="Arial"/>
          <w:color w:val="auto"/>
          <w:sz w:val="22"/>
          <w:szCs w:val="22"/>
        </w:rPr>
        <w:instrText>ADDIN CSL_CITATION {"citationItems":[{"id":"ITEM-1","itemData":{"author":[{"dropping-particle":"","family":"Christenheit, Agnieszka","given":"Petra Heffeter and Edgar Selzer","non-dropping-particle":"","parse-names":false,"suffix":""}],"container-title":"Global journal of cancer therapy","id":"ITEM-1","issued":{"date-parts":[["2016"]]},"page":"9-18","title":"Global Journal of Cancer Therapy A Novel Small-Molecule Integrin Antagonist Inhibits Cells Adhesion Followed By Anoikis in Endothelial Cells - A Comparative Analysis with Cilengitide","type":"article-journal","volume":"2"},"uris":["http://www.mendeley.com/documents/?uuid=c3bd1a51-eda4-4053-a740-2ace7d8da585"]},{"id":"ITEM-2","itemData":{"DOI":"10.3892/ijo.2012.1708","ISBN":"1791-2423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Oncology","id":"ITEM-2","issue":"1","issued":{"date-parts":[["2013"]]},"page":"83-92","title":"A small-molecule RGD-integrin antagonist inhibits cell adhesion, cell migration and induces anoikis in glioblastoma cells","type":"article-journal","volume":"42"},"uris":["http://www.mendeley.com/documents/?uuid=4d8b18ce-29eb-4fb5-a910-9d7230d3621b"]}],"mendeley":{"formattedCitation":"[42,47]","plainTextFormattedCitation":"[42,47]","previouslyFormattedCitation":"[41,46]"},"properties":{"noteIndex":0},"schema":"https://github.com/citation-style-language/schema/raw/master/csl-citation.json"}</w:instrText>
      </w:r>
      <w:r w:rsidR="00101A24">
        <w:rPr>
          <w:rFonts w:ascii="Arial" w:eastAsia="ArialMT" w:hAnsi="Arial" w:cs="Arial"/>
          <w:color w:val="auto"/>
          <w:sz w:val="22"/>
          <w:szCs w:val="22"/>
        </w:rPr>
        <w:fldChar w:fldCharType="separate"/>
      </w:r>
      <w:r w:rsidR="00AA5B1A" w:rsidRPr="00AA5B1A">
        <w:rPr>
          <w:rFonts w:ascii="Arial" w:eastAsia="ArialMT" w:hAnsi="Arial" w:cs="Arial"/>
          <w:noProof/>
          <w:color w:val="auto"/>
          <w:sz w:val="22"/>
          <w:szCs w:val="22"/>
        </w:rPr>
        <w:t>[42,47]</w:t>
      </w:r>
      <w:r w:rsidR="00101A24">
        <w:rPr>
          <w:rFonts w:ascii="Arial" w:eastAsia="ArialMT" w:hAnsi="Arial" w:cs="Arial"/>
          <w:color w:val="auto"/>
          <w:sz w:val="22"/>
          <w:szCs w:val="22"/>
        </w:rPr>
        <w:fldChar w:fldCharType="end"/>
      </w:r>
      <w:r w:rsidR="00101A24">
        <w:rPr>
          <w:rFonts w:ascii="Arial" w:eastAsia="ArialMT" w:hAnsi="Arial" w:cs="Arial"/>
          <w:color w:val="auto"/>
          <w:sz w:val="22"/>
          <w:szCs w:val="22"/>
        </w:rPr>
        <w:t xml:space="preserve">, </w:t>
      </w:r>
      <w:r w:rsidR="00874CD3" w:rsidRPr="009A405C">
        <w:rPr>
          <w:rFonts w:ascii="Arial" w:eastAsia="ArialMT" w:hAnsi="Arial" w:cs="Arial"/>
          <w:color w:val="auto"/>
          <w:sz w:val="22"/>
          <w:szCs w:val="22"/>
        </w:rPr>
        <w:t>modificando a expressão de algumas proteínas. Contudo, não é possível determinar neste momento se este é realmente o caso ou qual via de sinalização o peptídeo cíclico A9s pode ter afetado.</w:t>
      </w:r>
    </w:p>
    <w:p w14:paraId="5D443C38" w14:textId="1349818D" w:rsidR="00452EAB" w:rsidRDefault="000D2DB0" w:rsidP="009A405C">
      <w:pPr>
        <w:spacing w:line="360" w:lineRule="auto"/>
        <w:rPr>
          <w:rFonts w:ascii="Arial" w:hAnsi="Arial" w:cs="Arial"/>
          <w:sz w:val="22"/>
          <w:szCs w:val="22"/>
        </w:rPr>
      </w:pPr>
      <w:r>
        <w:rPr>
          <w:rFonts w:ascii="Arial" w:hAnsi="Arial" w:cs="Arial"/>
          <w:sz w:val="22"/>
          <w:szCs w:val="22"/>
        </w:rPr>
        <w:t>Concluímos por fim que e</w:t>
      </w:r>
      <w:r w:rsidR="009A405C" w:rsidRPr="009A405C">
        <w:rPr>
          <w:rFonts w:ascii="Arial" w:hAnsi="Arial" w:cs="Arial"/>
          <w:sz w:val="22"/>
          <w:szCs w:val="22"/>
        </w:rPr>
        <w:t>ste estudo mostra um novo peptídeo cíclico com apenas 15</w:t>
      </w:r>
      <w:r w:rsidR="007D2965">
        <w:rPr>
          <w:rFonts w:ascii="Arial" w:hAnsi="Arial" w:cs="Arial"/>
          <w:sz w:val="22"/>
          <w:szCs w:val="22"/>
        </w:rPr>
        <w:t xml:space="preserve"> </w:t>
      </w:r>
      <w:r w:rsidR="009A405C" w:rsidRPr="009A405C">
        <w:rPr>
          <w:rFonts w:ascii="Arial" w:hAnsi="Arial" w:cs="Arial"/>
          <w:sz w:val="22"/>
          <w:szCs w:val="22"/>
        </w:rPr>
        <w:t>a</w:t>
      </w:r>
      <w:r w:rsidR="009C3522">
        <w:rPr>
          <w:rFonts w:ascii="Arial" w:hAnsi="Arial" w:cs="Arial"/>
          <w:sz w:val="22"/>
          <w:szCs w:val="22"/>
        </w:rPr>
        <w:t>minoácidos</w:t>
      </w:r>
      <w:r w:rsidR="009A405C" w:rsidRPr="009A405C">
        <w:rPr>
          <w:rFonts w:ascii="Arial" w:hAnsi="Arial" w:cs="Arial"/>
          <w:sz w:val="22"/>
          <w:szCs w:val="22"/>
        </w:rPr>
        <w:t xml:space="preserve"> capaz de inibir a adesão, crescimento, proliferação e migração de células da linhagem B16F10 sem afetar a viabilidade celular. Ao interagir com as integrinas α4β1 e αvβ3 sem alterar sua expressão, o peptídeo </w:t>
      </w:r>
      <w:r w:rsidR="00FF233E">
        <w:rPr>
          <w:rFonts w:ascii="Arial" w:hAnsi="Arial" w:cs="Arial"/>
          <w:sz w:val="22"/>
          <w:szCs w:val="22"/>
        </w:rPr>
        <w:t xml:space="preserve">cíclico </w:t>
      </w:r>
      <w:r w:rsidR="009A405C" w:rsidRPr="009A405C">
        <w:rPr>
          <w:rFonts w:ascii="Arial" w:hAnsi="Arial" w:cs="Arial"/>
          <w:sz w:val="22"/>
          <w:szCs w:val="22"/>
        </w:rPr>
        <w:t>A9s se mostra um</w:t>
      </w:r>
      <w:r w:rsidR="00465264">
        <w:rPr>
          <w:rFonts w:ascii="Arial" w:hAnsi="Arial" w:cs="Arial"/>
          <w:sz w:val="22"/>
          <w:szCs w:val="22"/>
        </w:rPr>
        <w:t xml:space="preserve"> potencial</w:t>
      </w:r>
      <w:r w:rsidR="009A405C" w:rsidRPr="009A405C">
        <w:rPr>
          <w:rFonts w:ascii="Arial" w:hAnsi="Arial" w:cs="Arial"/>
          <w:sz w:val="22"/>
          <w:szCs w:val="22"/>
        </w:rPr>
        <w:t xml:space="preserve"> </w:t>
      </w:r>
      <w:r w:rsidR="00465264">
        <w:rPr>
          <w:rFonts w:ascii="Arial" w:hAnsi="Arial" w:cs="Arial"/>
          <w:sz w:val="22"/>
          <w:szCs w:val="22"/>
        </w:rPr>
        <w:t xml:space="preserve"> </w:t>
      </w:r>
      <w:r w:rsidR="009A405C" w:rsidRPr="009A405C">
        <w:rPr>
          <w:rFonts w:ascii="Arial" w:hAnsi="Arial" w:cs="Arial"/>
          <w:sz w:val="22"/>
          <w:szCs w:val="22"/>
        </w:rPr>
        <w:t>agente terapêutico. Sendo capaz de inibir processos relacionados com a cascata metastática em concentrações extremamente baixas, o A9s pode se tornar um modelo para o desenvolvimento de outros peptídeos cíclicos para outras integrinas.</w:t>
      </w:r>
    </w:p>
    <w:p w14:paraId="43A2FAC1" w14:textId="77777777" w:rsidR="00452EAB" w:rsidRDefault="00452EAB">
      <w:pPr>
        <w:spacing w:after="160" w:line="259" w:lineRule="auto"/>
        <w:ind w:firstLine="0"/>
        <w:jc w:val="left"/>
        <w:rPr>
          <w:rFonts w:ascii="Arial" w:hAnsi="Arial" w:cs="Arial"/>
          <w:sz w:val="22"/>
          <w:szCs w:val="22"/>
        </w:rPr>
      </w:pPr>
      <w:r>
        <w:rPr>
          <w:rFonts w:ascii="Arial" w:hAnsi="Arial" w:cs="Arial"/>
          <w:sz w:val="22"/>
          <w:szCs w:val="22"/>
        </w:rPr>
        <w:br w:type="page"/>
      </w:r>
    </w:p>
    <w:p w14:paraId="0728FC72" w14:textId="364FD2BB" w:rsidR="009A405C" w:rsidRPr="00452EAB" w:rsidRDefault="009C3522" w:rsidP="009A405C">
      <w:pPr>
        <w:spacing w:line="360" w:lineRule="auto"/>
        <w:rPr>
          <w:rFonts w:ascii="Arial" w:hAnsi="Arial" w:cs="Arial"/>
          <w:b/>
          <w:sz w:val="22"/>
          <w:szCs w:val="22"/>
        </w:rPr>
      </w:pPr>
      <w:r w:rsidRPr="00452EAB">
        <w:rPr>
          <w:rFonts w:ascii="Arial" w:hAnsi="Arial" w:cs="Arial"/>
          <w:b/>
          <w:sz w:val="22"/>
          <w:szCs w:val="22"/>
        </w:rPr>
        <w:lastRenderedPageBreak/>
        <w:t>REFERENCIAS</w:t>
      </w:r>
      <w:r>
        <w:rPr>
          <w:rFonts w:ascii="Arial" w:hAnsi="Arial" w:cs="Arial"/>
          <w:b/>
          <w:sz w:val="22"/>
          <w:szCs w:val="22"/>
        </w:rPr>
        <w:t xml:space="preserve"> BIBLIOGRAFICAS </w:t>
      </w:r>
    </w:p>
    <w:p w14:paraId="5F811FDE" w14:textId="77777777" w:rsidR="00452EAB" w:rsidRDefault="00452EAB" w:rsidP="009A405C">
      <w:pPr>
        <w:spacing w:line="360" w:lineRule="auto"/>
        <w:rPr>
          <w:rFonts w:ascii="Arial" w:hAnsi="Arial" w:cs="Arial"/>
          <w:sz w:val="22"/>
          <w:szCs w:val="22"/>
        </w:rPr>
      </w:pPr>
    </w:p>
    <w:p w14:paraId="011D4A8E" w14:textId="52523C57" w:rsidR="00AA5B1A" w:rsidRPr="00AA5B1A" w:rsidRDefault="00452EAB" w:rsidP="00AA5B1A">
      <w:pPr>
        <w:widowControl w:val="0"/>
        <w:autoSpaceDE w:val="0"/>
        <w:autoSpaceDN w:val="0"/>
        <w:adjustRightInd w:val="0"/>
        <w:spacing w:line="360" w:lineRule="auto"/>
        <w:ind w:left="640" w:hanging="640"/>
        <w:rPr>
          <w:rFonts w:ascii="Arial" w:hAnsi="Arial" w:cs="Arial"/>
          <w:noProof/>
          <w:sz w:val="22"/>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00AA5B1A" w:rsidRPr="00AA5B1A">
        <w:rPr>
          <w:rFonts w:ascii="Arial" w:hAnsi="Arial" w:cs="Arial"/>
          <w:noProof/>
          <w:sz w:val="22"/>
        </w:rPr>
        <w:t>[1]</w:t>
      </w:r>
      <w:r w:rsidR="00AA5B1A" w:rsidRPr="00AA5B1A">
        <w:rPr>
          <w:rFonts w:ascii="Arial" w:hAnsi="Arial" w:cs="Arial"/>
          <w:noProof/>
          <w:sz w:val="22"/>
        </w:rPr>
        <w:tab/>
        <w:t>F. Qian, Z.-C. Zhang, X.-F. Wu, Y.-P. Li, Q. Xu, Interaction between integrin α5 and fibronectin is required for metastasis of B16F10 melanoma cells, Biochem. Biophys. Res. Commun. 333 (2005) 1269–1275. doi:10.1016/j.bbrc.2005.06.039.</w:t>
      </w:r>
    </w:p>
    <w:p w14:paraId="5BC1DAF6"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w:t>
      </w:r>
      <w:r w:rsidRPr="00AA5B1A">
        <w:rPr>
          <w:rFonts w:ascii="Arial" w:hAnsi="Arial" w:cs="Arial"/>
          <w:noProof/>
          <w:sz w:val="22"/>
        </w:rPr>
        <w:tab/>
        <w:t>G. Karp, Cell and Molecular Biology: Concepts and Experiments, 7</w:t>
      </w:r>
      <w:r w:rsidRPr="00AA5B1A">
        <w:rPr>
          <w:rFonts w:ascii="Arial" w:hAnsi="Arial" w:cs="Arial"/>
          <w:noProof/>
          <w:sz w:val="22"/>
          <w:vertAlign w:val="superscript"/>
        </w:rPr>
        <w:t>a</w:t>
      </w:r>
      <w:r w:rsidRPr="00AA5B1A">
        <w:rPr>
          <w:rFonts w:ascii="Arial" w:hAnsi="Arial" w:cs="Arial"/>
          <w:noProof/>
          <w:sz w:val="22"/>
        </w:rPr>
        <w:t>, Wiley, 2013.</w:t>
      </w:r>
    </w:p>
    <w:p w14:paraId="36FA041C"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w:t>
      </w:r>
      <w:r w:rsidRPr="00AA5B1A">
        <w:rPr>
          <w:rFonts w:ascii="Arial" w:hAnsi="Arial" w:cs="Arial"/>
          <w:noProof/>
          <w:sz w:val="22"/>
        </w:rPr>
        <w:tab/>
        <w:t>A. Huttenlocher, A.R. Horwitz, Integrins in Cell Migration, Cold Spring Harb. Perspect. Biol. 3 (2011) 50–74. doi:10.1101/cshperspect.a005074.</w:t>
      </w:r>
    </w:p>
    <w:p w14:paraId="307C64F7"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w:t>
      </w:r>
      <w:r w:rsidRPr="00AA5B1A">
        <w:rPr>
          <w:rFonts w:ascii="Arial" w:hAnsi="Arial" w:cs="Arial"/>
          <w:noProof/>
          <w:sz w:val="22"/>
        </w:rPr>
        <w:tab/>
        <w:t>L. Seguin, J.S. Desgrosellier, S.M. Weis, D.A. Cheresh, Integrins and cancer: Regulators of cancer stemness, metastasis, and drug resistance, Trends Cell Biol. 25 (2015) 234–240. doi:10.1016/j.tcb.2014.12.006.</w:t>
      </w:r>
    </w:p>
    <w:p w14:paraId="2F3A1373"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[5]</w:t>
      </w:r>
      <w:r w:rsidRPr="00AA5B1A">
        <w:rPr>
          <w:rFonts w:ascii="Arial" w:hAnsi="Arial" w:cs="Arial"/>
          <w:noProof/>
          <w:sz w:val="22"/>
        </w:rPr>
        <w:tab/>
        <w:t>J.S. Desgrosellier, D. a Cheresh, Integrins in cancer: biological implications and therapeutic opportunities, Nat Rev Cancer. 10 (2010) 9–22. doi:10.1038/nrc2748\rnrc2748 [pii].</w:t>
      </w:r>
    </w:p>
    <w:p w14:paraId="6208F3B3"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[6]</w:t>
      </w:r>
      <w:r w:rsidRPr="00AA5B1A">
        <w:rPr>
          <w:rFonts w:ascii="Arial" w:hAnsi="Arial" w:cs="Arial"/>
          <w:noProof/>
          <w:sz w:val="22"/>
        </w:rPr>
        <w:tab/>
        <w:t>T. Horta, A.P. Butera, D. Henriques, S. Leal, R.J. Alves, T.H.Á. Da Silva, A.P. Butera, D.H.S. Leal, R.J. Alves, Agentes antitumorais inibidores da angiogênese: modelos farmacofóricos para inibidores da integrina &lt;FONT FACE=Symbol&gt;anb&lt;/FONT&gt;3, Rev. Bras. Ciências Farm. 43 (2007) 1–17. doi:10.1590/S1516-93322007000100002.</w:t>
      </w:r>
    </w:p>
    <w:p w14:paraId="0C79FA77"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[7]</w:t>
      </w:r>
      <w:r w:rsidRPr="00AA5B1A">
        <w:rPr>
          <w:rFonts w:ascii="Arial" w:hAnsi="Arial" w:cs="Arial"/>
          <w:noProof/>
          <w:sz w:val="22"/>
        </w:rPr>
        <w:tab/>
        <w:t>J.D. Hood, D.A. Cheresh, Role of Integrins in Cell Invasion and Migration, Nat. Rev. Cancer. 2 (2002) 91–100. doi:10.1038/nrc727.</w:t>
      </w:r>
    </w:p>
    <w:p w14:paraId="3E8A51F1"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[8]</w:t>
      </w:r>
      <w:r w:rsidRPr="00AA5B1A">
        <w:rPr>
          <w:rFonts w:ascii="Arial" w:hAnsi="Arial" w:cs="Arial"/>
          <w:noProof/>
          <w:sz w:val="22"/>
        </w:rPr>
        <w:tab/>
        <w:t>K.D. Miller, R.L. Siegel, C.C. Lin, A.B. Mariotto, J.L. Kramer, J.H. Rowland, K.D. Stein, R. Alteri, A. Jemal, Cancer treatment and survivorship statistics, 2016., CA. Cancer J. Clin. 66 (2016) 271–89. doi:10.3322/caac.21349.</w:t>
      </w:r>
    </w:p>
    <w:p w14:paraId="5B76528E"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[9]</w:t>
      </w:r>
      <w:r w:rsidRPr="00AA5B1A">
        <w:rPr>
          <w:rFonts w:ascii="Arial" w:hAnsi="Arial" w:cs="Arial"/>
          <w:noProof/>
          <w:sz w:val="22"/>
        </w:rPr>
        <w:tab/>
        <w:t>S. Loges, M. Butzal, J. Otten, M. Schweizer, U. Fischer, C. Bokemeyer, D.K. Hossfeld, G. Schuch, W. Fiedler, Cilengitide inhibits proliferation and differentiation of human endothelial progenitor cells in vitro, Biochem. Biophys. Res. Commun. 357 (2007) 1016–1020. doi:10.1016/j.bbrc.2007.04.060.</w:t>
      </w:r>
    </w:p>
    <w:p w14:paraId="654A00C7"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[10]</w:t>
      </w:r>
      <w:r w:rsidRPr="00AA5B1A">
        <w:rPr>
          <w:rFonts w:ascii="Arial" w:hAnsi="Arial" w:cs="Arial"/>
          <w:noProof/>
          <w:sz w:val="22"/>
        </w:rPr>
        <w:tab/>
        <w:t>O. Stoeltzing, W. Liu, N. Reinmuth, F. Fan, G.C. Parry, A. a. Parikh, M.F. McCarty, C.D. Bucana, A.P. Mazar, L.M. Ellis, Inhibition of integrin α5β1 function with a small peptide (ATN-161) plus continuous 5-fu infusion reduces colorectal liver metastases and improves survival in mice, Int. J. Cancer. 104 (2003) 496–503. doi:10.1002/ijc.10958.</w:t>
      </w:r>
    </w:p>
    <w:p w14:paraId="630CC169"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[11]</w:t>
      </w:r>
      <w:r w:rsidRPr="00AA5B1A">
        <w:rPr>
          <w:rFonts w:ascii="Arial" w:hAnsi="Arial" w:cs="Arial"/>
          <w:noProof/>
          <w:sz w:val="22"/>
        </w:rPr>
        <w:tab/>
        <w:t>W. Dai, T. Yang, Y. Wang, X. Wang, J. Wang, X. Zhang, Q. Zhang, Peptide PHSCNK as an integrin α5β1 antagonist targets stealth liposomes to integrin-overexpressing melanoma., Nanomedicine. 8 (2012) 1152–61. doi:10.1016/j.nano.2012.01.003.</w:t>
      </w:r>
    </w:p>
    <w:p w14:paraId="7B64C14B"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lastRenderedPageBreak/>
        <w:t>[12]</w:t>
      </w:r>
      <w:r w:rsidRPr="00AA5B1A">
        <w:rPr>
          <w:rFonts w:ascii="Arial" w:hAnsi="Arial" w:cs="Arial"/>
          <w:noProof/>
          <w:sz w:val="22"/>
        </w:rPr>
        <w:tab/>
        <w:t>J. Thundimadathil, Cancer Treatment Using Peptides: Current Therapies and Future Prospects, J. Amino Acids. 2012 (2012) 1–13. doi:10.1155/2012/967347.</w:t>
      </w:r>
    </w:p>
    <w:p w14:paraId="63584684"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[13]</w:t>
      </w:r>
      <w:r w:rsidRPr="00AA5B1A">
        <w:rPr>
          <w:rFonts w:ascii="Arial" w:hAnsi="Arial" w:cs="Arial"/>
          <w:noProof/>
          <w:sz w:val="22"/>
        </w:rPr>
        <w:tab/>
        <w:t>C. Borghouts, C. Kunz, B. Groner, Current strategies for the development of peptide-based anti-cancer therapeutics, J. Pept. Sci. 11 (2005) 713–726. doi:10.1002/psc.717.</w:t>
      </w:r>
    </w:p>
    <w:p w14:paraId="4C9621ED"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[14]</w:t>
      </w:r>
      <w:r w:rsidRPr="00AA5B1A">
        <w:rPr>
          <w:rFonts w:ascii="Arial" w:hAnsi="Arial" w:cs="Arial"/>
          <w:noProof/>
          <w:sz w:val="22"/>
        </w:rPr>
        <w:tab/>
        <w:t>Ann M. Thayer, Improving Peptides: Small firms develop better peptide drug candidates to expand this pharmaceutical class and attract big pharma partners, Chem. Eng. News. 89 (2011) 13–20.</w:t>
      </w:r>
    </w:p>
    <w:p w14:paraId="36A0511F"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[15]</w:t>
      </w:r>
      <w:r w:rsidRPr="00AA5B1A">
        <w:rPr>
          <w:rFonts w:ascii="Arial" w:hAnsi="Arial" w:cs="Arial"/>
          <w:noProof/>
          <w:sz w:val="22"/>
        </w:rPr>
        <w:tab/>
        <w:t>T.A. Knappe, F. Manzenrieder, C. Mas-Moruno, U. Linne, F. Sasse, H. Kessler, X. Xie, M.A. Marahiel, Introducing lasso peptides as molecular scaffolds for drug design: Engineering of an integrin antagonist, Angew. Chemie - Int. Ed. 50 (2011) 8714–8717. doi:10.1002/anie.201102190.</w:t>
      </w:r>
    </w:p>
    <w:p w14:paraId="3F54EBCD"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[16]</w:t>
      </w:r>
      <w:r w:rsidRPr="00AA5B1A">
        <w:rPr>
          <w:rFonts w:ascii="Arial" w:hAnsi="Arial" w:cs="Arial"/>
          <w:noProof/>
          <w:sz w:val="22"/>
        </w:rPr>
        <w:tab/>
        <w:t>W. Arap, Cancer Treatment by Targeted Drug Delivery to Tumor Vasculature in a Mouse Model Selection of phage-displayed accessible recombinant targeted antibodies (SPARTA) methodology and applications View project, 279 (1998) 377–380. doi:10.1126/science.279.5349.377.</w:t>
      </w:r>
    </w:p>
    <w:p w14:paraId="37E6F3A3"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[17]</w:t>
      </w:r>
      <w:r w:rsidRPr="00AA5B1A">
        <w:rPr>
          <w:rFonts w:ascii="Arial" w:hAnsi="Arial" w:cs="Arial"/>
          <w:noProof/>
          <w:sz w:val="22"/>
        </w:rPr>
        <w:tab/>
        <w:t>G.G. Kenter, M.J.P. Welters, A.R.P.M. Valentijn, M.J.G. Löwik, D.M.A. Berends-van Der Meer, A.P.G. Vloon, J.W. Drijfhout, A.R. Wafelman, J. Oostendorp, G.J. Fleuren, R. Offringa, S.H. Van Der Burg, C.J.M. Melief, Phase I immunotherapeutic trial with long peptides spanning the E6 and E7 sequences of high-risk human papillomavirus 16 in end-stage cervical cancer patients shows low toxicity and robust immunogenicity, Clin. Cancer Res. 14 (2008) 169–177. doi:10.1158/1078-0432.CCR-07-1881.</w:t>
      </w:r>
    </w:p>
    <w:p w14:paraId="321D77BA"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[18]</w:t>
      </w:r>
      <w:r w:rsidRPr="00AA5B1A">
        <w:rPr>
          <w:rFonts w:ascii="Arial" w:hAnsi="Arial" w:cs="Arial"/>
          <w:noProof/>
          <w:sz w:val="22"/>
        </w:rPr>
        <w:tab/>
        <w:t>R. Stupp, M.E. Hegi, T. Gorlia, S.C. Erridge, J. Perry, Y.-K. Hong, K.D. Aldape, B. Lhermitte, T. Pietsch, D. Grujicic, J.P. Steinbach, W. Wick, R. Tarnawski, D.-H. Nam, P. Hau, A. Weyerbrock, M.J.B. Taphoorn, C.-C. Shen, N. Rao, L. Thurzo, U. Herrlinger, T. Gupta, R.-D. Kortmann, K. Adamska, C. McBain, A. a Brandes, J.C. Tonn, O. Schnell, T. Wiegel, C.-Y. Kim, L.B. Nabors, D. a Reardon, M.J. van den Bent, C. Hicking, A. Markivskyy, M. Picard, M. Weller, Cilengitide combined with standard treatment for patients with newly diagnosed glioblastoma with methylated MGMT promoter (CENTRIC EORTC 26071-22072 study): a multicentre, randomised, open-label, phase 3 trial, Lancet Oncol. 15 (2014) 1100–1108. doi:10.1016/S1470-2045(14)70379-1.</w:t>
      </w:r>
    </w:p>
    <w:p w14:paraId="2F86E74C"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[19]</w:t>
      </w:r>
      <w:r w:rsidRPr="00AA5B1A">
        <w:rPr>
          <w:rFonts w:ascii="Arial" w:hAnsi="Arial" w:cs="Arial"/>
          <w:noProof/>
          <w:sz w:val="22"/>
        </w:rPr>
        <w:tab/>
        <w:t xml:space="preserve">S. Hariharan, D. Gustafson, S. Holden, D. McConkey, D. Davis, M. Morrow, M. Basche, L. Gore, C. Zang, C.L. O’Bryant,  a Baron, D. Gallemann, D. Colevas, S.G. Eckhardt, Assessment of the biological and pharmacological effects of the alpha nu beta3 and alpha nu beta5 integrin receptor antagonist, cilengitide (EMD </w:t>
      </w:r>
      <w:r w:rsidRPr="00AA5B1A">
        <w:rPr>
          <w:rFonts w:ascii="Arial" w:hAnsi="Arial" w:cs="Arial"/>
          <w:noProof/>
          <w:sz w:val="22"/>
        </w:rPr>
        <w:lastRenderedPageBreak/>
        <w:t>121974), in patients with advanced solid tumors., Ann. Oncol. 18 (2007) 1400–1407. doi:10.1093/annonc/mdm140.</w:t>
      </w:r>
    </w:p>
    <w:p w14:paraId="65642872"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[20]</w:t>
      </w:r>
      <w:r w:rsidRPr="00AA5B1A">
        <w:rPr>
          <w:rFonts w:ascii="Arial" w:hAnsi="Arial" w:cs="Arial"/>
          <w:noProof/>
          <w:sz w:val="22"/>
        </w:rPr>
        <w:tab/>
        <w:t>M. Pfaff, K. Tangemann, B. Müller, M. Gurrath, G. Müller, H. Kessler, R. Timpl, J. Engel, Selective recognition of cyclic RGD peptides of NMR defined conformation by alpha IIb beta 3, alpha V beta 3, and alpha 5 beta 1 integrins., J. Biol. Chem. 269 (1994) 20233–20238.</w:t>
      </w:r>
    </w:p>
    <w:p w14:paraId="4E709573"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[21]</w:t>
      </w:r>
      <w:r w:rsidRPr="00AA5B1A">
        <w:rPr>
          <w:rFonts w:ascii="Arial" w:hAnsi="Arial" w:cs="Arial"/>
          <w:noProof/>
          <w:sz w:val="22"/>
        </w:rPr>
        <w:tab/>
        <w:t>R. Thangam, P. Gunasekaran, K. Kaveri, G. Sridevi, S. Sundarraj, M. Paulpandi, S. Kannan, A novel disintegrin protein from Naja naja venom induces cytotoxicity and apoptosis in human cancer cell lines in vitro, Process Biochem. 47 (2012) 1243–1249. doi:10.1016/j.procbio.2012.04.020.</w:t>
      </w:r>
    </w:p>
    <w:p w14:paraId="5022362B"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[22]</w:t>
      </w:r>
      <w:r w:rsidRPr="00AA5B1A">
        <w:rPr>
          <w:rFonts w:ascii="Arial" w:hAnsi="Arial" w:cs="Arial"/>
          <w:noProof/>
          <w:sz w:val="22"/>
        </w:rPr>
        <w:tab/>
        <w:t>A.L. Stone, M. Kroeger, Q.X.A. Sang, Structure-function analysis of the ADAM family of disintegrin-like and metalloproteinase-containing proteins (review), J. Protein Chem. 18 (1999) 447–465. doi:10.1023/A:1020692710029.</w:t>
      </w:r>
    </w:p>
    <w:p w14:paraId="4B84DDD9"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[23]</w:t>
      </w:r>
      <w:r w:rsidRPr="00AA5B1A">
        <w:rPr>
          <w:rFonts w:ascii="Arial" w:hAnsi="Arial" w:cs="Arial"/>
          <w:noProof/>
          <w:sz w:val="22"/>
        </w:rPr>
        <w:tab/>
        <w:t>D. Nath, P.M. Slocombe, A. Webster, P.E. Stephens, A.J. Docherty, G. Murphy, Meltrin gamma(ADAM-9) mediates cellular adhesion through alpha(6)beta(1 )integrin, leading to a marked induction of fibroblast cell motility., J. Cell Sci. 113 ( Pt 1 (2000) 2319–28. http://www.ncbi.nlm.nih.gov/pubmed/10825303.</w:t>
      </w:r>
    </w:p>
    <w:p w14:paraId="433F9996"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[24]</w:t>
      </w:r>
      <w:r w:rsidRPr="00AA5B1A">
        <w:rPr>
          <w:rFonts w:ascii="Arial" w:hAnsi="Arial" w:cs="Arial"/>
          <w:noProof/>
          <w:sz w:val="22"/>
        </w:rPr>
        <w:tab/>
        <w:t>D.F. Seals, S.A. Courtneidge, The ADAMs family of metalloproteases : multidomain proteins with multiple functions, Genes Dev. 17 (2003) 7–30. doi:10.1101/gad.1039703.GENES.</w:t>
      </w:r>
    </w:p>
    <w:p w14:paraId="79F3DB77"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[25]</w:t>
      </w:r>
      <w:r w:rsidRPr="00AA5B1A">
        <w:rPr>
          <w:rFonts w:ascii="Arial" w:hAnsi="Arial" w:cs="Arial"/>
          <w:noProof/>
          <w:sz w:val="22"/>
        </w:rPr>
        <w:tab/>
        <w:t>J.H. Fernandez, C. a. Silva, M.T. Assakura, A.C.M. Camargo, S.M.T. Serrano, Molecular cloning, functional expression, and molecular modeling of bothrostatin, a new highly active disintegrin from Bothrops jararaca venom, Biochem. Biophys. Res. Commun. 329 (2005) 457–464. doi:10.1016/j.bbrc.2005.01.148.</w:t>
      </w:r>
    </w:p>
    <w:p w14:paraId="1B376B7B"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[26]</w:t>
      </w:r>
      <w:r w:rsidRPr="00AA5B1A">
        <w:rPr>
          <w:rFonts w:ascii="Arial" w:hAnsi="Arial" w:cs="Arial"/>
          <w:noProof/>
          <w:sz w:val="22"/>
        </w:rPr>
        <w:tab/>
        <w:t>W.S. Argraves, K. Dickerson, W.H. Burgess, E. Ruoslahti, Fibulin, a novel protein that interacts with the fibronectin receptor β subunit cytoplasmic domain, Cell. 58 (1989) 623–629. doi:10.1016/0092-8674(89)90097-4.</w:t>
      </w:r>
    </w:p>
    <w:p w14:paraId="3822FBEA"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[27]</w:t>
      </w:r>
      <w:r w:rsidRPr="00AA5B1A">
        <w:rPr>
          <w:rFonts w:ascii="Arial" w:hAnsi="Arial" w:cs="Arial"/>
          <w:noProof/>
          <w:sz w:val="22"/>
        </w:rPr>
        <w:tab/>
        <w:t>L.P. Burke, C.A. Kukoly, Statins induce lethal effects in acute myeloblastic lymphoma cells within 72 hours, Leuk. Lymphoma. 49 (2008) 322–330. doi:10.1080/10428190701760011.</w:t>
      </w:r>
    </w:p>
    <w:p w14:paraId="31271C9F"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[28]</w:t>
      </w:r>
      <w:r w:rsidRPr="00AA5B1A">
        <w:rPr>
          <w:rFonts w:ascii="Arial" w:hAnsi="Arial" w:cs="Arial"/>
          <w:noProof/>
          <w:sz w:val="22"/>
        </w:rPr>
        <w:tab/>
        <w:t>T. Mosmann, Rapid colorimetric assay for cellular growth and survival: application to proliferation and cytotoxicity assays., J. Immunol. Methods. 65 (1983) 55–63. doi:10.1016/0022-1759(83)90303-4.</w:t>
      </w:r>
    </w:p>
    <w:p w14:paraId="4481C6B8"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[29]</w:t>
      </w:r>
      <w:r w:rsidRPr="00AA5B1A">
        <w:rPr>
          <w:rFonts w:ascii="Arial" w:hAnsi="Arial" w:cs="Arial"/>
          <w:noProof/>
          <w:sz w:val="22"/>
        </w:rPr>
        <w:tab/>
        <w:t>Y. Chen, Scratch Wound Healing Assay, Bio-Protocol. 2 (2012) e100. doi:10.21769/BioProtoc.100.</w:t>
      </w:r>
    </w:p>
    <w:p w14:paraId="41B15B35"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[30]</w:t>
      </w:r>
      <w:r w:rsidRPr="00AA5B1A">
        <w:rPr>
          <w:rFonts w:ascii="Arial" w:hAnsi="Arial" w:cs="Arial"/>
          <w:noProof/>
          <w:sz w:val="22"/>
        </w:rPr>
        <w:tab/>
        <w:t>Y. Chen, Scratch Wound Healing Assay, J. Chem. Inf. Model. 53 (2013) 1689–1699. doi:10.1017/CBO9781107415324.004.</w:t>
      </w:r>
    </w:p>
    <w:p w14:paraId="4C04DC57"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lastRenderedPageBreak/>
        <w:t>[31]</w:t>
      </w:r>
      <w:r w:rsidRPr="00AA5B1A">
        <w:rPr>
          <w:rFonts w:ascii="Arial" w:hAnsi="Arial" w:cs="Arial"/>
          <w:noProof/>
          <w:sz w:val="22"/>
        </w:rPr>
        <w:tab/>
        <w:t>Alfred Goodman Gilman, T.W. Rall, A.S. Nies, P. Taylor, Goodman and Gilman’s The Pharmacological Basis of Therapeutics, 8</w:t>
      </w:r>
      <w:r w:rsidRPr="00AA5B1A">
        <w:rPr>
          <w:rFonts w:ascii="Arial" w:hAnsi="Arial" w:cs="Arial"/>
          <w:noProof/>
          <w:sz w:val="22"/>
          <w:vertAlign w:val="superscript"/>
        </w:rPr>
        <w:t>a</w:t>
      </w:r>
      <w:r w:rsidRPr="00AA5B1A">
        <w:rPr>
          <w:rFonts w:ascii="Arial" w:hAnsi="Arial" w:cs="Arial"/>
          <w:noProof/>
          <w:sz w:val="22"/>
        </w:rPr>
        <w:t>, Mcgraw-Hill, 1990.</w:t>
      </w:r>
    </w:p>
    <w:p w14:paraId="7185D882"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[32]</w:t>
      </w:r>
      <w:r w:rsidRPr="00AA5B1A">
        <w:rPr>
          <w:rFonts w:ascii="Arial" w:hAnsi="Arial" w:cs="Arial"/>
          <w:noProof/>
          <w:sz w:val="22"/>
        </w:rPr>
        <w:tab/>
        <w:t>H. Hutchings, N. Ortega, J. Plouët, Extracellular matrix-bound vascular endothelial growth factor promotes endothelial cell adhesion, migration, and survival through integrin ligation., FASEB J. 17 (2003) 1520–1522.</w:t>
      </w:r>
    </w:p>
    <w:p w14:paraId="36CFEA70"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[33]</w:t>
      </w:r>
      <w:r w:rsidRPr="00AA5B1A">
        <w:rPr>
          <w:rFonts w:ascii="Arial" w:hAnsi="Arial" w:cs="Arial"/>
          <w:noProof/>
          <w:sz w:val="22"/>
        </w:rPr>
        <w:tab/>
        <w:t>M. Cord, Day, Superoxide-Dependent Production of Hydroxyl By Iron-Edta Complex, FEBS Lett. 86 (1978) 139–142.</w:t>
      </w:r>
    </w:p>
    <w:p w14:paraId="6161A43A"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[34]</w:t>
      </w:r>
      <w:r w:rsidRPr="00AA5B1A">
        <w:rPr>
          <w:rFonts w:ascii="Arial" w:hAnsi="Arial" w:cs="Arial"/>
          <w:noProof/>
          <w:sz w:val="22"/>
        </w:rPr>
        <w:tab/>
        <w:t>J.-P. Xiong, Crystal Structure of the Extracellular Segment of Integrin alpha Vbeta 3, Science (80-. ). 294 (2001) 339–345. doi:10.1126/science.1064535.</w:t>
      </w:r>
    </w:p>
    <w:p w14:paraId="79E6213B"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[35]</w:t>
      </w:r>
      <w:r w:rsidRPr="00AA5B1A">
        <w:rPr>
          <w:rFonts w:ascii="Arial" w:hAnsi="Arial" w:cs="Arial"/>
          <w:noProof/>
          <w:sz w:val="22"/>
        </w:rPr>
        <w:tab/>
        <w:t>Y. Li, J. Wu, F. Song, J. Tang, S.J. Wang, X.L. Yu, Z.N. Chen, J.L. Jiang, Extracellular membrane-proximal domain of HAb18G/CD147 binds to metal ion-dependent adhesion site (MIDAS) motif of integrin β1 to modulate malignant properties of hepatoma cells, J. Biol. Chem. 287 (2012) 4759–4772. doi:10.1074/jbc.M111.277699.</w:t>
      </w:r>
    </w:p>
    <w:p w14:paraId="0C95BE50"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[36]</w:t>
      </w:r>
      <w:r w:rsidRPr="00AA5B1A">
        <w:rPr>
          <w:rFonts w:ascii="Arial" w:hAnsi="Arial" w:cs="Arial"/>
          <w:noProof/>
          <w:sz w:val="22"/>
        </w:rPr>
        <w:tab/>
        <w:t>R.O. Hynes, Integrins: A family of cell surface receptors, Cell. 48 (1987) 549–554. doi:10.1016/0092-8674(87)90233-9.</w:t>
      </w:r>
    </w:p>
    <w:p w14:paraId="67B2A980"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[37]</w:t>
      </w:r>
      <w:r w:rsidRPr="00AA5B1A">
        <w:rPr>
          <w:rFonts w:ascii="Arial" w:hAnsi="Arial" w:cs="Arial"/>
          <w:noProof/>
          <w:sz w:val="22"/>
        </w:rPr>
        <w:tab/>
        <w:t>R.H. Lyles, C. Poindexter, A. Evans, M. Brown, C.R. Cooper, Nonlinear model-based estimates of IC 50 for studies involving continuous therapeutic dose-response data, Contemp. Clin. Trials. 29 (2008) 878–886. doi:10.1016/j.cct.2008.05.009.</w:t>
      </w:r>
    </w:p>
    <w:p w14:paraId="4C1D744F"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[38]</w:t>
      </w:r>
      <w:r w:rsidRPr="00AA5B1A">
        <w:rPr>
          <w:rFonts w:ascii="Arial" w:hAnsi="Arial" w:cs="Arial"/>
          <w:noProof/>
          <w:sz w:val="22"/>
        </w:rPr>
        <w:tab/>
        <w:t>W. Sun, Q. Hu, W. Ji, G. Wright, Z. Gu, Leveraging Physiology for Precision Drug Delivery, Physiol. Rev. 97 (2016) 189–225. doi:10.1152/physrev.00015.2016.</w:t>
      </w:r>
    </w:p>
    <w:p w14:paraId="2103C841"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[39]</w:t>
      </w:r>
      <w:r w:rsidRPr="00AA5B1A">
        <w:rPr>
          <w:rFonts w:ascii="Arial" w:hAnsi="Arial" w:cs="Arial"/>
          <w:noProof/>
          <w:sz w:val="22"/>
        </w:rPr>
        <w:tab/>
        <w:t>Y. Jiao, X. Feng, Y. Zhan, R. Wang, S. Zheng, W. Liu, X. Zeng, Matrix metalloproteinase-2 promotes ??v??3 integrin-mediated adhesion and migration of human melanoma cells by cleaving fibronectin, PLoS One. 7 (2012). doi:10.1371/journal.pone.0041591.</w:t>
      </w:r>
    </w:p>
    <w:p w14:paraId="29261904"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[40]</w:t>
      </w:r>
      <w:r w:rsidRPr="00AA5B1A">
        <w:rPr>
          <w:rFonts w:ascii="Arial" w:hAnsi="Arial" w:cs="Arial"/>
          <w:noProof/>
          <w:sz w:val="22"/>
        </w:rPr>
        <w:tab/>
        <w:t>E. Garanger, D. Boturyn, P. Dumy, Tumor Targeting with RGD Peptide Ligands-Design of New Molecular Conjugates for Imaging and Therapy of Cancers, Anticancer. Agents Med. Chem. 7 (2007) 552–558. doi:http://dx.doi.org/10.2174/187152007781668706.</w:t>
      </w:r>
    </w:p>
    <w:p w14:paraId="359A7928"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[41]</w:t>
      </w:r>
      <w:r w:rsidRPr="00AA5B1A">
        <w:rPr>
          <w:rFonts w:ascii="Arial" w:hAnsi="Arial" w:cs="Arial"/>
          <w:noProof/>
          <w:sz w:val="22"/>
        </w:rPr>
        <w:tab/>
        <w:t>W. Cai, X. Chen, Anti-angiogenic cancer therapy based on integrin alphavbeta3 antagonism., Anticancer. Agents Med. Chem. 6 (2006) 407–28. http://www.ncbi.nlm.nih.gov/pubmed/17017851.</w:t>
      </w:r>
    </w:p>
    <w:p w14:paraId="0226D10C"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[42]</w:t>
      </w:r>
      <w:r w:rsidRPr="00AA5B1A">
        <w:rPr>
          <w:rFonts w:ascii="Arial" w:hAnsi="Arial" w:cs="Arial"/>
          <w:noProof/>
          <w:sz w:val="22"/>
        </w:rPr>
        <w:tab/>
        <w:t>M.A. Russo, M. Paolillo, Y. Sanchez-Hernandez, D. Curti, E. Ciusani, M. Serra, L. Colombo, S. Schinelli, A small-molecule RGD-integrin antagonist inhibits cell adhesion, cell migration and induces anoikis in glioblastoma cells, Int. J. Oncol. 42 (2013) 83–92. doi:10.3892/ijo.2012.1708.</w:t>
      </w:r>
    </w:p>
    <w:p w14:paraId="262E60D9"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lastRenderedPageBreak/>
        <w:t>[43]</w:t>
      </w:r>
      <w:r w:rsidRPr="00AA5B1A">
        <w:rPr>
          <w:rFonts w:ascii="Arial" w:hAnsi="Arial" w:cs="Arial"/>
          <w:noProof/>
          <w:sz w:val="22"/>
        </w:rPr>
        <w:tab/>
        <w:t>M.A. Coronado, Estudo por modelagem e dinâmica molecular da interação da integrina alpha6beta1 com domínio tipo-desintegrina de ADAM2 e ADAM9 humanas, Laboratório Nacional de Computação Científica, 2008.</w:t>
      </w:r>
    </w:p>
    <w:p w14:paraId="5C46341B"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[44]</w:t>
      </w:r>
      <w:r w:rsidRPr="00AA5B1A">
        <w:rPr>
          <w:rFonts w:ascii="Arial" w:hAnsi="Arial" w:cs="Arial"/>
          <w:noProof/>
          <w:sz w:val="22"/>
        </w:rPr>
        <w:tab/>
        <w:t>D. a. Reardon, D. Cheresh, Cilengitide: A Prototypic Integrin Inhibitor for the Treatment of Glioblastoma and Other Malignancies, Genes Cancer. 2 (2011) 1159–1165. doi:10.1177/1947601912450586.</w:t>
      </w:r>
    </w:p>
    <w:p w14:paraId="0C49E766"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[45]</w:t>
      </w:r>
      <w:r w:rsidRPr="00AA5B1A">
        <w:rPr>
          <w:rFonts w:ascii="Arial" w:hAnsi="Arial" w:cs="Arial"/>
          <w:noProof/>
          <w:sz w:val="22"/>
        </w:rPr>
        <w:tab/>
        <w:t>A.R. Reynolds, I.R. Hart, A.R. Watson, J.C. Welti, R.G. Silva, S.D. Robinson, G. Da Violante, M. Gourlaouen, M. Salih, M.C. Jones, D.T. Jones, G. Saunders, V. Kostourou, F. Perron-Sierra, J.C. Norman, G.C. Tucker, K.M. Hodivala-Dilke, Stimulation of tumor growth and angiogenesis by low concentrations of RGD-mimetic integrin inhibitors., Nat. Med. 15 (2009) 392–400. doi:10.1038/nm.1941.</w:t>
      </w:r>
    </w:p>
    <w:p w14:paraId="0A3EE3A3"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[46]</w:t>
      </w:r>
      <w:r w:rsidRPr="00AA5B1A">
        <w:rPr>
          <w:rFonts w:ascii="Arial" w:hAnsi="Arial" w:cs="Arial"/>
          <w:noProof/>
          <w:sz w:val="22"/>
        </w:rPr>
        <w:tab/>
        <w:t>W. Guo, F.G. Giancotti, Integrin signalling during tumour progression., Nat. Rev. Mol. Cell Biol. 5 (2004) 816–826. doi:10.1038/nrm1490.</w:t>
      </w:r>
    </w:p>
    <w:p w14:paraId="29AFA4CE" w14:textId="77777777" w:rsidR="00AA5B1A" w:rsidRPr="00AA5B1A" w:rsidRDefault="00AA5B1A" w:rsidP="00AA5B1A">
      <w:pPr>
        <w:widowControl w:val="0"/>
        <w:autoSpaceDE w:val="0"/>
        <w:autoSpaceDN w:val="0"/>
        <w:adjustRightInd w:val="0"/>
        <w:spacing w:line="360" w:lineRule="auto"/>
        <w:ind w:left="640" w:hanging="640"/>
        <w:rPr>
          <w:rFonts w:ascii="Arial" w:hAnsi="Arial" w:cs="Arial"/>
          <w:noProof/>
          <w:sz w:val="22"/>
        </w:rPr>
      </w:pPr>
      <w:r w:rsidRPr="00AA5B1A">
        <w:rPr>
          <w:rFonts w:ascii="Arial" w:hAnsi="Arial" w:cs="Arial"/>
          <w:noProof/>
          <w:sz w:val="22"/>
        </w:rPr>
        <w:t>[47]</w:t>
      </w:r>
      <w:r w:rsidRPr="00AA5B1A">
        <w:rPr>
          <w:rFonts w:ascii="Arial" w:hAnsi="Arial" w:cs="Arial"/>
          <w:noProof/>
          <w:sz w:val="22"/>
        </w:rPr>
        <w:tab/>
        <w:t>P.H. and E.S. Christenheit, Agnieszka, Global Journal of Cancer Therapy A Novel Small-Molecule Integrin Antagonist Inhibits Cells Adhesion Followed By Anoikis in Endothelial Cells - A Comparative Analysis with Cilengitide, Glob. J. Cancer Ther. 2 (2016) 9–18.</w:t>
      </w:r>
    </w:p>
    <w:p w14:paraId="4A983F7C" w14:textId="5724DC47" w:rsidR="00452EAB" w:rsidRDefault="00452EAB" w:rsidP="009A405C">
      <w:pPr>
        <w:spacing w:line="360" w:lineRule="auto"/>
        <w:rPr>
          <w:rFonts w:ascii="Arial" w:hAnsi="Arial" w:cs="Arial"/>
          <w:sz w:val="22"/>
          <w:szCs w:val="22"/>
        </w:rPr>
      </w:pPr>
      <w:r>
        <w:rPr>
          <w:rFonts w:ascii="Arial" w:hAnsi="Arial" w:cs="Arial"/>
          <w:sz w:val="22"/>
          <w:szCs w:val="22"/>
        </w:rPr>
        <w:fldChar w:fldCharType="end"/>
      </w:r>
    </w:p>
    <w:p w14:paraId="3C236C08" w14:textId="77777777" w:rsidR="00712339" w:rsidRPr="009A405C" w:rsidRDefault="00712339" w:rsidP="009A405C">
      <w:pPr>
        <w:spacing w:line="360" w:lineRule="auto"/>
        <w:rPr>
          <w:rFonts w:ascii="Arial" w:hAnsi="Arial" w:cs="Arial"/>
          <w:sz w:val="22"/>
          <w:szCs w:val="22"/>
        </w:rPr>
      </w:pPr>
    </w:p>
    <w:p w14:paraId="5EB478F6" w14:textId="77777777" w:rsidR="00CC56FB" w:rsidRDefault="00CC56FB" w:rsidP="00214FE4">
      <w:pPr>
        <w:autoSpaceDE w:val="0"/>
        <w:autoSpaceDN w:val="0"/>
        <w:adjustRightInd w:val="0"/>
        <w:spacing w:line="360" w:lineRule="auto"/>
        <w:ind w:firstLine="0"/>
        <w:rPr>
          <w:rFonts w:ascii="Arial" w:hAnsi="Arial" w:cs="Arial"/>
          <w:b/>
        </w:rPr>
      </w:pPr>
    </w:p>
    <w:p w14:paraId="59226523" w14:textId="14E1EA83" w:rsidR="003C63D7" w:rsidRPr="007E6671" w:rsidRDefault="00214FE4" w:rsidP="003F46CD">
      <w:pPr>
        <w:autoSpaceDE w:val="0"/>
        <w:autoSpaceDN w:val="0"/>
        <w:adjustRightInd w:val="0"/>
        <w:spacing w:line="360" w:lineRule="auto"/>
        <w:rPr>
          <w:rFonts w:ascii="Arial" w:hAnsi="Arial" w:cs="Arial"/>
          <w:b/>
          <w:sz w:val="22"/>
          <w:szCs w:val="22"/>
        </w:rPr>
      </w:pPr>
      <w:r w:rsidRPr="007E6671">
        <w:rPr>
          <w:rFonts w:ascii="Arial" w:hAnsi="Arial" w:cs="Arial"/>
          <w:b/>
          <w:sz w:val="22"/>
          <w:szCs w:val="22"/>
        </w:rPr>
        <w:t>MATERIAL SUPLEMENTAR</w:t>
      </w:r>
    </w:p>
    <w:p w14:paraId="176CDB19" w14:textId="7008E29A" w:rsidR="007E6671" w:rsidRDefault="007E6671" w:rsidP="003F46CD">
      <w:pPr>
        <w:autoSpaceDE w:val="0"/>
        <w:autoSpaceDN w:val="0"/>
        <w:adjustRightInd w:val="0"/>
        <w:spacing w:line="360" w:lineRule="auto"/>
        <w:rPr>
          <w:rFonts w:ascii="Arial" w:hAnsi="Arial" w:cs="Arial"/>
          <w:b/>
          <w:sz w:val="22"/>
          <w:szCs w:val="22"/>
        </w:rPr>
      </w:pPr>
    </w:p>
    <w:p w14:paraId="1FEA22FC" w14:textId="0C0F56AB" w:rsidR="0066185C" w:rsidRDefault="0066185C" w:rsidP="003F46CD">
      <w:pPr>
        <w:autoSpaceDE w:val="0"/>
        <w:autoSpaceDN w:val="0"/>
        <w:adjustRightInd w:val="0"/>
        <w:spacing w:line="360" w:lineRule="auto"/>
        <w:rPr>
          <w:rFonts w:ascii="Arial" w:hAnsi="Arial" w:cs="Arial"/>
          <w:bCs/>
          <w:sz w:val="22"/>
          <w:szCs w:val="22"/>
        </w:rPr>
      </w:pPr>
      <w:r w:rsidRPr="007E6671">
        <w:rPr>
          <w:rFonts w:ascii="Arial" w:hAnsi="Arial" w:cs="Arial"/>
          <w:b/>
          <w:sz w:val="22"/>
          <w:szCs w:val="22"/>
        </w:rPr>
        <w:t>Figura Suplementar</w:t>
      </w:r>
      <w:r>
        <w:rPr>
          <w:rFonts w:ascii="Arial" w:hAnsi="Arial" w:cs="Arial"/>
          <w:b/>
          <w:sz w:val="22"/>
          <w:szCs w:val="22"/>
        </w:rPr>
        <w:t xml:space="preserve"> 2</w:t>
      </w:r>
      <w:r w:rsidRPr="007E6671">
        <w:rPr>
          <w:rFonts w:ascii="Arial" w:hAnsi="Arial" w:cs="Arial"/>
          <w:b/>
          <w:sz w:val="22"/>
          <w:szCs w:val="22"/>
        </w:rPr>
        <w:t>:</w:t>
      </w:r>
      <w:r>
        <w:rPr>
          <w:rFonts w:ascii="Arial" w:hAnsi="Arial" w:cs="Arial"/>
          <w:b/>
          <w:sz w:val="22"/>
          <w:szCs w:val="22"/>
        </w:rPr>
        <w:t xml:space="preserve"> </w:t>
      </w:r>
      <w:r w:rsidRPr="0066185C">
        <w:rPr>
          <w:rFonts w:ascii="Arial" w:hAnsi="Arial" w:cs="Arial"/>
          <w:bCs/>
          <w:sz w:val="22"/>
          <w:szCs w:val="22"/>
        </w:rPr>
        <w:t>Peptídeo cíclico A9s</w:t>
      </w:r>
      <w:r w:rsidR="00214FE4">
        <w:rPr>
          <w:rFonts w:ascii="Arial" w:hAnsi="Arial" w:cs="Arial"/>
          <w:bCs/>
          <w:sz w:val="22"/>
          <w:szCs w:val="22"/>
        </w:rPr>
        <w:t xml:space="preserve">. </w:t>
      </w:r>
      <w:r w:rsidR="00214FE4" w:rsidRPr="00214FE4">
        <w:rPr>
          <w:rFonts w:ascii="Arial" w:hAnsi="Arial" w:cs="Arial"/>
          <w:bCs/>
          <w:sz w:val="22"/>
          <w:szCs w:val="22"/>
        </w:rPr>
        <w:t xml:space="preserve">Sequência </w:t>
      </w:r>
      <w:r w:rsidR="00214FE4">
        <w:rPr>
          <w:rFonts w:ascii="Arial" w:hAnsi="Arial" w:cs="Arial"/>
          <w:bCs/>
          <w:sz w:val="22"/>
          <w:szCs w:val="22"/>
        </w:rPr>
        <w:t xml:space="preserve">de </w:t>
      </w:r>
      <w:r w:rsidR="00E002E4">
        <w:rPr>
          <w:rFonts w:ascii="Arial" w:hAnsi="Arial" w:cs="Arial"/>
          <w:bCs/>
          <w:sz w:val="22"/>
          <w:szCs w:val="22"/>
        </w:rPr>
        <w:t>15</w:t>
      </w:r>
      <w:r w:rsidR="00214FE4" w:rsidRPr="00214FE4">
        <w:rPr>
          <w:rFonts w:ascii="Arial" w:hAnsi="Arial" w:cs="Arial"/>
          <w:bCs/>
          <w:sz w:val="22"/>
          <w:szCs w:val="22"/>
        </w:rPr>
        <w:t>aa</w:t>
      </w:r>
      <w:r w:rsidR="00214FE4">
        <w:rPr>
          <w:rFonts w:ascii="Arial" w:hAnsi="Arial" w:cs="Arial"/>
          <w:bCs/>
          <w:sz w:val="22"/>
          <w:szCs w:val="22"/>
        </w:rPr>
        <w:t xml:space="preserve"> do peptídeo cíclico A9s</w:t>
      </w:r>
      <w:r w:rsidR="00214FE4" w:rsidRPr="00214FE4">
        <w:rPr>
          <w:rFonts w:ascii="Arial" w:hAnsi="Arial" w:cs="Arial"/>
          <w:bCs/>
          <w:sz w:val="22"/>
          <w:szCs w:val="22"/>
        </w:rPr>
        <w:t>:</w:t>
      </w:r>
      <w:r w:rsidR="00E002E4">
        <w:rPr>
          <w:rFonts w:ascii="Arial" w:hAnsi="Arial" w:cs="Arial"/>
          <w:bCs/>
          <w:sz w:val="22"/>
          <w:szCs w:val="22"/>
        </w:rPr>
        <w:t xml:space="preserve"> CDER</w:t>
      </w:r>
      <w:r w:rsidR="00F76523">
        <w:rPr>
          <w:rFonts w:ascii="Arial" w:hAnsi="Arial" w:cs="Arial"/>
          <w:bCs/>
          <w:sz w:val="22"/>
          <w:szCs w:val="22"/>
        </w:rPr>
        <w:t>.........CN</w:t>
      </w:r>
    </w:p>
    <w:p w14:paraId="6EDF8C0D" w14:textId="17D73C07" w:rsidR="0066185C" w:rsidRDefault="00214FE4" w:rsidP="00214FE4">
      <w:pPr>
        <w:autoSpaceDE w:val="0"/>
        <w:autoSpaceDN w:val="0"/>
        <w:adjustRightInd w:val="0"/>
        <w:spacing w:line="360" w:lineRule="auto"/>
        <w:jc w:val="center"/>
        <w:rPr>
          <w:rFonts w:ascii="Arial" w:hAnsi="Arial" w:cs="Arial"/>
          <w:b/>
          <w:sz w:val="22"/>
          <w:szCs w:val="22"/>
        </w:rPr>
      </w:pPr>
      <w:r w:rsidRPr="00214FE4">
        <w:rPr>
          <w:rFonts w:ascii="Arial" w:hAnsi="Arial" w:cs="Arial"/>
          <w:b/>
          <w:noProof/>
          <w:sz w:val="22"/>
          <w:szCs w:val="22"/>
          <w:lang w:eastAsia="pt-BR"/>
        </w:rPr>
        <w:drawing>
          <wp:inline distT="0" distB="0" distL="0" distR="0" wp14:anchorId="54BEBBCB" wp14:editId="292D345A">
            <wp:extent cx="3427096" cy="2311586"/>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11" t="4222" r="1047" b="3129"/>
                    <a:stretch/>
                  </pic:blipFill>
                  <pic:spPr bwMode="auto">
                    <a:xfrm>
                      <a:off x="0" y="0"/>
                      <a:ext cx="3431743" cy="2314720"/>
                    </a:xfrm>
                    <a:prstGeom prst="rect">
                      <a:avLst/>
                    </a:prstGeom>
                    <a:noFill/>
                    <a:ln>
                      <a:noFill/>
                    </a:ln>
                    <a:extLst>
                      <a:ext uri="{53640926-AAD7-44D8-BBD7-CCE9431645EC}">
                        <a14:shadowObscured xmlns:a14="http://schemas.microsoft.com/office/drawing/2010/main"/>
                      </a:ext>
                    </a:extLst>
                  </pic:spPr>
                </pic:pic>
              </a:graphicData>
            </a:graphic>
          </wp:inline>
        </w:drawing>
      </w:r>
    </w:p>
    <w:p w14:paraId="3726A319" w14:textId="181F20E6" w:rsidR="00712339" w:rsidRDefault="00712339" w:rsidP="00214FE4">
      <w:pPr>
        <w:autoSpaceDE w:val="0"/>
        <w:autoSpaceDN w:val="0"/>
        <w:adjustRightInd w:val="0"/>
        <w:spacing w:line="360" w:lineRule="auto"/>
        <w:jc w:val="center"/>
        <w:rPr>
          <w:rFonts w:ascii="Arial" w:hAnsi="Arial" w:cs="Arial"/>
          <w:b/>
          <w:sz w:val="22"/>
          <w:szCs w:val="22"/>
        </w:rPr>
      </w:pPr>
    </w:p>
    <w:p w14:paraId="7D3DD405" w14:textId="77777777" w:rsidR="00712339" w:rsidRDefault="00712339" w:rsidP="00214FE4">
      <w:pPr>
        <w:autoSpaceDE w:val="0"/>
        <w:autoSpaceDN w:val="0"/>
        <w:adjustRightInd w:val="0"/>
        <w:spacing w:line="360" w:lineRule="auto"/>
        <w:jc w:val="center"/>
        <w:rPr>
          <w:rFonts w:ascii="Arial" w:hAnsi="Arial" w:cs="Arial"/>
          <w:b/>
          <w:sz w:val="22"/>
          <w:szCs w:val="22"/>
        </w:rPr>
      </w:pPr>
    </w:p>
    <w:p w14:paraId="196C9D92" w14:textId="3E9C8FC4" w:rsidR="00214FE4" w:rsidRPr="00214FE4" w:rsidRDefault="00214FE4" w:rsidP="00214FE4">
      <w:pPr>
        <w:autoSpaceDE w:val="0"/>
        <w:autoSpaceDN w:val="0"/>
        <w:adjustRightInd w:val="0"/>
        <w:spacing w:line="360" w:lineRule="auto"/>
        <w:rPr>
          <w:rFonts w:ascii="Arial" w:hAnsi="Arial" w:cs="Arial"/>
          <w:bCs/>
          <w:sz w:val="22"/>
          <w:szCs w:val="22"/>
        </w:rPr>
      </w:pPr>
    </w:p>
    <w:p w14:paraId="08B90999" w14:textId="4767A58C" w:rsidR="003F46CD" w:rsidRPr="00214FE4" w:rsidRDefault="007E6671" w:rsidP="00214FE4">
      <w:pPr>
        <w:autoSpaceDE w:val="0"/>
        <w:autoSpaceDN w:val="0"/>
        <w:adjustRightInd w:val="0"/>
        <w:spacing w:line="360" w:lineRule="auto"/>
        <w:rPr>
          <w:rFonts w:ascii="Arial" w:hAnsi="Arial" w:cs="Arial"/>
          <w:b/>
          <w:sz w:val="22"/>
          <w:szCs w:val="22"/>
        </w:rPr>
      </w:pPr>
      <w:r w:rsidRPr="007E6671">
        <w:rPr>
          <w:rFonts w:ascii="Arial" w:hAnsi="Arial" w:cs="Arial"/>
          <w:b/>
          <w:sz w:val="22"/>
          <w:szCs w:val="22"/>
        </w:rPr>
        <w:lastRenderedPageBreak/>
        <w:t>Figura Suplementar</w:t>
      </w:r>
      <w:r w:rsidR="001611F8">
        <w:rPr>
          <w:rFonts w:ascii="Arial" w:hAnsi="Arial" w:cs="Arial"/>
          <w:b/>
          <w:sz w:val="22"/>
          <w:szCs w:val="22"/>
        </w:rPr>
        <w:t xml:space="preserve"> </w:t>
      </w:r>
      <w:r w:rsidR="0066185C">
        <w:rPr>
          <w:rFonts w:ascii="Arial" w:hAnsi="Arial" w:cs="Arial"/>
          <w:b/>
          <w:sz w:val="22"/>
          <w:szCs w:val="22"/>
        </w:rPr>
        <w:t>2</w:t>
      </w:r>
      <w:r w:rsidRPr="007E6671">
        <w:rPr>
          <w:rFonts w:ascii="Arial" w:hAnsi="Arial" w:cs="Arial"/>
          <w:b/>
          <w:sz w:val="22"/>
          <w:szCs w:val="22"/>
        </w:rPr>
        <w:t xml:space="preserve">: </w:t>
      </w:r>
      <w:r w:rsidRPr="007E6671">
        <w:rPr>
          <w:rFonts w:ascii="Arial" w:hAnsi="Arial" w:cs="Arial"/>
          <w:sz w:val="22"/>
          <w:szCs w:val="22"/>
        </w:rPr>
        <w:t>Plotes de amplificação obtidos no software StepOne v2.1 demonstrando as expressões das subunidades de integrinas a</w:t>
      </w:r>
      <w:r>
        <w:rPr>
          <w:rFonts w:ascii="Arial" w:hAnsi="Arial" w:cs="Arial"/>
          <w:sz w:val="22"/>
          <w:szCs w:val="22"/>
        </w:rPr>
        <w:t xml:space="preserve"> partir do cDNA da</w:t>
      </w:r>
      <w:r w:rsidRPr="007E6671">
        <w:rPr>
          <w:rFonts w:ascii="Arial" w:hAnsi="Arial" w:cs="Arial"/>
          <w:sz w:val="22"/>
          <w:szCs w:val="22"/>
        </w:rPr>
        <w:t xml:space="preserve"> linhagem B16F10 sob condições normais de cultura (DMEM-F12 + 10%SFB e 0,1% gentamicina  a 37ºC e 5% de CO</w:t>
      </w:r>
      <w:r w:rsidRPr="007E6671">
        <w:rPr>
          <w:rFonts w:ascii="Arial" w:hAnsi="Arial" w:cs="Arial"/>
          <w:sz w:val="22"/>
          <w:szCs w:val="22"/>
          <w:vertAlign w:val="subscript"/>
        </w:rPr>
        <w:t>2</w:t>
      </w:r>
      <w:r w:rsidRPr="007E6671">
        <w:rPr>
          <w:rFonts w:ascii="Arial" w:hAnsi="Arial" w:cs="Arial"/>
          <w:sz w:val="22"/>
          <w:szCs w:val="22"/>
        </w:rPr>
        <w:t>).</w:t>
      </w:r>
    </w:p>
    <w:p w14:paraId="3DB1E622" w14:textId="1AD36986" w:rsidR="003C63D7" w:rsidRDefault="003C63D7">
      <w:r w:rsidRPr="003C63D7">
        <w:rPr>
          <w:noProof/>
          <w:lang w:eastAsia="pt-BR"/>
        </w:rPr>
        <w:drawing>
          <wp:inline distT="0" distB="0" distL="0" distR="0" wp14:anchorId="5AC5FC6B" wp14:editId="625527B8">
            <wp:extent cx="4437380" cy="3158972"/>
            <wp:effectExtent l="0" t="0" r="1270" b="0"/>
            <wp:docPr id="1026" name="Imagem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0F119-568A-4F61-AC70-13F8A424C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m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0F119-568A-4F61-AC70-13F8A424C8D8}"/>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9753" cy="3160661"/>
                    </a:xfrm>
                    <a:prstGeom prst="rect">
                      <a:avLst/>
                    </a:prstGeom>
                    <a:noFill/>
                    <a:ln>
                      <a:noFill/>
                    </a:ln>
                  </pic:spPr>
                </pic:pic>
              </a:graphicData>
            </a:graphic>
          </wp:inline>
        </w:drawing>
      </w:r>
    </w:p>
    <w:sectPr w:rsidR="003C63D7" w:rsidSect="00D14361">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215FB" w14:textId="77777777" w:rsidR="00BF4730" w:rsidRDefault="00BF4730" w:rsidP="000D2DB0">
      <w:r>
        <w:separator/>
      </w:r>
    </w:p>
  </w:endnote>
  <w:endnote w:type="continuationSeparator" w:id="0">
    <w:p w14:paraId="0D9FAD02" w14:textId="77777777" w:rsidR="00BF4730" w:rsidRDefault="00BF4730" w:rsidP="000D2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1C41B" w14:textId="77777777" w:rsidR="00BF4730" w:rsidRDefault="00BF4730" w:rsidP="000D2DB0">
      <w:r>
        <w:separator/>
      </w:r>
    </w:p>
  </w:footnote>
  <w:footnote w:type="continuationSeparator" w:id="0">
    <w:p w14:paraId="36AD8083" w14:textId="77777777" w:rsidR="00BF4730" w:rsidRDefault="00BF4730" w:rsidP="000D2D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33E"/>
    <w:rsid w:val="00024408"/>
    <w:rsid w:val="00026261"/>
    <w:rsid w:val="000274D0"/>
    <w:rsid w:val="00073D78"/>
    <w:rsid w:val="000822FE"/>
    <w:rsid w:val="0008253C"/>
    <w:rsid w:val="00086082"/>
    <w:rsid w:val="00091872"/>
    <w:rsid w:val="000C2494"/>
    <w:rsid w:val="000D2DB0"/>
    <w:rsid w:val="00101A24"/>
    <w:rsid w:val="001108E2"/>
    <w:rsid w:val="00113B25"/>
    <w:rsid w:val="00120264"/>
    <w:rsid w:val="00125790"/>
    <w:rsid w:val="00134BD0"/>
    <w:rsid w:val="00137754"/>
    <w:rsid w:val="0015082D"/>
    <w:rsid w:val="001611F8"/>
    <w:rsid w:val="001A2C3C"/>
    <w:rsid w:val="001B521C"/>
    <w:rsid w:val="001D75B0"/>
    <w:rsid w:val="002054B9"/>
    <w:rsid w:val="00214FE4"/>
    <w:rsid w:val="00217806"/>
    <w:rsid w:val="0022682B"/>
    <w:rsid w:val="0024470A"/>
    <w:rsid w:val="00255875"/>
    <w:rsid w:val="002617FC"/>
    <w:rsid w:val="00276AD1"/>
    <w:rsid w:val="00285352"/>
    <w:rsid w:val="002958F3"/>
    <w:rsid w:val="00303846"/>
    <w:rsid w:val="00317BE0"/>
    <w:rsid w:val="0034422E"/>
    <w:rsid w:val="003442B5"/>
    <w:rsid w:val="00350961"/>
    <w:rsid w:val="003571E0"/>
    <w:rsid w:val="00360F2B"/>
    <w:rsid w:val="00374EE2"/>
    <w:rsid w:val="00396488"/>
    <w:rsid w:val="003B76F1"/>
    <w:rsid w:val="003C63D7"/>
    <w:rsid w:val="003C6D6E"/>
    <w:rsid w:val="003F46CD"/>
    <w:rsid w:val="00412B73"/>
    <w:rsid w:val="00415A83"/>
    <w:rsid w:val="004371F1"/>
    <w:rsid w:val="00443BB8"/>
    <w:rsid w:val="00452EAB"/>
    <w:rsid w:val="00461809"/>
    <w:rsid w:val="00465264"/>
    <w:rsid w:val="0048023F"/>
    <w:rsid w:val="004819A6"/>
    <w:rsid w:val="00481F2B"/>
    <w:rsid w:val="00485DDA"/>
    <w:rsid w:val="00493412"/>
    <w:rsid w:val="004A513D"/>
    <w:rsid w:val="004B4D68"/>
    <w:rsid w:val="005024D5"/>
    <w:rsid w:val="0052732C"/>
    <w:rsid w:val="0052741D"/>
    <w:rsid w:val="00532C40"/>
    <w:rsid w:val="00532EFE"/>
    <w:rsid w:val="00535BA5"/>
    <w:rsid w:val="00540EB4"/>
    <w:rsid w:val="0055302E"/>
    <w:rsid w:val="005665B6"/>
    <w:rsid w:val="00566776"/>
    <w:rsid w:val="00570FB3"/>
    <w:rsid w:val="005A756A"/>
    <w:rsid w:val="005B31D1"/>
    <w:rsid w:val="005B4A62"/>
    <w:rsid w:val="005D0392"/>
    <w:rsid w:val="005F171E"/>
    <w:rsid w:val="006409E3"/>
    <w:rsid w:val="00647E5C"/>
    <w:rsid w:val="0066185C"/>
    <w:rsid w:val="00674824"/>
    <w:rsid w:val="006930B3"/>
    <w:rsid w:val="00693A3C"/>
    <w:rsid w:val="006B09B5"/>
    <w:rsid w:val="006C19CF"/>
    <w:rsid w:val="006C329D"/>
    <w:rsid w:val="006D5BE9"/>
    <w:rsid w:val="006E6E1C"/>
    <w:rsid w:val="00712339"/>
    <w:rsid w:val="0072384C"/>
    <w:rsid w:val="00725969"/>
    <w:rsid w:val="00786105"/>
    <w:rsid w:val="007A58F4"/>
    <w:rsid w:val="007A714C"/>
    <w:rsid w:val="007A7A2C"/>
    <w:rsid w:val="007C108B"/>
    <w:rsid w:val="007D2965"/>
    <w:rsid w:val="007D5B4E"/>
    <w:rsid w:val="007E6671"/>
    <w:rsid w:val="007F130D"/>
    <w:rsid w:val="007F3F75"/>
    <w:rsid w:val="007F594B"/>
    <w:rsid w:val="007F71E7"/>
    <w:rsid w:val="00812A4A"/>
    <w:rsid w:val="0081610A"/>
    <w:rsid w:val="00870878"/>
    <w:rsid w:val="00871EFF"/>
    <w:rsid w:val="00874CD3"/>
    <w:rsid w:val="00882003"/>
    <w:rsid w:val="00897D00"/>
    <w:rsid w:val="008A72A7"/>
    <w:rsid w:val="008E1E25"/>
    <w:rsid w:val="0092436F"/>
    <w:rsid w:val="009A1849"/>
    <w:rsid w:val="009A405C"/>
    <w:rsid w:val="009C08C0"/>
    <w:rsid w:val="009C3522"/>
    <w:rsid w:val="00A07825"/>
    <w:rsid w:val="00A1580D"/>
    <w:rsid w:val="00A22F78"/>
    <w:rsid w:val="00A30C82"/>
    <w:rsid w:val="00A41CBA"/>
    <w:rsid w:val="00A74057"/>
    <w:rsid w:val="00A75227"/>
    <w:rsid w:val="00A75B25"/>
    <w:rsid w:val="00A969E5"/>
    <w:rsid w:val="00AA5B1A"/>
    <w:rsid w:val="00AB3A7E"/>
    <w:rsid w:val="00AC11BF"/>
    <w:rsid w:val="00AC5A85"/>
    <w:rsid w:val="00AD5811"/>
    <w:rsid w:val="00AE0CA2"/>
    <w:rsid w:val="00B16874"/>
    <w:rsid w:val="00B62146"/>
    <w:rsid w:val="00B66BB8"/>
    <w:rsid w:val="00B83157"/>
    <w:rsid w:val="00BB3D8A"/>
    <w:rsid w:val="00BC71D5"/>
    <w:rsid w:val="00BF4730"/>
    <w:rsid w:val="00C14A54"/>
    <w:rsid w:val="00C2252A"/>
    <w:rsid w:val="00C338B3"/>
    <w:rsid w:val="00C35F03"/>
    <w:rsid w:val="00C7433E"/>
    <w:rsid w:val="00CC036B"/>
    <w:rsid w:val="00CC0F9F"/>
    <w:rsid w:val="00CC56FB"/>
    <w:rsid w:val="00CD6A4D"/>
    <w:rsid w:val="00D1108E"/>
    <w:rsid w:val="00D12E89"/>
    <w:rsid w:val="00D14361"/>
    <w:rsid w:val="00D17220"/>
    <w:rsid w:val="00D668B0"/>
    <w:rsid w:val="00D72995"/>
    <w:rsid w:val="00D75E01"/>
    <w:rsid w:val="00DA25EF"/>
    <w:rsid w:val="00DB038F"/>
    <w:rsid w:val="00DB273B"/>
    <w:rsid w:val="00DB7792"/>
    <w:rsid w:val="00DC2964"/>
    <w:rsid w:val="00DC4FE4"/>
    <w:rsid w:val="00DD78D6"/>
    <w:rsid w:val="00E002E4"/>
    <w:rsid w:val="00E21F2A"/>
    <w:rsid w:val="00E24B8C"/>
    <w:rsid w:val="00E454ED"/>
    <w:rsid w:val="00E6074E"/>
    <w:rsid w:val="00E851F6"/>
    <w:rsid w:val="00E92C1E"/>
    <w:rsid w:val="00EA7835"/>
    <w:rsid w:val="00EB4F69"/>
    <w:rsid w:val="00ED0728"/>
    <w:rsid w:val="00ED4217"/>
    <w:rsid w:val="00EE563D"/>
    <w:rsid w:val="00EF21A8"/>
    <w:rsid w:val="00F42A94"/>
    <w:rsid w:val="00F440BE"/>
    <w:rsid w:val="00F66322"/>
    <w:rsid w:val="00F76523"/>
    <w:rsid w:val="00FC509E"/>
    <w:rsid w:val="00FF23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BD42E0"/>
  <w15:chartTrackingRefBased/>
  <w15:docId w15:val="{DB750AAB-A112-46DE-A3B7-A6B48CA2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3E"/>
    <w:pPr>
      <w:spacing w:after="0" w:line="240" w:lineRule="auto"/>
      <w:ind w:firstLine="709"/>
      <w:jc w:val="both"/>
    </w:pPr>
    <w:rPr>
      <w:rFonts w:ascii="Times New Roman" w:eastAsia="ヒラギノ角ゴ Pro W3" w:hAnsi="Times New Roman" w:cs="Times New Roman"/>
      <w:color w:val="00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ps">
    <w:name w:val="hps"/>
    <w:basedOn w:val="Fontepargpadro"/>
    <w:rsid w:val="00C7433E"/>
  </w:style>
  <w:style w:type="paragraph" w:customStyle="1" w:styleId="Seo1">
    <w:name w:val="Seção 1"/>
    <w:next w:val="Normal"/>
    <w:qFormat/>
    <w:rsid w:val="00C7433E"/>
    <w:pPr>
      <w:widowControl w:val="0"/>
      <w:spacing w:after="480" w:line="360" w:lineRule="auto"/>
      <w:outlineLvl w:val="0"/>
    </w:pPr>
    <w:rPr>
      <w:rFonts w:ascii="Arial" w:eastAsia="ヒラギノ角ゴ Pro W3" w:hAnsi="Arial" w:cs="Arial"/>
      <w:b/>
      <w:caps/>
      <w:color w:val="000000"/>
      <w:sz w:val="24"/>
      <w:szCs w:val="24"/>
    </w:rPr>
  </w:style>
  <w:style w:type="paragraph" w:customStyle="1" w:styleId="seo2">
    <w:name w:val="seção 2"/>
    <w:next w:val="Normal"/>
    <w:qFormat/>
    <w:rsid w:val="00C7433E"/>
    <w:pPr>
      <w:widowControl w:val="0"/>
      <w:spacing w:before="240" w:after="240" w:line="360" w:lineRule="auto"/>
      <w:outlineLvl w:val="1"/>
    </w:pPr>
    <w:rPr>
      <w:rFonts w:ascii="Arial" w:eastAsia="ヒラギノ角ゴ Pro W3" w:hAnsi="Arial" w:cs="Times New Roman"/>
      <w:b/>
      <w:color w:val="000000"/>
      <w:sz w:val="24"/>
      <w:szCs w:val="24"/>
    </w:rPr>
  </w:style>
  <w:style w:type="paragraph" w:styleId="Textodebalo">
    <w:name w:val="Balloon Text"/>
    <w:basedOn w:val="Normal"/>
    <w:link w:val="TextodebaloChar"/>
    <w:uiPriority w:val="99"/>
    <w:semiHidden/>
    <w:unhideWhenUsed/>
    <w:rsid w:val="00C7433E"/>
    <w:rPr>
      <w:rFonts w:ascii="Segoe UI" w:hAnsi="Segoe UI" w:cs="Segoe UI"/>
      <w:sz w:val="18"/>
      <w:szCs w:val="18"/>
    </w:rPr>
  </w:style>
  <w:style w:type="character" w:customStyle="1" w:styleId="TextodebaloChar">
    <w:name w:val="Texto de balão Char"/>
    <w:basedOn w:val="Fontepargpadro"/>
    <w:link w:val="Textodebalo"/>
    <w:uiPriority w:val="99"/>
    <w:semiHidden/>
    <w:rsid w:val="00C7433E"/>
    <w:rPr>
      <w:rFonts w:ascii="Segoe UI" w:eastAsia="ヒラギノ角ゴ Pro W3" w:hAnsi="Segoe UI" w:cs="Segoe UI"/>
      <w:color w:val="000000"/>
      <w:sz w:val="18"/>
      <w:szCs w:val="18"/>
    </w:rPr>
  </w:style>
  <w:style w:type="paragraph" w:customStyle="1" w:styleId="Default">
    <w:name w:val="Default"/>
    <w:rsid w:val="0052741D"/>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52741D"/>
    <w:rPr>
      <w:rFonts w:cs="Times"/>
      <w:color w:val="000000"/>
      <w:sz w:val="19"/>
      <w:szCs w:val="19"/>
    </w:rPr>
  </w:style>
  <w:style w:type="paragraph" w:styleId="Cabealho">
    <w:name w:val="header"/>
    <w:basedOn w:val="Normal"/>
    <w:link w:val="CabealhoChar"/>
    <w:uiPriority w:val="99"/>
    <w:unhideWhenUsed/>
    <w:rsid w:val="000D2DB0"/>
    <w:pPr>
      <w:tabs>
        <w:tab w:val="center" w:pos="4252"/>
        <w:tab w:val="right" w:pos="8504"/>
      </w:tabs>
    </w:pPr>
  </w:style>
  <w:style w:type="character" w:customStyle="1" w:styleId="CabealhoChar">
    <w:name w:val="Cabeçalho Char"/>
    <w:basedOn w:val="Fontepargpadro"/>
    <w:link w:val="Cabealho"/>
    <w:uiPriority w:val="99"/>
    <w:rsid w:val="000D2DB0"/>
    <w:rPr>
      <w:rFonts w:ascii="Times New Roman" w:eastAsia="ヒラギノ角ゴ Pro W3" w:hAnsi="Times New Roman" w:cs="Times New Roman"/>
      <w:color w:val="000000"/>
      <w:sz w:val="24"/>
      <w:szCs w:val="24"/>
    </w:rPr>
  </w:style>
  <w:style w:type="paragraph" w:styleId="Rodap">
    <w:name w:val="footer"/>
    <w:basedOn w:val="Normal"/>
    <w:link w:val="RodapChar"/>
    <w:uiPriority w:val="99"/>
    <w:unhideWhenUsed/>
    <w:rsid w:val="000D2DB0"/>
    <w:pPr>
      <w:tabs>
        <w:tab w:val="center" w:pos="4252"/>
        <w:tab w:val="right" w:pos="8504"/>
      </w:tabs>
    </w:pPr>
  </w:style>
  <w:style w:type="character" w:customStyle="1" w:styleId="RodapChar">
    <w:name w:val="Rodapé Char"/>
    <w:basedOn w:val="Fontepargpadro"/>
    <w:link w:val="Rodap"/>
    <w:uiPriority w:val="99"/>
    <w:rsid w:val="000D2DB0"/>
    <w:rPr>
      <w:rFonts w:ascii="Times New Roman" w:eastAsia="ヒラギノ角ゴ Pro W3" w:hAnsi="Times New Roman" w:cs="Times New Roman"/>
      <w:color w:val="000000"/>
      <w:sz w:val="24"/>
      <w:szCs w:val="24"/>
    </w:rPr>
  </w:style>
  <w:style w:type="character" w:styleId="Refdecomentrio">
    <w:name w:val="annotation reference"/>
    <w:basedOn w:val="Fontepargpadro"/>
    <w:uiPriority w:val="99"/>
    <w:semiHidden/>
    <w:unhideWhenUsed/>
    <w:rsid w:val="004B4D68"/>
    <w:rPr>
      <w:sz w:val="16"/>
      <w:szCs w:val="16"/>
    </w:rPr>
  </w:style>
  <w:style w:type="paragraph" w:styleId="Textodecomentrio">
    <w:name w:val="annotation text"/>
    <w:basedOn w:val="Normal"/>
    <w:link w:val="TextodecomentrioChar"/>
    <w:uiPriority w:val="99"/>
    <w:unhideWhenUsed/>
    <w:rsid w:val="004B4D68"/>
    <w:rPr>
      <w:sz w:val="20"/>
      <w:szCs w:val="20"/>
    </w:rPr>
  </w:style>
  <w:style w:type="character" w:customStyle="1" w:styleId="TextodecomentrioChar">
    <w:name w:val="Texto de comentário Char"/>
    <w:basedOn w:val="Fontepargpadro"/>
    <w:link w:val="Textodecomentrio"/>
    <w:uiPriority w:val="99"/>
    <w:rsid w:val="004B4D68"/>
    <w:rPr>
      <w:rFonts w:ascii="Times New Roman" w:eastAsia="ヒラギノ角ゴ Pro W3" w:hAnsi="Times New Roman" w:cs="Times New Roman"/>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4B4D68"/>
    <w:rPr>
      <w:b/>
      <w:bCs/>
    </w:rPr>
  </w:style>
  <w:style w:type="character" w:customStyle="1" w:styleId="AssuntodocomentrioChar">
    <w:name w:val="Assunto do comentário Char"/>
    <w:basedOn w:val="TextodecomentrioChar"/>
    <w:link w:val="Assuntodocomentrio"/>
    <w:uiPriority w:val="99"/>
    <w:semiHidden/>
    <w:rsid w:val="004B4D68"/>
    <w:rPr>
      <w:rFonts w:ascii="Times New Roman" w:eastAsia="ヒラギノ角ゴ Pro W3" w:hAnsi="Times New Roman" w:cs="Times New Roman"/>
      <w:b/>
      <w:bCs/>
      <w:color w:val="000000"/>
      <w:sz w:val="20"/>
      <w:szCs w:val="20"/>
    </w:rPr>
  </w:style>
  <w:style w:type="character" w:styleId="Nmerodelinha">
    <w:name w:val="line number"/>
    <w:basedOn w:val="Fontepargpadro"/>
    <w:uiPriority w:val="99"/>
    <w:semiHidden/>
    <w:unhideWhenUsed/>
    <w:rsid w:val="00D14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0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269C5-4D48-4EF6-888D-D6B2D70C2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26995</Words>
  <Characters>145778</Characters>
  <Application>Microsoft Office Word</Application>
  <DocSecurity>0</DocSecurity>
  <Lines>1214</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Macedo Cunha</dc:creator>
  <cp:keywords/>
  <dc:description/>
  <cp:lastModifiedBy>andre ferraz</cp:lastModifiedBy>
  <cp:revision>2</cp:revision>
  <cp:lastPrinted>2019-04-11T13:12:00Z</cp:lastPrinted>
  <dcterms:created xsi:type="dcterms:W3CDTF">2019-06-24T12:23:00Z</dcterms:created>
  <dcterms:modified xsi:type="dcterms:W3CDTF">2019-06-24T12:23:00Z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http://www.zotero.org/styles/matrix-biology</vt:lpwstr>
  </property>
  <property fmtid="{D5CDD505-2E9C-101B-9397-08002B2CF9AE}" pid="17" name="Mendeley Recent Style Name 7_1">
    <vt:lpwstr>Matrix Biology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http://www.zotero.org/styles/universidade-federal-do-espirito-santo-abnt</vt:lpwstr>
  </property>
  <property fmtid="{D5CDD505-2E9C-101B-9397-08002B2CF9AE}" pid="21" name="Mendeley Recent Style Name 9_1">
    <vt:lpwstr>Universidade Federal do Espírito Santo - ABNT (autoria completa) (Portuguese - Brazil)</vt:lpwstr>
  </property>
  <property fmtid="{D5CDD505-2E9C-101B-9397-08002B2CF9AE}" pid="22" name="Mendeley Document_1">
    <vt:lpwstr>True</vt:lpwstr>
  </property>
  <property fmtid="{D5CDD505-2E9C-101B-9397-08002B2CF9AE}" pid="23" name="Mendeley Citation Style_1">
    <vt:lpwstr>http://www.zotero.org/styles/matrix-biology</vt:lpwstr>
  </property>
  <property fmtid="{D5CDD505-2E9C-101B-9397-08002B2CF9AE}" pid="24" name="Mendeley Unique User Id_1">
    <vt:lpwstr>f0b40bb5-83bb-3321-bd7e-2a5941dc3d81</vt:lpwstr>
  </property>
</Properties>
</file>