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3023" w14:textId="77777777" w:rsidR="007E2D99" w:rsidRPr="000606CE" w:rsidRDefault="00814F94">
      <w:pPr>
        <w:pStyle w:val="Ttulo11"/>
        <w:outlineLvl w:val="9"/>
        <w:rPr>
          <w:rFonts w:ascii="TimesNewRomanPS-BoldMT" w:hAnsi="TimesNewRomanPS-BoldMT" w:cs="TimesNewRomanPS-BoldMT"/>
          <w:szCs w:val="24"/>
          <w:lang w:val="pt-BR"/>
        </w:rPr>
      </w:pPr>
      <w:bookmarkStart w:id="0" w:name="Secao_Sem_Titulo"/>
      <w:bookmarkStart w:id="1" w:name="_GoBack"/>
      <w:bookmarkEnd w:id="1"/>
      <w:r w:rsidRPr="000606CE">
        <w:rPr>
          <w:rFonts w:ascii="TimesNewRomanPS-BoldMT" w:hAnsi="TimesNewRomanPS-BoldMT" w:cs="TimesNewRomanPS-BoldMT"/>
          <w:szCs w:val="24"/>
          <w:lang w:val="pt-BR"/>
        </w:rPr>
        <w:t>APRESENTAÇ</w:t>
      </w:r>
      <w:bookmarkEnd w:id="0"/>
      <w:r w:rsidRPr="000606CE">
        <w:rPr>
          <w:rFonts w:ascii="TimesNewRomanPS-BoldMT" w:hAnsi="TimesNewRomanPS-BoldMT" w:cs="TimesNewRomanPS-BoldMT"/>
          <w:szCs w:val="24"/>
          <w:lang w:val="pt-BR"/>
        </w:rPr>
        <w:t>ÃO DE QUARENTA MINUTOS SOBRE FILIAÇÃO, CRIANÇA E VULNERABILIDADE</w:t>
      </w:r>
      <w:r>
        <w:rPr>
          <w:rFonts w:ascii="TimesNewRomanPS-BoldMT" w:hAnsi="TimesNewRomanPS-BoldMT" w:cs="TimesNewRomanPS-BoldMT"/>
          <w:szCs w:val="24"/>
          <w:vertAlign w:val="superscript"/>
        </w:rPr>
        <w:footnoteReference w:id="1"/>
      </w:r>
    </w:p>
    <w:p w14:paraId="045D893B" w14:textId="77777777" w:rsidR="007E2D99" w:rsidRPr="00BA68FD" w:rsidRDefault="00814F94">
      <w:pPr>
        <w:pStyle w:val="Autor"/>
        <w:rPr>
          <w:rFonts w:ascii="TimesNewRomanPSMT" w:hAnsi="TimesNewRomanPSMT" w:cs="TimesNewRomanPSMT"/>
          <w:sz w:val="28"/>
          <w:szCs w:val="28"/>
          <w:lang w:val="pt-BR"/>
        </w:rPr>
      </w:pPr>
      <w:r w:rsidRPr="00BA68FD">
        <w:rPr>
          <w:rFonts w:ascii="TimesNewRomanPSMT" w:hAnsi="TimesNewRomanPSMT" w:cs="TimesNewRomanPSMT"/>
          <w:sz w:val="28"/>
          <w:szCs w:val="28"/>
          <w:lang w:val="pt-BR"/>
        </w:rPr>
        <w:t xml:space="preserve">Giselda Maria Fernandes Novaes </w:t>
      </w:r>
      <w:proofErr w:type="spellStart"/>
      <w:r w:rsidRPr="00BA68FD">
        <w:rPr>
          <w:rFonts w:ascii="TimesNewRomanPSMT" w:hAnsi="TimesNewRomanPSMT" w:cs="TimesNewRomanPSMT"/>
          <w:sz w:val="28"/>
          <w:szCs w:val="28"/>
          <w:lang w:val="pt-BR"/>
        </w:rPr>
        <w:t>Hironaka</w:t>
      </w:r>
      <w:proofErr w:type="spellEnd"/>
      <w:r w:rsidRPr="00BA68FD">
        <w:rPr>
          <w:rFonts w:ascii="TimesNewRomanPSMT" w:hAnsi="TimesNewRomanPSMT" w:cs="TimesNewRomanPSMT"/>
          <w:sz w:val="28"/>
          <w:szCs w:val="28"/>
          <w:vertAlign w:val="superscript"/>
        </w:rPr>
        <w:footnoteReference w:id="2"/>
      </w:r>
    </w:p>
    <w:p w14:paraId="13666019" w14:textId="77777777" w:rsidR="007E2D99" w:rsidRPr="000606CE" w:rsidRDefault="00814F94">
      <w:pPr>
        <w:pStyle w:val="Ttulo11"/>
        <w:outlineLvl w:val="9"/>
        <w:rPr>
          <w:rFonts w:ascii="TimesNewRomanPS-BoldMT" w:hAnsi="TimesNewRomanPS-BoldMT" w:cs="TimesNewRomanPS-BoldMT"/>
          <w:szCs w:val="24"/>
          <w:lang w:val="pt-BR"/>
        </w:rPr>
      </w:pPr>
      <w:bookmarkStart w:id="2" w:name="Secao_Sem_Titulo-1"/>
      <w:r w:rsidRPr="000606CE">
        <w:rPr>
          <w:rFonts w:ascii="TimesNewRomanPS-BoldMT" w:hAnsi="TimesNewRomanPS-BoldMT" w:cs="TimesNewRomanPS-BoldMT"/>
          <w:szCs w:val="24"/>
          <w:lang w:val="pt-BR"/>
        </w:rPr>
        <w:t>Sumário</w:t>
      </w:r>
      <w:bookmarkEnd w:id="2"/>
    </w:p>
    <w:p w14:paraId="59815361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  <w:lang w:val="pt-BR"/>
        </w:rPr>
      </w:pPr>
      <w:hyperlink w:anchor="Introducao" w:history="1">
        <w:r w:rsidR="00814F94" w:rsidRPr="00BA68FD">
          <w:rPr>
            <w:rFonts w:ascii="Bookman Old Style" w:hAnsi="Bookman Old Style" w:cs="TimesNewRomanPSMT"/>
            <w:szCs w:val="24"/>
            <w:lang w:val="pt-BR"/>
          </w:rPr>
          <w:t>1. Introdução</w:t>
        </w:r>
      </w:hyperlink>
      <w:r w:rsidR="00814F94" w:rsidRPr="00BA68FD">
        <w:rPr>
          <w:rFonts w:ascii="Bookman Old Style" w:hAnsi="Bookman Old Style" w:cs="TimesNewRomanPSMT"/>
          <w:szCs w:val="24"/>
          <w:lang w:val="pt-BR"/>
        </w:rPr>
        <w:tab/>
      </w:r>
    </w:p>
    <w:p w14:paraId="5168A833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  <w:lang w:val="pt-BR"/>
        </w:rPr>
      </w:pPr>
      <w:hyperlink w:anchor="Filiacao" w:history="1">
        <w:r w:rsidR="00814F94" w:rsidRPr="00BA68FD">
          <w:rPr>
            <w:rFonts w:ascii="Bookman Old Style" w:hAnsi="Bookman Old Style" w:cs="TimesNewRomanPSMT"/>
            <w:szCs w:val="24"/>
            <w:lang w:val="pt-BR"/>
          </w:rPr>
          <w:t>2. Filiação</w:t>
        </w:r>
      </w:hyperlink>
      <w:r w:rsidR="00814F94" w:rsidRPr="00BA68FD">
        <w:rPr>
          <w:rFonts w:ascii="Bookman Old Style" w:hAnsi="Bookman Old Style" w:cs="TimesNewRomanPSMT"/>
          <w:szCs w:val="24"/>
          <w:lang w:val="pt-BR"/>
        </w:rPr>
        <w:tab/>
      </w:r>
    </w:p>
    <w:p w14:paraId="37097EF3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  <w:lang w:val="pt-BR"/>
        </w:rPr>
      </w:pPr>
      <w:hyperlink w:anchor="Desbiologizacao_da_paternidade" w:history="1">
        <w:r w:rsidR="00814F94" w:rsidRPr="00BA68FD">
          <w:rPr>
            <w:rFonts w:ascii="Bookman Old Style" w:hAnsi="Bookman Old Style" w:cs="TimesNewRomanPSMT"/>
            <w:szCs w:val="24"/>
            <w:lang w:val="pt-BR"/>
          </w:rPr>
          <w:t xml:space="preserve">3.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  <w:lang w:val="pt-BR"/>
          </w:rPr>
          <w:t>Desbiologização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  <w:lang w:val="pt-BR"/>
          </w:rPr>
          <w:t xml:space="preserve"> da paternidade</w:t>
        </w:r>
      </w:hyperlink>
      <w:r w:rsidR="00814F94" w:rsidRPr="00BA68FD">
        <w:rPr>
          <w:rFonts w:ascii="Bookman Old Style" w:hAnsi="Bookman Old Style" w:cs="TimesNewRomanPSMT"/>
          <w:szCs w:val="24"/>
          <w:lang w:val="pt-BR"/>
        </w:rPr>
        <w:tab/>
      </w:r>
    </w:p>
    <w:p w14:paraId="025802A1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Tipos_de_filiacao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4.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Tipos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de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filiação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05697F82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Filiacao_consanguinea_e_filiac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5.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Filiação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consanguínea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e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filiação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por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adoção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3B4D475D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Reproducao_assistida_heterolog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6.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Reprodução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assistida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heteróloga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1EB7A0E8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Filiacao_socioafetiva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7.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Filiação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socioafetiva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05A49E94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Crianca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8.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Criança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17645362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Dependencia_da_crianca_humana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9.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Dependência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da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criança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humana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7EDF923E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Vulnerabilidade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10.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Vulnerabilidade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61FA44D7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Poder_familiar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11.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Poder</w:t>
        </w:r>
        <w:proofErr w:type="spellEnd"/>
        <w:r w:rsidR="00814F94" w:rsidRPr="00BA68FD">
          <w:rPr>
            <w:rFonts w:ascii="Bookman Old Style" w:hAnsi="Bookman Old Style" w:cs="TimesNewRomanPSMT"/>
            <w:szCs w:val="24"/>
          </w:rPr>
          <w:t xml:space="preserve"> familiar</w:t>
        </w:r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592FD0BC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Multiparentalidade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12.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Multiparentalidade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1A6793F7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Conclusao" w:history="1">
        <w:r w:rsidR="00814F94" w:rsidRPr="00BA68FD">
          <w:rPr>
            <w:rFonts w:ascii="Bookman Old Style" w:hAnsi="Bookman Old Style" w:cs="TimesNewRomanPSMT"/>
            <w:szCs w:val="24"/>
          </w:rPr>
          <w:t xml:space="preserve">13. </w:t>
        </w:r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Conclusão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12A43224" w14:textId="77777777" w:rsidR="007E2D99" w:rsidRPr="00BA68FD" w:rsidRDefault="008736CB" w:rsidP="000606CE">
      <w:pPr>
        <w:spacing w:line="240" w:lineRule="auto"/>
        <w:rPr>
          <w:rFonts w:ascii="Bookman Old Style" w:hAnsi="Bookman Old Style" w:cs="TimesNewRomanPSMT"/>
          <w:szCs w:val="24"/>
        </w:rPr>
      </w:pPr>
      <w:hyperlink w:anchor="Referencias" w:history="1">
        <w:proofErr w:type="spellStart"/>
        <w:r w:rsidR="00814F94" w:rsidRPr="00BA68FD">
          <w:rPr>
            <w:rFonts w:ascii="Bookman Old Style" w:hAnsi="Bookman Old Style" w:cs="TimesNewRomanPSMT"/>
            <w:szCs w:val="24"/>
          </w:rPr>
          <w:t>Referências</w:t>
        </w:r>
        <w:proofErr w:type="spellEnd"/>
      </w:hyperlink>
      <w:r w:rsidR="00814F94" w:rsidRPr="00BA68FD">
        <w:rPr>
          <w:rFonts w:ascii="Bookman Old Style" w:hAnsi="Bookman Old Style" w:cs="TimesNewRomanPSMT"/>
          <w:szCs w:val="24"/>
        </w:rPr>
        <w:tab/>
      </w:r>
    </w:p>
    <w:p w14:paraId="40244686" w14:textId="77777777" w:rsidR="00880DAB" w:rsidRDefault="00880DAB">
      <w:pPr>
        <w:pStyle w:val="Ttulo11"/>
        <w:outlineLvl w:val="9"/>
        <w:rPr>
          <w:rFonts w:ascii="TimesNewRomanPS-BoldMT" w:hAnsi="TimesNewRomanPS-BoldMT" w:cs="TimesNewRomanPS-BoldMT"/>
          <w:szCs w:val="24"/>
        </w:rPr>
      </w:pPr>
    </w:p>
    <w:p w14:paraId="4AB26C67" w14:textId="77777777" w:rsidR="00C4188F" w:rsidRDefault="00C4188F">
      <w:pPr>
        <w:pStyle w:val="Ttulo11"/>
        <w:outlineLvl w:val="9"/>
        <w:rPr>
          <w:rFonts w:ascii="TimesNewRomanPS-BoldMT" w:hAnsi="TimesNewRomanPS-BoldMT" w:cs="TimesNewRomanPS-BoldMT"/>
          <w:szCs w:val="24"/>
        </w:rPr>
      </w:pPr>
    </w:p>
    <w:p w14:paraId="39F59092" w14:textId="77777777" w:rsidR="007E2D99" w:rsidRDefault="00814F94" w:rsidP="00880DAB">
      <w:pPr>
        <w:pStyle w:val="Ttulo11"/>
        <w:numPr>
          <w:ilvl w:val="0"/>
          <w:numId w:val="1"/>
        </w:numPr>
        <w:outlineLvl w:val="9"/>
        <w:rPr>
          <w:rFonts w:ascii="TimesNewRomanPS-BoldMT" w:hAnsi="TimesNewRomanPS-BoldMT" w:cs="TimesNewRomanPS-BoldMT"/>
          <w:szCs w:val="24"/>
        </w:rPr>
      </w:pPr>
      <w:bookmarkStart w:id="3" w:name="Introducao"/>
      <w:proofErr w:type="spellStart"/>
      <w:r>
        <w:rPr>
          <w:rFonts w:ascii="TimesNewRomanPS-BoldMT" w:hAnsi="TimesNewRomanPS-BoldMT" w:cs="TimesNewRomanPS-BoldMT"/>
          <w:szCs w:val="24"/>
        </w:rPr>
        <w:lastRenderedPageBreak/>
        <w:t>Introdução</w:t>
      </w:r>
      <w:bookmarkEnd w:id="3"/>
      <w:proofErr w:type="spellEnd"/>
    </w:p>
    <w:p w14:paraId="1CB8131F" w14:textId="77777777" w:rsidR="00880DAB" w:rsidRPr="00880DAB" w:rsidRDefault="00880DAB" w:rsidP="00880DAB">
      <w:pPr>
        <w:pStyle w:val="Ttulo11"/>
        <w:ind w:firstLine="0"/>
        <w:jc w:val="both"/>
        <w:outlineLvl w:val="9"/>
        <w:rPr>
          <w:rFonts w:ascii="Bookman Old Style" w:hAnsi="Bookman Old Style" w:cs="TimesNewRomanPS-BoldMT"/>
          <w:b w:val="0"/>
          <w:sz w:val="24"/>
          <w:szCs w:val="24"/>
        </w:rPr>
      </w:pPr>
      <w:r>
        <w:rPr>
          <w:rFonts w:ascii="Bookman Old Style" w:hAnsi="Bookman Old Style" w:cs="TimesNewRomanPS-BoldMT"/>
          <w:b w:val="0"/>
          <w:sz w:val="24"/>
          <w:szCs w:val="24"/>
        </w:rPr>
        <w:tab/>
        <w:t xml:space="preserve">Na aula de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hoje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analisaremos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fenômeno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jurídico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da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parentalidade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paterno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-filial,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em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suas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várias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tipificações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, as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clássicas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e as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mais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contemporaneas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. 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Falaremos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da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filiação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biológica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, da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filiação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adotiva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, da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filiação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socioafetiva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e da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filiação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por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reprodução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assitida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NewRomanPS-BoldMT"/>
          <w:b w:val="0"/>
          <w:sz w:val="24"/>
          <w:szCs w:val="24"/>
        </w:rPr>
        <w:t>heteróloga</w:t>
      </w:r>
      <w:proofErr w:type="spellEnd"/>
      <w:r>
        <w:rPr>
          <w:rFonts w:ascii="Bookman Old Style" w:hAnsi="Bookman Old Style" w:cs="TimesNewRomanPS-BoldMT"/>
          <w:b w:val="0"/>
          <w:sz w:val="24"/>
          <w:szCs w:val="24"/>
        </w:rPr>
        <w:t>.</w:t>
      </w:r>
    </w:p>
    <w:p w14:paraId="5CC25D2F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t xml:space="preserve">2. </w:t>
      </w:r>
      <w:bookmarkStart w:id="4" w:name="Filiacao"/>
      <w:proofErr w:type="spellStart"/>
      <w:r>
        <w:rPr>
          <w:rFonts w:ascii="TimesNewRomanPS-BoldMT" w:hAnsi="TimesNewRomanPS-BoldMT" w:cs="TimesNewRomanPS-BoldMT"/>
          <w:szCs w:val="24"/>
        </w:rPr>
        <w:t>Filiação</w:t>
      </w:r>
      <w:bookmarkEnd w:id="4"/>
      <w:proofErr w:type="spellEnd"/>
    </w:p>
    <w:p w14:paraId="277DB482" w14:textId="77777777" w:rsidR="007E2D99" w:rsidRPr="00BA68FD" w:rsidRDefault="00814F94">
      <w:pPr>
        <w:rPr>
          <w:rFonts w:ascii="Bookman Old Style" w:hAnsi="Bookman Old Style" w:cs="TimesNewRomanPSMT"/>
          <w:szCs w:val="24"/>
        </w:rPr>
      </w:pPr>
      <w:r w:rsidRPr="00BA68FD">
        <w:rPr>
          <w:rFonts w:ascii="Bookman Old Style" w:hAnsi="Bookman Old Style" w:cs="TimesNewRomanPSMT"/>
          <w:szCs w:val="24"/>
        </w:rPr>
        <w:t xml:space="preserve">Como se </w:t>
      </w:r>
      <w:proofErr w:type="spellStart"/>
      <w:r w:rsidRPr="00BA68FD">
        <w:rPr>
          <w:rFonts w:ascii="Bookman Old Style" w:hAnsi="Bookman Old Style" w:cs="TimesNewRomanPSMT"/>
          <w:szCs w:val="24"/>
        </w:rPr>
        <w:t>sabe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, a </w:t>
      </w:r>
      <w:proofErr w:type="spellStart"/>
      <w:r w:rsidRPr="00BA68FD">
        <w:rPr>
          <w:rFonts w:ascii="Bookman Old Style" w:hAnsi="Bookman Old Style" w:cs="TimesNewRomanPSMT"/>
          <w:szCs w:val="24"/>
        </w:rPr>
        <w:t>normatividade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está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prevista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no Código Civil de 2002, entre </w:t>
      </w:r>
      <w:proofErr w:type="spellStart"/>
      <w:r w:rsidRPr="00BA68FD">
        <w:rPr>
          <w:rFonts w:ascii="Bookman Old Style" w:hAnsi="Bookman Old Style" w:cs="TimesNewRomanPSMT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artigos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1.596 e 1.629, </w:t>
      </w:r>
      <w:proofErr w:type="spellStart"/>
      <w:r w:rsidRPr="00BA68FD">
        <w:rPr>
          <w:rFonts w:ascii="Bookman Old Style" w:hAnsi="Bookman Old Style" w:cs="TimesNewRomanPSMT"/>
          <w:szCs w:val="24"/>
        </w:rPr>
        <w:t>englobando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parte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geral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szCs w:val="24"/>
        </w:rPr>
        <w:t>depois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szCs w:val="24"/>
        </w:rPr>
        <w:t>reconhecimento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szCs w:val="24"/>
        </w:rPr>
        <w:t>filhos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e </w:t>
      </w:r>
      <w:proofErr w:type="gramStart"/>
      <w:r w:rsidRPr="00BA68FD">
        <w:rPr>
          <w:rFonts w:ascii="Bookman Old Style" w:hAnsi="Bookman Old Style" w:cs="TimesNewRomanPSMT"/>
          <w:szCs w:val="24"/>
        </w:rPr>
        <w:t>a</w:t>
      </w:r>
      <w:proofErr w:type="gram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szCs w:val="24"/>
        </w:rPr>
        <w:t>.</w:t>
      </w:r>
    </w:p>
    <w:p w14:paraId="1C82B04D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szCs w:val="24"/>
        </w:rPr>
        <w:t>palavra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szCs w:val="24"/>
        </w:rPr>
        <w:t>etimologicamente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deriva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szCs w:val="24"/>
        </w:rPr>
        <w:t>latim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szCs w:val="24"/>
        </w:rPr>
        <w:t>filiatio</w:t>
      </w:r>
      <w:proofErr w:type="spellEnd"/>
      <w:r w:rsidRPr="00BA68FD">
        <w:rPr>
          <w:rFonts w:ascii="Bookman Old Style" w:hAnsi="Bookman Old Style" w:cs="TimesNewRomanPS-ItalicMT"/>
          <w:i/>
          <w:szCs w:val="24"/>
        </w:rPr>
        <w:t xml:space="preserve">, </w:t>
      </w:r>
      <w:r w:rsidRPr="00BA68FD">
        <w:rPr>
          <w:rFonts w:ascii="Bookman Old Style" w:hAnsi="Bookman Old Style" w:cs="TimesNewRomanPSMT"/>
          <w:szCs w:val="24"/>
        </w:rPr>
        <w:t xml:space="preserve">e se </w:t>
      </w:r>
      <w:proofErr w:type="spellStart"/>
      <w:r w:rsidRPr="00BA68FD">
        <w:rPr>
          <w:rFonts w:ascii="Bookman Old Style" w:hAnsi="Bookman Old Style" w:cs="TimesNewRomanPSMT"/>
          <w:szCs w:val="24"/>
        </w:rPr>
        <w:t>refere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szCs w:val="24"/>
        </w:rPr>
        <w:t>procedência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, enlace, </w:t>
      </w:r>
      <w:proofErr w:type="spellStart"/>
      <w:r w:rsidRPr="00BA68FD">
        <w:rPr>
          <w:rFonts w:ascii="Bookman Old Style" w:hAnsi="Bookman Old Style" w:cs="TimesNewRomanPSMT"/>
          <w:szCs w:val="24"/>
        </w:rPr>
        <w:t>vínculo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hereditário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. No Direito, </w:t>
      </w:r>
      <w:proofErr w:type="spellStart"/>
      <w:r w:rsidRPr="00BA68FD">
        <w:rPr>
          <w:rFonts w:ascii="Bookman Old Style" w:hAnsi="Bookman Old Style" w:cs="TimesNewRomanPSMT"/>
          <w:szCs w:val="24"/>
        </w:rPr>
        <w:t>ensina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Paulo </w:t>
      </w:r>
      <w:proofErr w:type="spellStart"/>
      <w:r w:rsidRPr="00BA68FD">
        <w:rPr>
          <w:rFonts w:ascii="Bookman Old Style" w:hAnsi="Bookman Old Style" w:cs="TimesNewRomanPSMT"/>
          <w:szCs w:val="24"/>
        </w:rPr>
        <w:t>Lôbo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que “</w:t>
      </w:r>
      <w:proofErr w:type="spellStart"/>
      <w:r w:rsidRPr="00BA68FD">
        <w:rPr>
          <w:rFonts w:ascii="Bookman Old Style" w:hAnsi="Bookman Old Style" w:cs="TimesNewRomanPSMT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szCs w:val="24"/>
        </w:rPr>
        <w:t>conceito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relacional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; é a </w:t>
      </w:r>
      <w:proofErr w:type="spellStart"/>
      <w:r w:rsidRPr="00BA68FD">
        <w:rPr>
          <w:rFonts w:ascii="Bookman Old Style" w:hAnsi="Bookman Old Style" w:cs="TimesNewRomanPSMT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szCs w:val="24"/>
        </w:rPr>
        <w:t>parentesco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que se </w:t>
      </w:r>
      <w:proofErr w:type="spellStart"/>
      <w:r w:rsidRPr="00BA68FD">
        <w:rPr>
          <w:rFonts w:ascii="Bookman Old Style" w:hAnsi="Bookman Old Style" w:cs="TimesNewRomanPSMT"/>
          <w:szCs w:val="24"/>
        </w:rPr>
        <w:t>estabelece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entre </w:t>
      </w:r>
      <w:proofErr w:type="spellStart"/>
      <w:r w:rsidRPr="00BA68FD">
        <w:rPr>
          <w:rFonts w:ascii="Bookman Old Style" w:hAnsi="Bookman Old Style" w:cs="TimesNewRomanPSMT"/>
          <w:szCs w:val="24"/>
        </w:rPr>
        <w:t>duas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pessoas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MT"/>
          <w:szCs w:val="24"/>
        </w:rPr>
        <w:t>quais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nascida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szCs w:val="24"/>
        </w:rPr>
        <w:t>outra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adotada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vinculada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mediante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posse de </w:t>
      </w:r>
      <w:proofErr w:type="spellStart"/>
      <w:r w:rsidRPr="00BA68FD">
        <w:rPr>
          <w:rFonts w:ascii="Bookman Old Style" w:hAnsi="Bookman Old Style" w:cs="TimesNewRomanPSMT"/>
          <w:szCs w:val="24"/>
        </w:rPr>
        <w:t>estado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szCs w:val="24"/>
        </w:rPr>
        <w:t>concepção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szCs w:val="24"/>
        </w:rPr>
        <w:t>derivada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szCs w:val="24"/>
        </w:rPr>
        <w:t xml:space="preserve"> artificial </w:t>
      </w:r>
      <w:proofErr w:type="spellStart"/>
      <w:r w:rsidRPr="00BA68FD">
        <w:rPr>
          <w:rFonts w:ascii="Bookman Old Style" w:hAnsi="Bookman Old Style" w:cs="TimesNewRomanPSMT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szCs w:val="24"/>
        </w:rPr>
        <w:t>”</w:t>
      </w:r>
      <w:r w:rsidRPr="00BA68FD">
        <w:rPr>
          <w:rFonts w:ascii="Bookman Old Style" w:hAnsi="Bookman Old Style" w:cs="TimesNewRomanPSMT"/>
          <w:szCs w:val="24"/>
          <w:vertAlign w:val="superscript"/>
        </w:rPr>
        <w:footnoteReference w:id="3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5CB241FA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3. </w:t>
      </w:r>
      <w:bookmarkStart w:id="5" w:name="Desbiologizacao_da_paternidade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Desbiologização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da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paternidade</w:t>
      </w:r>
      <w:bookmarkEnd w:id="5"/>
      <w:proofErr w:type="spellEnd"/>
    </w:p>
    <w:p w14:paraId="3D9A0304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conceito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alinhado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nossos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tempos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porque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revela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fenômeno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desbiologização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>,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anunciado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70 por João Baptista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Villela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naquele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tempo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afirmava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de forma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profética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“a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natureza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mas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cultural.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Embora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coabitação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sexual, de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resultar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gravidez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seja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responsabilidade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civil,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enquanto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só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nasce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decisão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espontânea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Tanto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registro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histórico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tendencial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reside antes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serviço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amor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procriação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transformações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passou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família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deixando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ser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caráter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econômico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social e religioso para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afirmar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fundamentalmente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grupo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afetividade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companheirismo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lastRenderedPageBreak/>
        <w:t>imprimiram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considerável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reforço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esvaziamento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biológico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4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58727935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4. </w:t>
      </w:r>
      <w:bookmarkStart w:id="6" w:name="Tipos_de_filiacao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Tipos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de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filiação</w:t>
      </w:r>
      <w:bookmarkEnd w:id="6"/>
      <w:proofErr w:type="spellEnd"/>
    </w:p>
    <w:p w14:paraId="3AA0CE68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atenção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importante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moderna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existem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quatro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tipos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sistema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civil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brasileiro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(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consanguínea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(ii)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(iii)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(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adquirida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pela posse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); e (iv)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oriunda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reprodução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assistida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461B31B0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5. </w:t>
      </w:r>
      <w:bookmarkStart w:id="7" w:name="Filiacao_consanguinea_e_filiac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Filiação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consanguínea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e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filiação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por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adoção</w:t>
      </w:r>
      <w:bookmarkEnd w:id="7"/>
      <w:proofErr w:type="spellEnd"/>
    </w:p>
    <w:p w14:paraId="1C4E18D6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consanguíneas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previstas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227, §6º,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Constituição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Federal de 1988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5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 e 1.596 do Código Civil de 2002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6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primeira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–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consanguínea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–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origina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gerada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partir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seus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e que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gramStart"/>
      <w:r w:rsidRPr="00BA68FD">
        <w:rPr>
          <w:rFonts w:ascii="Bookman Old Style" w:hAnsi="Bookman Old Style" w:cs="TimesNewRomanPSMT"/>
          <w:kern w:val="1"/>
          <w:szCs w:val="24"/>
        </w:rPr>
        <w:t>a</w:t>
      </w:r>
      <w:proofErr w:type="gram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vínculo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filial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consanguíneo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7B1B92CB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tipo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origina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partir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é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alguém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assume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de forma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permanente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irrevogável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compartilha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vínculo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filial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genético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forma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39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seguintes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Estatuto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Adolescente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7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medida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excepcional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utilizada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lastRenderedPageBreak/>
        <w:t>manter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dentro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família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natural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extensa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8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realizada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atribuição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condição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deveres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prole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consanguínea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inclusive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sucessórios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9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6BDB79C4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6. </w:t>
      </w:r>
      <w:bookmarkStart w:id="8" w:name="Reproducao_assistida_heterolog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Reprodução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assistida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heteróloga</w:t>
      </w:r>
      <w:bookmarkEnd w:id="8"/>
      <w:proofErr w:type="spellEnd"/>
    </w:p>
    <w:p w14:paraId="5DDB5680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Seguindo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-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 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oriunda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reprodução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assistida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procedimento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qual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promove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fecundação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auxílio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médico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gameta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feminino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masculino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ambos,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originários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casal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procedimento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realizado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perante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eventual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considerada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Embora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encaixe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qualquer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anteriores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também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situação</w:t>
      </w:r>
      <w:proofErr w:type="spellEnd"/>
      <w:r w:rsidR="00547624">
        <w:rPr>
          <w:rFonts w:ascii="Bookman Old Style" w:hAnsi="Bookman Old Style" w:cs="TimesNewRomanPSMT"/>
          <w:kern w:val="1"/>
          <w:szCs w:val="24"/>
        </w:rPr>
        <w:t xml:space="preserve"> que</w:t>
      </w:r>
      <w:r w:rsidR="00A85BB7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A85BB7">
        <w:rPr>
          <w:rFonts w:ascii="Bookman Old Style" w:hAnsi="Bookman Old Style" w:cs="TimesNewRomanPSMT"/>
          <w:kern w:val="1"/>
          <w:szCs w:val="24"/>
        </w:rPr>
        <w:t>traduz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legislação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deixar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aberto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possibilidades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="00A85BB7">
        <w:rPr>
          <w:rFonts w:ascii="Bookman Old Style" w:hAnsi="Bookman Old Style" w:cs="TimesNewRomanPS-ItalicMT"/>
          <w:i/>
          <w:kern w:val="1"/>
          <w:szCs w:val="24"/>
        </w:rPr>
        <w:t>tipos</w:t>
      </w:r>
      <w:proofErr w:type="spellEnd"/>
      <w:r w:rsidR="00A85BB7">
        <w:rPr>
          <w:rFonts w:ascii="Bookman Old Style" w:hAnsi="Bookman Old Style" w:cs="TimesNewRomanPS-ItalicMT"/>
          <w:i/>
          <w:kern w:val="1"/>
          <w:szCs w:val="24"/>
        </w:rPr>
        <w:t xml:space="preserve"> de </w:t>
      </w:r>
      <w:proofErr w:type="spellStart"/>
      <w:r w:rsidR="00A85BB7">
        <w:rPr>
          <w:rFonts w:ascii="Bookman Old Style" w:hAnsi="Bookman Old Style" w:cs="TimesNewRomanPS-ItalicMT"/>
          <w:i/>
          <w:kern w:val="1"/>
          <w:szCs w:val="24"/>
        </w:rPr>
        <w:t>filiação</w:t>
      </w:r>
      <w:proofErr w:type="spellEnd"/>
      <w:r w:rsidR="00A85BB7">
        <w:rPr>
          <w:rFonts w:ascii="Bookman Old Style" w:hAnsi="Bookman Old Style" w:cs="TimesNewRomanPS-ItalicMT"/>
          <w:i/>
          <w:kern w:val="1"/>
          <w:szCs w:val="24"/>
        </w:rPr>
        <w:t>,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ver</w:t>
      </w:r>
      <w:r w:rsidR="00A85BB7">
        <w:rPr>
          <w:rFonts w:ascii="Bookman Old Style" w:hAnsi="Bookman Old Style" w:cs="TimesNewRomanPSMT"/>
          <w:kern w:val="1"/>
          <w:szCs w:val="24"/>
        </w:rPr>
        <w:t>emos</w:t>
      </w:r>
      <w:proofErr w:type="spellEnd"/>
      <w:r w:rsidR="00A85BB7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A85BB7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="00A85BB7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A85BB7">
        <w:rPr>
          <w:rFonts w:ascii="Bookman Old Style" w:hAnsi="Bookman Old Style" w:cs="TimesNewRomanPSMT"/>
          <w:kern w:val="1"/>
          <w:szCs w:val="24"/>
        </w:rPr>
        <w:t>detidamente</w:t>
      </w:r>
      <w:proofErr w:type="spellEnd"/>
      <w:r w:rsidR="00A85BB7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="00A85BB7">
        <w:rPr>
          <w:rFonts w:ascii="Bookman Old Style" w:hAnsi="Bookman Old Style" w:cs="TimesNewRomanPSMT"/>
          <w:kern w:val="1"/>
          <w:szCs w:val="24"/>
        </w:rPr>
        <w:t>seguir</w:t>
      </w:r>
      <w:proofErr w:type="spellEnd"/>
      <w:r w:rsidR="00A85BB7">
        <w:rPr>
          <w:rFonts w:ascii="Bookman Old Style" w:hAnsi="Bookman Old Style" w:cs="TimesNewRomanPSMT"/>
          <w:kern w:val="1"/>
          <w:szCs w:val="24"/>
        </w:rPr>
        <w:t xml:space="preserve">. E </w:t>
      </w:r>
      <w:proofErr w:type="spellStart"/>
      <w:r w:rsidR="00A85BB7">
        <w:rPr>
          <w:rFonts w:ascii="Bookman Old Style" w:hAnsi="Bookman Old Style" w:cs="TimesNewRomanPSMT"/>
          <w:kern w:val="1"/>
          <w:szCs w:val="24"/>
        </w:rPr>
        <w:t>também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pela</w:t>
      </w:r>
      <w:r w:rsidR="00A85BB7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A85BB7">
        <w:rPr>
          <w:rFonts w:ascii="Bookman Old Style" w:hAnsi="Bookman Old Style" w:cs="TimesNewRomanPSMT"/>
          <w:kern w:val="1"/>
          <w:szCs w:val="24"/>
        </w:rPr>
        <w:t>consideração</w:t>
      </w:r>
      <w:proofErr w:type="spellEnd"/>
      <w:r w:rsidR="00A85BB7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="00A85BB7">
        <w:rPr>
          <w:rFonts w:ascii="Bookman Old Style" w:hAnsi="Bookman Old Style" w:cs="TimesNewRomanPSMT"/>
          <w:kern w:val="1"/>
          <w:szCs w:val="24"/>
        </w:rPr>
        <w:t>circunstância</w:t>
      </w:r>
      <w:proofErr w:type="spellEnd"/>
      <w:r w:rsidR="00A85BB7">
        <w:rPr>
          <w:rFonts w:ascii="Bookman Old Style" w:hAnsi="Bookman Old Style" w:cs="TimesNewRomanPSMT"/>
          <w:kern w:val="1"/>
          <w:szCs w:val="24"/>
        </w:rPr>
        <w:t xml:space="preserve"> –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bastante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óbvia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– de que,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importa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forma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com a qual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casal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gerou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prole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geradas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partir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intenção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comum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casal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Essa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intenção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deles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prática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inequívocos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sérios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sentido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confirmam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gramStart"/>
      <w:r w:rsidRPr="00BA68FD">
        <w:rPr>
          <w:rFonts w:ascii="Bookman Old Style" w:hAnsi="Bookman Old Style" w:cs="TimesNewRomanPSMT"/>
          <w:kern w:val="1"/>
          <w:szCs w:val="24"/>
        </w:rPr>
        <w:t>a</w:t>
      </w:r>
      <w:proofErr w:type="gram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intenção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casal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envolvem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normalmente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elevado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dispêndio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recursos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emocionais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temporais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financeiros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envolvidos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429267E8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7. </w:t>
      </w:r>
      <w:bookmarkStart w:id="9" w:name="Filiacao_socioafetiva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Filiação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socioafetiva</w:t>
      </w:r>
      <w:bookmarkEnd w:id="9"/>
      <w:proofErr w:type="spellEnd"/>
    </w:p>
    <w:p w14:paraId="05A90F58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Finalmente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extraída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através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inteligência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princípio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dignidade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humana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presente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art. 1º,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inc.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III, da CF/88;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regra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responsável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prevista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art. 229 da CF/88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0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;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também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regra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qual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origens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lastRenderedPageBreak/>
        <w:t>outras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consanguinidade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1.593 do Código Civil,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determina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“o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parentesco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natural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civil,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conforme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resulte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consangüinidade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1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E,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sabe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afeto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é um valor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reconhecidamente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protegido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ordenamento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afeto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geram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insumo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Direito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2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;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matéria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prima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fenômeno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</w:p>
    <w:p w14:paraId="41BE5133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a posse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Como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Pablo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Stolze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Gagliano e Rodolfo Pamplona Filho, “o outro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moeda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figura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posse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exteriorizando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-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 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convivência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familiar 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afetividade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admite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reconhecimento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fenômeno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visto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perspectiva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É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famoso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‘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’,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cuja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formalizada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mas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comportamento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família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integra-o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biológico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fosse”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3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3D3DEE24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evidencia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coisas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apto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gerar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Supremo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Tribunal Federal, “a posse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consequentemente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vínculo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parental”,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ocorreria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“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favor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daquele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[que]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utilizasse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nome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família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(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nominatio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), fosse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(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tractatio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gozasse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reconhecimento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condição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descendente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pela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comunidade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(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reputatio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)”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4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0BE5A20A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Ora,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linha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raciocínio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lastRenderedPageBreak/>
        <w:t>mesma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social que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transformou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pois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elevado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interesse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humano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existem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normas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mencionadas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acima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cujo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suporte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fático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incluir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Luiz Edson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Fachin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“A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verdade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sociológica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constrói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revelando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apenas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descendência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mas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comportamento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expende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cuidados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carinho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tratamento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público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intimidade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lar,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afeto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verdadeiramente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paternal,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construindo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vínculo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extrapola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laço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biológico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compondo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base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5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03860DA3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Neste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lembrar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também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palavras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Zeno Veloso,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escreveu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seguinte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“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acolhe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protege,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educa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orienta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repreende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veste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alimenta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Pai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mas,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dúvida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 O ‘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’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posse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‘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’.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nesta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sociológica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Direito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enxergar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socorrer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O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lugar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deveres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com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observado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que for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melhor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interesses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6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</w:p>
    <w:p w14:paraId="48C5DBF0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Como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perceber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relevância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as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crianças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é flagrante.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Justamente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vulneráveis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existem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vários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tipos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de modo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lhes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proteção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observados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seus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interesses.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refletirá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adiante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reconhecimento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multiparentalidade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Porém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antes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averiguar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detalhes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que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norma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civil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entende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“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” e o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significa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“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”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contexto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ordenamento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brasileiro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69936917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8. </w:t>
      </w:r>
      <w:bookmarkStart w:id="10" w:name="Crianca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Criança</w:t>
      </w:r>
      <w:bookmarkEnd w:id="10"/>
      <w:proofErr w:type="spellEnd"/>
    </w:p>
    <w:p w14:paraId="57338E91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Brasil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possui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conceito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legalmente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determinado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Estatuto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Adolescente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adotou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critério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etário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determinar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lastRenderedPageBreak/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2º: “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considera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efeitos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Lei,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até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doze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incompletos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adolescente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aquela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entre doze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dezoito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7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Embora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</w:t>
      </w:r>
      <w:r w:rsidR="005C0476">
        <w:rPr>
          <w:rFonts w:ascii="Bookman Old Style" w:hAnsi="Bookman Old Style" w:cs="TimesNewRomanPSMT"/>
          <w:kern w:val="1"/>
          <w:szCs w:val="24"/>
        </w:rPr>
        <w:t xml:space="preserve"> lei </w:t>
      </w:r>
      <w:proofErr w:type="spellStart"/>
      <w:r w:rsidR="005C0476">
        <w:rPr>
          <w:rFonts w:ascii="Bookman Old Style" w:hAnsi="Bookman Old Style" w:cs="TimesNewRomanPSMT"/>
          <w:kern w:val="1"/>
          <w:szCs w:val="24"/>
        </w:rPr>
        <w:t>faça</w:t>
      </w:r>
      <w:proofErr w:type="spellEnd"/>
      <w:r w:rsidR="005C0476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5C0476">
        <w:rPr>
          <w:rFonts w:ascii="Bookman Old Style" w:hAnsi="Bookman Old Style" w:cs="TimesNewRomanPSMT"/>
          <w:kern w:val="1"/>
          <w:szCs w:val="24"/>
        </w:rPr>
        <w:t>menção</w:t>
      </w:r>
      <w:proofErr w:type="spellEnd"/>
      <w:r w:rsidR="005C0476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5C0476">
        <w:rPr>
          <w:rFonts w:ascii="Bookman Old Style" w:hAnsi="Bookman Old Style" w:cs="TimesNewRomanPSMT"/>
          <w:kern w:val="1"/>
          <w:szCs w:val="24"/>
        </w:rPr>
        <w:t>expressa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critério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específico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aquele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diploma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normativo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certo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que, via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regra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critério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utilizado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aplicação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normas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presentes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diplomas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diversos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ausência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regra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específica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circunstância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exija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entendimento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diferente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aplicação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célebre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teoria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diálogo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fontes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–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desenvolvida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alemão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Erik Jayme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difundida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Brasil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Cláudia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Lima Marques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8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 –,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qual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diversas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normativas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conversam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entre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colmatam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às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6FF12A23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9. </w:t>
      </w:r>
      <w:bookmarkStart w:id="11" w:name="Dependencia_da_crianca_humana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Dependência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da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criança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kern w:val="1"/>
          <w:szCs w:val="24"/>
        </w:rPr>
        <w:t>humana</w:t>
      </w:r>
      <w:bookmarkEnd w:id="11"/>
      <w:proofErr w:type="spellEnd"/>
    </w:p>
    <w:p w14:paraId="11EA7C46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Como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sabe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essencialmente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vulneráveis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Aliás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biologia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fornece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interessantes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prole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humana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comparação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a de outros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animais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Na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primeira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bebê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humano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possui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absoluta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19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,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estende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tempo do que a de outros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animais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ainda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analisado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forma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proporcional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0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falamos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período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ainda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humano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formação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toma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tempo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conseguir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virar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sozinho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que outros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animais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pois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ambiente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qual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humano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precisa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aprender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sobreviver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–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sociedade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humana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– é 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ambiente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complexo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aqueles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outros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animais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deparam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</w:p>
    <w:p w14:paraId="6BAE5122" w14:textId="77777777" w:rsidR="007E2D99" w:rsidRPr="00BA68FD" w:rsidRDefault="00814F94">
      <w:pPr>
        <w:rPr>
          <w:rFonts w:ascii="Bookman Old Style" w:hAnsi="Bookman Old Style" w:cs="TimesNewRomanPS-ItalicMT"/>
          <w:i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Essa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assume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muitas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formas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e,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indiscutível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sujeito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vulnerável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>.</w:t>
      </w:r>
    </w:p>
    <w:p w14:paraId="196B7F0A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lastRenderedPageBreak/>
        <w:t xml:space="preserve">10. </w:t>
      </w:r>
      <w:bookmarkStart w:id="12" w:name="Vulnerabilidade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Vulnerabilidade</w:t>
      </w:r>
      <w:bookmarkEnd w:id="12"/>
      <w:proofErr w:type="spellEnd"/>
    </w:p>
    <w:p w14:paraId="4BF55582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falar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algumas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palavras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que </w:t>
      </w:r>
      <w:proofErr w:type="gramStart"/>
      <w:r w:rsidRPr="00BA68FD">
        <w:rPr>
          <w:rFonts w:ascii="Bookman Old Style" w:hAnsi="Bookman Old Style" w:cs="TimesNewRomanPSMT"/>
          <w:kern w:val="1"/>
          <w:szCs w:val="24"/>
        </w:rPr>
        <w:t>é  “</w:t>
      </w:r>
      <w:proofErr w:type="gramEnd"/>
      <w:r w:rsidRPr="00BA68FD">
        <w:rPr>
          <w:rFonts w:ascii="Bookman Old Style" w:hAnsi="Bookman Old Style" w:cs="TimesNewRomanPSMT"/>
          <w:kern w:val="1"/>
          <w:szCs w:val="24"/>
        </w:rPr>
        <w:t xml:space="preserve">ser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vulnerável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” para o Direito.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termo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muitas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acepções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varia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forma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</w:t>
      </w:r>
      <w:r w:rsidR="00321DDA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321DDA">
        <w:rPr>
          <w:rFonts w:ascii="Bookman Old Style" w:hAnsi="Bookman Old Style" w:cs="TimesNewRomanPSMT"/>
          <w:kern w:val="1"/>
          <w:szCs w:val="24"/>
        </w:rPr>
        <w:t>utilizado</w:t>
      </w:r>
      <w:proofErr w:type="spellEnd"/>
      <w:r w:rsidR="00321DDA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321DDA">
        <w:rPr>
          <w:rFonts w:ascii="Bookman Old Style" w:hAnsi="Bookman Old Style" w:cs="TimesNewRomanPSMT"/>
          <w:kern w:val="1"/>
          <w:szCs w:val="24"/>
        </w:rPr>
        <w:t>nos</w:t>
      </w:r>
      <w:proofErr w:type="spellEnd"/>
      <w:r w:rsidR="00321DDA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321DDA">
        <w:rPr>
          <w:rFonts w:ascii="Bookman Old Style" w:hAnsi="Bookman Old Style" w:cs="TimesNewRomanPSMT"/>
          <w:kern w:val="1"/>
          <w:szCs w:val="24"/>
        </w:rPr>
        <w:t>diversos</w:t>
      </w:r>
      <w:proofErr w:type="spellEnd"/>
      <w:r w:rsidR="00321DDA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321DDA">
        <w:rPr>
          <w:rFonts w:ascii="Bookman Old Style" w:hAnsi="Bookman Old Style" w:cs="TimesNewRomanPSMT"/>
          <w:kern w:val="1"/>
          <w:szCs w:val="24"/>
        </w:rPr>
        <w:t>ramos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ciência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Direito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diferentes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normas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1DDE42E1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genericamente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daquele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encontra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qualificada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sujeição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infortúnios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vicissitudes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sempre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averiguada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termos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relativos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é,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contexto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indicará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vista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maioridade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adulto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regra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vulnerável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mas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vista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consumo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adulto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considerado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vulnerável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frente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grande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corporação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fornecedora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produto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serviço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termos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Código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Defesa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Consumidor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1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72B885BB" w14:textId="77777777" w:rsidR="007E2D99" w:rsidRPr="00BA68FD" w:rsidRDefault="00814F94" w:rsidP="00322ED1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existem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vários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tipos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gramStart"/>
      <w:r w:rsidRPr="00BA68FD">
        <w:rPr>
          <w:rFonts w:ascii="Bookman Old Style" w:hAnsi="Bookman Old Style" w:cs="TimesNewRomanPSMT"/>
          <w:kern w:val="1"/>
          <w:szCs w:val="24"/>
        </w:rPr>
        <w:t>A</w:t>
      </w:r>
      <w:proofErr w:type="gram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autora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Fernanda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Tartuce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2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,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exemplo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elaborou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estudo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seminal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civil, e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ident</w:t>
      </w:r>
      <w:r w:rsidR="00321DDA">
        <w:rPr>
          <w:rFonts w:ascii="Bookman Old Style" w:hAnsi="Bookman Old Style" w:cs="TimesNewRomanPSMT"/>
          <w:kern w:val="1"/>
          <w:szCs w:val="24"/>
        </w:rPr>
        <w:t>ificou</w:t>
      </w:r>
      <w:proofErr w:type="spellEnd"/>
      <w:r w:rsidR="00321DDA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321DDA">
        <w:rPr>
          <w:rFonts w:ascii="Bookman Old Style" w:hAnsi="Bookman Old Style" w:cs="TimesNewRomanPSMT"/>
          <w:kern w:val="1"/>
          <w:szCs w:val="24"/>
        </w:rPr>
        <w:t>podem</w:t>
      </w:r>
      <w:proofErr w:type="spellEnd"/>
      <w:r w:rsidR="00321DDA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="00321DDA">
        <w:rPr>
          <w:rFonts w:ascii="Bookman Old Style" w:hAnsi="Bookman Old Style" w:cs="TimesNewRomanPSMT"/>
          <w:kern w:val="1"/>
          <w:szCs w:val="24"/>
        </w:rPr>
        <w:t>perfeitamente</w:t>
      </w:r>
      <w:proofErr w:type="spellEnd"/>
      <w:r w:rsidR="00321DDA">
        <w:rPr>
          <w:rFonts w:ascii="Bookman Old Style" w:hAnsi="Bookman Old Style" w:cs="TimesNewRomanPSMT"/>
          <w:kern w:val="1"/>
          <w:szCs w:val="24"/>
        </w:rPr>
        <w:t xml:space="preserve"> ser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trazidas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contexto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demonstrar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alguns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exemplos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tipos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Aquela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autora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indicou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seguintes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</w:t>
      </w:r>
    </w:p>
    <w:p w14:paraId="2BEF4887" w14:textId="77777777" w:rsidR="007E2D99" w:rsidRPr="00BA68FD" w:rsidRDefault="00814F94" w:rsidP="00322ED1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>(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econômica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refere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gramStart"/>
      <w:r w:rsidRPr="00BA68FD">
        <w:rPr>
          <w:rFonts w:ascii="Bookman Old Style" w:hAnsi="Bookman Old Style" w:cs="TimesNewRomanPSMT"/>
          <w:kern w:val="1"/>
          <w:szCs w:val="24"/>
        </w:rPr>
        <w:t>a</w:t>
      </w:r>
      <w:proofErr w:type="gram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insuficiência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recursos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plasmar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dignidade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</w:t>
      </w:r>
    </w:p>
    <w:p w14:paraId="15BE249C" w14:textId="77777777" w:rsidR="007E2D99" w:rsidRPr="00BA68FD" w:rsidRDefault="00814F94" w:rsidP="00322ED1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(ii)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à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saúde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consistente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ocorrência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moléstias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dificultam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exercício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</w:t>
      </w:r>
    </w:p>
    <w:p w14:paraId="3A8F25AD" w14:textId="77777777" w:rsidR="007E2D99" w:rsidRPr="00BA68FD" w:rsidRDefault="00814F94" w:rsidP="00322ED1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(iii)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geográfica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consistente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estabelecimento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residência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local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pouco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atendido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serviços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comodidades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públicos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r w:rsidRPr="00BA68FD">
        <w:rPr>
          <w:rFonts w:ascii="Bookman Old Style" w:hAnsi="Bookman Old Style" w:cs="TimesNewRomanPSMT"/>
          <w:kern w:val="1"/>
          <w:szCs w:val="24"/>
        </w:rPr>
        <w:lastRenderedPageBreak/>
        <w:t xml:space="preserve">privados; </w:t>
      </w:r>
    </w:p>
    <w:p w14:paraId="20A52FBF" w14:textId="77777777" w:rsidR="007E2D99" w:rsidRPr="00BA68FD" w:rsidRDefault="00814F94" w:rsidP="00322ED1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(iv)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informacional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consistente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insuficiência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disponibilização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informações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relevantes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que,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divulgadas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impactariam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positivamente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</w:t>
      </w:r>
    </w:p>
    <w:p w14:paraId="7C257A51" w14:textId="77777777" w:rsidR="007E2D99" w:rsidRPr="00BA68FD" w:rsidRDefault="00814F94" w:rsidP="00322ED1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(v)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técnico-jurídica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consistente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falta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suporte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apoio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realização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seja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ignorância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própria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pela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inexistência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profissional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Direito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orientação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</w:t>
      </w:r>
    </w:p>
    <w:p w14:paraId="44D25DA7" w14:textId="77777777" w:rsidR="007E2D99" w:rsidRPr="00BA68FD" w:rsidRDefault="00814F94" w:rsidP="00322ED1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(vi)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organizacional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consistente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falta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inteligência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logística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praticar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e…</w:t>
      </w:r>
    </w:p>
    <w:p w14:paraId="555F9C9E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(vii)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digital,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consistente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impossibilidade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dificuldade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computadores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internet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e outros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recursos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digitais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sabemos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hoje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essenciais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pleno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desenvolvimento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para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integração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sociedade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50084824" w14:textId="77777777" w:rsidR="007E2D99" w:rsidRPr="00BA68FD" w:rsidRDefault="00814F94" w:rsidP="00322ED1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Pois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contexto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entendo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adolescentes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ser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somada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gramStart"/>
      <w:r w:rsidRPr="00BA68FD">
        <w:rPr>
          <w:rFonts w:ascii="Bookman Old Style" w:hAnsi="Bookman Old Style" w:cs="TimesNewRomanPSMT"/>
          <w:kern w:val="1"/>
          <w:szCs w:val="24"/>
        </w:rPr>
        <w:t>a</w:t>
      </w:r>
      <w:proofErr w:type="gram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anteriores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que,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verdade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possui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elementos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várias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delas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</w:p>
    <w:p w14:paraId="68C478BF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etária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pressupostas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diversas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manifestações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hipossuficiência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falta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experiência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maturidade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conhecimento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de plena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formação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biológica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etc. Como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ainda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superior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às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porque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geram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absoluta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seus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responsáveis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e,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adolescentes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relativa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maioria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vezes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intransponível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54593843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é claro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fazem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proteção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diferenciada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e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aí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novamente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regime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7DD04C5C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11. </w:t>
      </w:r>
      <w:bookmarkStart w:id="13" w:name="Poder_familiar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Poder</w:t>
      </w:r>
      <w:proofErr w:type="spellEnd"/>
      <w:r>
        <w:rPr>
          <w:rFonts w:ascii="TimesNewRomanPS-BoldMT" w:hAnsi="TimesNewRomanPS-BoldMT" w:cs="TimesNewRomanPS-BoldMT"/>
          <w:kern w:val="1"/>
          <w:szCs w:val="24"/>
        </w:rPr>
        <w:t xml:space="preserve"> familiar</w:t>
      </w:r>
      <w:bookmarkEnd w:id="13"/>
    </w:p>
    <w:p w14:paraId="3B0E6673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regra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ocupa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ascendente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poder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familiar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327D1B86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lastRenderedPageBreak/>
        <w:t xml:space="preserve">Tal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descrito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1.634 do Código Civil de 2002.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situação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jurídica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seus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titulares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poder-dever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exercer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guarda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dirigir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entre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prerrogativas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Flávio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Tartuce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conceitua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familiar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“o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exercido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dentro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ideia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família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democrática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do regime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colaboração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familiar 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baseadas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sobretudo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afeto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3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0495C40B" w14:textId="77777777" w:rsidR="007E2D99" w:rsidRPr="00BA68FD" w:rsidRDefault="00814F94">
      <w:pPr>
        <w:rPr>
          <w:rFonts w:ascii="Bookman Old Style" w:hAnsi="Bookman Old Style" w:cs="TimesNewRomanPS-ItalicMT"/>
          <w:i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Embora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seja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um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poder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possuem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exercida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prol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.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E tanto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verdade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capítulo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guarda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filhos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iniciado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1.583 do Código Civil,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chama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“Da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guarda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”, mas, sim, “da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proteção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”.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Considero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bastante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digno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nota.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familiar 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guarda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servem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acima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tudo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propiciar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proteção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filhos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última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análise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e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existem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hoje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primeiro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lugar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proteger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sobretudo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for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>.</w:t>
      </w:r>
    </w:p>
    <w:p w14:paraId="008E7DBE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12. </w:t>
      </w:r>
      <w:bookmarkStart w:id="14" w:name="Multiparentalidade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Multiparentalidade</w:t>
      </w:r>
      <w:bookmarkEnd w:id="14"/>
      <w:proofErr w:type="spellEnd"/>
    </w:p>
    <w:p w14:paraId="757A87C9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multiparentalidade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Coroando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sistema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brasileiro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acredito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bastante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clareza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última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grande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alteração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assunto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recepção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multiparentalidade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Supremo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Tribunal Federal. </w:t>
      </w:r>
    </w:p>
    <w:p w14:paraId="78B818D6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Multiparentalidade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possui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formalmente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mãe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todos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decorrentes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todos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499DC7FF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havia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decisões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esparsas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Tribunais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Justiça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4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 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juízos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lastRenderedPageBreak/>
        <w:t xml:space="preserve">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primeiro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grau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5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reconhecendo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multiparentalidade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questão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chegou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Supremo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Tribunal Federal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Recurso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Extraordinário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n. 898.060, no qual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ficou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fixada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seguinte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“A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declarada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registro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público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impede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reconhecimento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vínculo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concomitante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baseado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biológica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efeitos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próprios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6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Entre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efeitos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próprios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estarão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à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herança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à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alimentos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aqueles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decorrentes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próprio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familiar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relacionados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cuidado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educação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etc. –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assunto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é, pois,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relevantíssimo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impacta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fortemente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envolvidas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450E5E06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julgado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afirma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textualmente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cumulação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com 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biológica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Contudo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julgado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nada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termos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cumular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dessas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formas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Lembremos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ainda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resultantes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artificial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pergunta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arranjos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multiparentalidade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qualquer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dessas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formas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?</w:t>
      </w:r>
    </w:p>
    <w:p w14:paraId="5339E498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vozes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contrário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7"/>
      </w:r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neste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primeiro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momento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reflexão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entendo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sim,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cumulação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entre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resultante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artificial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6F0381F1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motivos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sustentar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contrário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basicamente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dois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(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possibilidade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abarcada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julgado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(ii) tanto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artificial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rompem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biológica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anterior. </w:t>
      </w:r>
    </w:p>
    <w:p w14:paraId="749CFBE0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lastRenderedPageBreak/>
        <w:t xml:space="preserve">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primeira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objeções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vejo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qualquer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empecilho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pois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hipóteses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terem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abarcadas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pela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decisão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significa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que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decisão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fechou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as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portas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essas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situações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.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julgado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simplesmente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fixou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assunto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rejeitou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havia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pacificada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Supremo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Tribunal Federal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multiparentalidade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envolvendo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origens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consanguíneas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agora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deparamos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cumulação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dessas com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artificial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Cabe,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juristas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operadores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Direito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construírem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entendimento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seja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o sim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4577ADFF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objeções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veja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Estatuto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Adolescente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expressamente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41, que “a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atribui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condição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deveres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inclusive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sucessórios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desligando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-o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qualquer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vínculo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pais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parentes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, salvo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impedimentos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matrimoniais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”</w:t>
      </w:r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8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1B5ADF96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De forma similar,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resultante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artificial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razões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lógicas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também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torna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incompatível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consanguínea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existe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um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anonimato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terceiro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doador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gameta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utilizado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fecundação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embora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terceiro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tenha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doado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material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genético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considerado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Direito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mãe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indivíduo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contribuição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contrário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ocorre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total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anonimato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apenas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possibilitar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exercício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doador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sequer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conhece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  <w:vertAlign w:val="superscript"/>
        </w:rPr>
        <w:footnoteReference w:id="29"/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08405011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concordo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gramStart"/>
      <w:r w:rsidRPr="00BA68FD">
        <w:rPr>
          <w:rFonts w:ascii="Bookman Old Style" w:hAnsi="Bookman Old Style" w:cs="TimesNewRomanPSMT"/>
          <w:kern w:val="1"/>
          <w:szCs w:val="24"/>
        </w:rPr>
        <w:t>a</w:t>
      </w:r>
      <w:proofErr w:type="gram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artificial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encerram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anterior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Mas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minha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objeção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frisar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justamente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fator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temporal,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porque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entendo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r w:rsidRPr="00BA68FD">
        <w:rPr>
          <w:rFonts w:ascii="Bookman Old Style" w:hAnsi="Bookman Old Style" w:cs="TimesNewRomanPSMT"/>
          <w:kern w:val="1"/>
          <w:szCs w:val="24"/>
        </w:rPr>
        <w:lastRenderedPageBreak/>
        <w:t xml:space="preserve">tanto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só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incompatíveis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cumulação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lhes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antecederam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Neste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momento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minhas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reflexões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decerto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definitivas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penso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tanto </w:t>
      </w:r>
      <w:proofErr w:type="gramStart"/>
      <w:r w:rsidRPr="00BA68FD">
        <w:rPr>
          <w:rFonts w:ascii="Bookman Old Style" w:hAnsi="Bookman Old Style" w:cs="TimesNewRomanPSMT"/>
          <w:kern w:val="1"/>
          <w:szCs w:val="24"/>
        </w:rPr>
        <w:t>a</w:t>
      </w:r>
      <w:proofErr w:type="gram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quanto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reprodução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assistida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seriam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incompatíveis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lhes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fosse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>posterior</w:t>
      </w:r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264C5619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justamente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atender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melhor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interesse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– que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vulnerável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–,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também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considerar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pluralidade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famílias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vínculos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vejo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óbice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considerar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válida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sobreviesse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aquela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gerada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pela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pela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reprodução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assistida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</w:p>
    <w:p w14:paraId="598FC037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Basta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pensarmos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após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adotada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vê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seus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divorciarem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aquela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mãe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ficou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guarda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unilateral se casa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novamente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pessoa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assume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todos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efeitos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educação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tratando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mesmo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tempo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primeiro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original,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também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mantém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contato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</w:p>
    <w:p w14:paraId="7ACDF497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No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artificial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bastante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fácil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pensar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situação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similar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qual um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componentes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casal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fizera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gramStart"/>
      <w:r w:rsidRPr="00BA68FD">
        <w:rPr>
          <w:rFonts w:ascii="Bookman Old Style" w:hAnsi="Bookman Old Style" w:cs="TimesNewRomanPSMT"/>
          <w:kern w:val="1"/>
          <w:szCs w:val="24"/>
        </w:rPr>
        <w:t>a</w:t>
      </w:r>
      <w:proofErr w:type="gram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inseminação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falece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sobrevivente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viúvo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inicia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união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estável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qual o novo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companheiro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companheira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assume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fosse. </w:t>
      </w:r>
    </w:p>
    <w:p w14:paraId="4A2D334D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Nesses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casos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e, claro,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analisadas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circunstâncias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concreto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me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impossível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reconhecer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multiparentalidade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envolvendo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cumulação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entre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reprodução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artificial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posterior.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minha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intuição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concretizará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futuro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mas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me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parece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ser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melhor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interpretação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dada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necessidade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se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proteger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vulnerável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considerando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atual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estado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coisas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respeito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4315E0EC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r>
        <w:rPr>
          <w:rFonts w:ascii="TimesNewRomanPS-BoldMT" w:hAnsi="TimesNewRomanPS-BoldMT" w:cs="TimesNewRomanPS-BoldMT"/>
          <w:kern w:val="1"/>
          <w:szCs w:val="24"/>
        </w:rPr>
        <w:t xml:space="preserve">13. </w:t>
      </w:r>
      <w:bookmarkStart w:id="15" w:name="Conclusao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Conclusão</w:t>
      </w:r>
      <w:bookmarkEnd w:id="15"/>
      <w:proofErr w:type="spellEnd"/>
    </w:p>
    <w:p w14:paraId="3962904E" w14:textId="77777777" w:rsidR="007E2D99" w:rsidRPr="00BA68FD" w:rsidRDefault="00814F94">
      <w:pPr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eram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comentários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tinha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tecer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hoje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 “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”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importante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porque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mexe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com o </w:t>
      </w:r>
      <w:r w:rsidRPr="00BA68FD">
        <w:rPr>
          <w:rFonts w:ascii="Bookman Old Style" w:hAnsi="Bookman Old Style" w:cs="TimesNewRomanPSMT"/>
          <w:kern w:val="1"/>
          <w:szCs w:val="24"/>
        </w:rPr>
        <w:lastRenderedPageBreak/>
        <w:t xml:space="preserve">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Todos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nós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já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sabemos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acarreta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aqueles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vividos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têm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sabem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necessidade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têm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conseguirem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desabrochar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viverem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plenitude.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aspecto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exercício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e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maternidade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apenas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viagem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linda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coroa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trata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-se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missão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com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filhos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precisam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necessitam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dependem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atenção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dedicação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carinho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exatamente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garantir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Direito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poroso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reconhece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vários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tipos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Também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por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que,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seguindo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tendência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pluralidade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familiar,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hoje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admitimos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multiparentalidade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esse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é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realmente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caminho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priorizemos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nossas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crianças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para que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elas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possam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plasmar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plenas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para que,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última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análise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futuro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nos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pareça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cada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vez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mais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brilhante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</w:t>
      </w:r>
    </w:p>
    <w:p w14:paraId="1546E09F" w14:textId="77777777" w:rsidR="007E2D99" w:rsidRDefault="00814F94">
      <w:pPr>
        <w:pStyle w:val="Ttulo11"/>
        <w:outlineLvl w:val="9"/>
        <w:rPr>
          <w:rFonts w:ascii="TimesNewRomanPS-BoldMT" w:hAnsi="TimesNewRomanPS-BoldMT" w:cs="TimesNewRomanPS-BoldMT"/>
          <w:kern w:val="1"/>
          <w:szCs w:val="24"/>
        </w:rPr>
      </w:pPr>
      <w:bookmarkStart w:id="16" w:name="Referencias"/>
      <w:proofErr w:type="spellStart"/>
      <w:r>
        <w:rPr>
          <w:rFonts w:ascii="TimesNewRomanPS-BoldMT" w:hAnsi="TimesNewRomanPS-BoldMT" w:cs="TimesNewRomanPS-BoldMT"/>
          <w:kern w:val="1"/>
          <w:szCs w:val="24"/>
        </w:rPr>
        <w:t>Referências</w:t>
      </w:r>
      <w:bookmarkEnd w:id="16"/>
      <w:proofErr w:type="spellEnd"/>
    </w:p>
    <w:p w14:paraId="5B23F6E5" w14:textId="77777777" w:rsidR="007E2D99" w:rsidRDefault="007E2D99">
      <w:pPr>
        <w:pStyle w:val="Ttulo11"/>
        <w:tabs>
          <w:tab w:val="clear" w:pos="220"/>
          <w:tab w:val="clear" w:pos="72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spacing w:before="60" w:after="60" w:line="240" w:lineRule="atLeast"/>
        <w:ind w:right="19"/>
        <w:jc w:val="both"/>
        <w:outlineLvl w:val="9"/>
        <w:rPr>
          <w:rFonts w:ascii="TimesNewRomanPSMT" w:hAnsi="TimesNewRomanPSMT" w:cs="TimesNewRomanPSMT"/>
          <w:b w:val="0"/>
          <w:kern w:val="1"/>
          <w:sz w:val="24"/>
          <w:szCs w:val="24"/>
        </w:rPr>
      </w:pPr>
    </w:p>
    <w:p w14:paraId="0DC3A5CE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RELAÇÃO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mãe-bebê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uma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winnicottiana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Capítulo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livro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Portal da PUC/RJ.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ignorados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Disponível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&lt;</w:t>
      </w:r>
      <w:hyperlink r:id="rId7" w:history="1"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https://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www.maxwell.vrac.puc-rio.br</w:t>
        </w:r>
        <w:proofErr w:type="spellEnd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/4350/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4350_5.PDF</w:t>
        </w:r>
        <w:proofErr w:type="spellEnd"/>
      </w:hyperlink>
      <w:r w:rsidRPr="00BA68FD">
        <w:rPr>
          <w:rFonts w:ascii="Bookman Old Style" w:hAnsi="Bookman Old Style" w:cs="TimesNewRomanPSMT"/>
          <w:kern w:val="1"/>
          <w:szCs w:val="24"/>
        </w:rPr>
        <w:t xml:space="preserve">&gt;.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2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 2019.</w:t>
      </w:r>
    </w:p>
    <w:p w14:paraId="25BC97EB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BRASIL.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Constituição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República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Federativa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Brasil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de 1988 [CF/88]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Brasília: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Congresso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Nacional (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Poder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Constituinte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outubro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1988.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Disponível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no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Portal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Legislação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Governo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Federal: &lt;</w:t>
      </w:r>
      <w:hyperlink r:id="rId8" w:history="1"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http://www.planalto.gov.br/ccivil_03/constituicao/constituicao.htm</w:t>
        </w:r>
      </w:hyperlink>
      <w:r w:rsidRPr="00BA68FD">
        <w:rPr>
          <w:rFonts w:ascii="Bookman Old Style" w:hAnsi="Bookman Old Style" w:cs="TimesNewRomanPSMT"/>
          <w:kern w:val="1"/>
          <w:szCs w:val="24"/>
        </w:rPr>
        <w:t xml:space="preserve">&gt;.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11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dez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 2018.</w:t>
      </w:r>
    </w:p>
    <w:p w14:paraId="4F1CE22B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__________.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Supremo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Tribunal Federal (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STF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).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Recurso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Extraordinário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com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Repercussão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Geral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(RE) n. 898.060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Relator: Luiz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Fux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Recorrente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A.N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Recorrido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F.G. Tribunal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Pleno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Brasília: Portal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Jurisprudência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STF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, 24 ago. 2017 (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publicação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Disponível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&lt;</w:t>
      </w:r>
      <w:hyperlink r:id="rId9" w:history="1"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http://stf.jus.br/portal/jurisprudencia/listarJurisprudencia.asp?s1=%28RE%24%2ESCLA%2E+E+898060%2ENUME%2E%29+OU+%28RE%2EACMS%2E+ADJ2+898060%2EACMS%2E%29&amp;base=baseAcordaos&amp;url=http://tinyurl.com/n9q8b7l</w:t>
        </w:r>
      </w:hyperlink>
      <w:r w:rsidRPr="00BA68FD">
        <w:rPr>
          <w:rFonts w:ascii="Bookman Old Style" w:hAnsi="Bookman Old Style" w:cs="TimesNewRomanPSMT"/>
          <w:kern w:val="1"/>
          <w:szCs w:val="24"/>
        </w:rPr>
        <w:t xml:space="preserve">&gt;.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09 out. 2018. </w:t>
      </w:r>
    </w:p>
    <w:p w14:paraId="221D769F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__________.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União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–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Congresso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Nacional.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Lei Federal n. 8.078, de 11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setembro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de 1990 [Código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Defesa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Consumidor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– CDC]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Portal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Legislação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Governo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Federal, Brasília: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Congresso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Nacional, 11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setembro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1990 (data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publicação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originária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Disponível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&lt;</w:t>
      </w:r>
      <w:hyperlink r:id="rId10" w:history="1"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http://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www.planalto.gov.br</w:t>
        </w:r>
        <w:proofErr w:type="spellEnd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ccivil_03</w:t>
        </w:r>
        <w:proofErr w:type="spellEnd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/Leis/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L8078.htm</w:t>
        </w:r>
        <w:proofErr w:type="spellEnd"/>
      </w:hyperlink>
      <w:r w:rsidRPr="00BA68FD">
        <w:rPr>
          <w:rFonts w:ascii="Bookman Old Style" w:hAnsi="Bookman Old Style" w:cs="TimesNewRomanPSMT"/>
          <w:kern w:val="1"/>
          <w:szCs w:val="24"/>
        </w:rPr>
        <w:t xml:space="preserve">&gt;.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26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jan.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2016.</w:t>
      </w:r>
    </w:p>
    <w:p w14:paraId="5F5C73EC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__________.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União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Lei n. 10.406, de 10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janeiro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de 2002 [CC/02 – Código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lastRenderedPageBreak/>
        <w:t>Civil]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Brasília: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Congresso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Nacional, 2002 [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publicação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originária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]. Portal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Legislação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Governo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Federal, 2002.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Disponível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&lt;</w:t>
      </w:r>
      <w:hyperlink r:id="rId11" w:history="1"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http://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www.planalto.gov.br</w:t>
        </w:r>
        <w:proofErr w:type="spellEnd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ccivil_03</w:t>
        </w:r>
        <w:proofErr w:type="spellEnd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/leis/2002/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L10406.htm</w:t>
        </w:r>
        <w:proofErr w:type="spellEnd"/>
      </w:hyperlink>
      <w:r w:rsidRPr="00BA68FD">
        <w:rPr>
          <w:rFonts w:ascii="Bookman Old Style" w:hAnsi="Bookman Old Style" w:cs="TimesNewRomanPSMT"/>
          <w:kern w:val="1"/>
          <w:szCs w:val="24"/>
        </w:rPr>
        <w:t xml:space="preserve">&gt;.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08 abr. 2019.</w:t>
      </w:r>
    </w:p>
    <w:p w14:paraId="78D80D7B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__________.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União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Lei n. 8.069, de 13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julho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de 1990, que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dispõe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sobre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Estatuto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Criança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e do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Adolescente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(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ECA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>)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Brasília: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Congresso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Nacional, 1990 (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publicação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originária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).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Disponível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&lt;</w:t>
      </w:r>
      <w:hyperlink r:id="rId12" w:history="1"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http://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www.planalto.gov.br</w:t>
        </w:r>
        <w:proofErr w:type="spellEnd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Ccivil_03</w:t>
        </w:r>
        <w:proofErr w:type="spellEnd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/leis/</w:t>
        </w:r>
        <w:proofErr w:type="spellStart"/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L8069.htm</w:t>
        </w:r>
        <w:proofErr w:type="spellEnd"/>
      </w:hyperlink>
      <w:r w:rsidRPr="00BA68FD">
        <w:rPr>
          <w:rFonts w:ascii="Bookman Old Style" w:hAnsi="Bookman Old Style" w:cs="TimesNewRomanPSMT"/>
          <w:kern w:val="1"/>
          <w:szCs w:val="24"/>
        </w:rPr>
        <w:t xml:space="preserve">&gt;.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17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fevereiro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2018.</w:t>
      </w:r>
    </w:p>
    <w:p w14:paraId="138A2557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DIÁLOGO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fontes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conflito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à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coordenação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normas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brasileiro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Coord.: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Cláudia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Lima Marques. São Paulo: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Revista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Tribunais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, 2012.</w:t>
      </w:r>
    </w:p>
    <w:p w14:paraId="35C7459C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FACHIN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Luiz Edson. Posse de Estado de Filho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Socioafetividade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análise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constitucional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In: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Soluções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Práticas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-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Fachin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>,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 v. 2. São Paulo: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Revista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Tribunais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online, 2012,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versão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digital (Thomson Reuters).</w:t>
      </w:r>
    </w:p>
    <w:p w14:paraId="38C644B1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GAGLIANO, Pablo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Stolze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PAMPLONA FILHO, Rodolfo.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Manual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direito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civil: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volume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único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2. ed. – São Paulo: Saraiva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Educação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2018,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versão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digital (Kindle).</w:t>
      </w:r>
    </w:p>
    <w:p w14:paraId="29461E08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>GOMES, Orlando. 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Introdução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direito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civil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Rio de Janeiro: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Forense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, 1989. p. 3.</w:t>
      </w:r>
    </w:p>
    <w:p w14:paraId="01FAE9AF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LÔBO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Paulo.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Direito civil: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famílias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, 4. ed. – São Paulo: Saraiva, 2011 (Col. Direito Civil).</w:t>
      </w:r>
    </w:p>
    <w:p w14:paraId="11E38AB6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MATOS, Ana Carla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Harmatiuk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; OLIVEIRA,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Lígia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Ziggiotti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de.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Paradoxos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entre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autonomia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Proteção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vulnerabilidades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Efeitos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jurídicos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união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entre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adolescentes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Demais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bibliográficos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ignorados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 [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s.l.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s.n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.], 2018.</w:t>
      </w:r>
    </w:p>
    <w:p w14:paraId="614D1B12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NAMBA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Edison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Tetsuzo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Direito à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identidade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ou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reconhecimento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origens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reprodução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assistida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heteróloga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In: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Revista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Tribunais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, v. 905/2011, p. 67-87.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São Paulo/SP: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Revista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Tribunais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Online, mar. 2011,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versão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digital (Thomson Reuters).</w:t>
      </w:r>
    </w:p>
    <w:p w14:paraId="66145FCC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OLIVEIRA, Renata R. de; SIQUEIRA, José E. de.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Autonomia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vida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adolescentes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In: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Revista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Faculdade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Ciências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Médicas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de Sorocaba, v. 6, n. 2.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Sorocaba: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Faculdade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Ciências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Médicas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Sorocaba, 2004, p. 57-61.</w:t>
      </w:r>
    </w:p>
    <w:p w14:paraId="36AC0248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TABELA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dos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gatos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x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humana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 [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s.l.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]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Animais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Nota Mil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2013.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Arquivo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digital: &lt;</w:t>
      </w:r>
      <w:hyperlink r:id="rId13" w:history="1"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http://animaisnotamil.blogspot.com/2013/08/tabela-da-idade-canina-comparada-idade.html</w:t>
        </w:r>
      </w:hyperlink>
      <w:r w:rsidRPr="00BA68FD">
        <w:rPr>
          <w:rFonts w:ascii="Bookman Old Style" w:hAnsi="Bookman Old Style" w:cs="TimesNewRomanPSMT"/>
          <w:kern w:val="1"/>
          <w:szCs w:val="24"/>
        </w:rPr>
        <w:t xml:space="preserve">&gt;.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02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 2019.</w:t>
      </w:r>
    </w:p>
    <w:p w14:paraId="7FE05094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TARTUCE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, Fernanda.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“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processual no novo CPC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.” In Site Fernanda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Tartuce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Processo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Civil. 2016.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Disponível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: &lt;http://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www.fernandatartuce.com.br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&gt;.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01 de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fevereiro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de 2016.</w:t>
      </w:r>
    </w:p>
    <w:p w14:paraId="5B804875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__________.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Igualdade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vulnerabilidade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no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processo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civil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. Rio de Janeiro, RJ: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Editora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Forense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, 2012.</w:t>
      </w:r>
    </w:p>
    <w:p w14:paraId="636892BC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TARTUCE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Flávio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>Direito Civil, v. 5: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direito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família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14. ed. - Rio de Janeiro: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lastRenderedPageBreak/>
        <w:t>Forense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, 2019.</w:t>
      </w:r>
    </w:p>
    <w:p w14:paraId="3DD21528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r w:rsidRPr="00BA68FD">
        <w:rPr>
          <w:rFonts w:ascii="Bookman Old Style" w:hAnsi="Bookman Old Style" w:cs="TimesNewRomanPSMT"/>
          <w:kern w:val="1"/>
          <w:szCs w:val="24"/>
        </w:rPr>
        <w:t xml:space="preserve">VELOSO, Zeno. </w:t>
      </w:r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Direito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brasileiro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filiação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 e </w:t>
      </w:r>
      <w:proofErr w:type="spellStart"/>
      <w:r w:rsidRPr="00BA68FD">
        <w:rPr>
          <w:rFonts w:ascii="Bookman Old Style" w:hAnsi="Bookman Old Style" w:cs="TimesNewRomanPS-ItalicMT"/>
          <w:i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-ItalicMT"/>
          <w:i/>
          <w:kern w:val="1"/>
          <w:szCs w:val="24"/>
        </w:rPr>
        <w:t xml:space="preserve">. </w:t>
      </w:r>
      <w:r w:rsidRPr="00BA68FD">
        <w:rPr>
          <w:rFonts w:ascii="Bookman Old Style" w:hAnsi="Bookman Old Style" w:cs="TimesNewRomanPSMT"/>
          <w:kern w:val="1"/>
          <w:szCs w:val="24"/>
        </w:rPr>
        <w:t xml:space="preserve">São Paulo: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Malheiros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, 1997.</w:t>
      </w:r>
    </w:p>
    <w:p w14:paraId="3F8277B9" w14:textId="77777777" w:rsidR="007E2D99" w:rsidRPr="00BA68FD" w:rsidRDefault="00814F94">
      <w:pPr>
        <w:pStyle w:val="Bibliografia1"/>
        <w:rPr>
          <w:rFonts w:ascii="Bookman Old Style" w:hAnsi="Bookman Old Style" w:cs="TimesNewRomanPSMT"/>
          <w:kern w:val="1"/>
          <w:szCs w:val="24"/>
        </w:rPr>
      </w:pP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VILLELA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João Baptista.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Desbiologização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paternidade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Artigo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In: Portal da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Universidade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Federal de Minas Gerais. [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s.l.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]: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UFMG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, 9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. 1979.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Disponível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&lt; </w:t>
      </w:r>
      <w:hyperlink r:id="rId14" w:history="1">
        <w:r w:rsidRPr="00BA68FD">
          <w:rPr>
            <w:rFonts w:ascii="Bookman Old Style" w:hAnsi="Bookman Old Style" w:cs="TimesNewRomanPSMT"/>
            <w:kern w:val="1"/>
            <w:szCs w:val="24"/>
            <w:u w:val="single"/>
          </w:rPr>
          <w:t>https://www.direito.ufmg.br/revista/index.php/revista/article/download/1156/1089</w:t>
        </w:r>
      </w:hyperlink>
      <w:r w:rsidRPr="00BA68FD">
        <w:rPr>
          <w:rFonts w:ascii="Bookman Old Style" w:hAnsi="Bookman Old Style" w:cs="TimesNewRomanPSMT"/>
          <w:kern w:val="1"/>
          <w:szCs w:val="24"/>
        </w:rPr>
        <w:t xml:space="preserve">&gt;.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Acesso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em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 xml:space="preserve">: 03 </w:t>
      </w:r>
      <w:proofErr w:type="spellStart"/>
      <w:r w:rsidRPr="00BA68FD">
        <w:rPr>
          <w:rFonts w:ascii="Bookman Old Style" w:hAnsi="Bookman Old Style" w:cs="TimesNewRomanPSMT"/>
          <w:kern w:val="1"/>
          <w:szCs w:val="24"/>
        </w:rPr>
        <w:t>mai</w:t>
      </w:r>
      <w:proofErr w:type="spellEnd"/>
      <w:r w:rsidRPr="00BA68FD">
        <w:rPr>
          <w:rFonts w:ascii="Bookman Old Style" w:hAnsi="Bookman Old Style" w:cs="TimesNewRomanPSMT"/>
          <w:kern w:val="1"/>
          <w:szCs w:val="24"/>
        </w:rPr>
        <w:t>. 2019.</w:t>
      </w:r>
    </w:p>
    <w:sectPr w:rsidR="007E2D99" w:rsidRPr="00BA68FD">
      <w:headerReference w:type="default" r:id="rId15"/>
      <w:footerReference w:type="default" r:id="rId16"/>
      <w:endnotePr>
        <w:numFmt w:val="decimal"/>
      </w:endnotePr>
      <w:pgSz w:w="11899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615C0" w14:textId="77777777" w:rsidR="005E672C" w:rsidRDefault="005E672C">
      <w:pPr>
        <w:spacing w:before="0" w:after="0" w:line="240" w:lineRule="auto"/>
      </w:pPr>
      <w:r>
        <w:separator/>
      </w:r>
    </w:p>
  </w:endnote>
  <w:endnote w:type="continuationSeparator" w:id="0">
    <w:p w14:paraId="4CD8374C" w14:textId="77777777" w:rsidR="005E672C" w:rsidRDefault="005E67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57F3" w14:textId="77777777" w:rsidR="007E2D99" w:rsidRDefault="00814F94">
    <w:pPr>
      <w:spacing w:before="0" w:after="0" w:line="240" w:lineRule="auto"/>
      <w:ind w:right="0" w:firstLine="0"/>
      <w:jc w:val="center"/>
      <w:rPr>
        <w:rFonts w:ascii="TimesNewRomanPSMT" w:hAnsi="TimesNewRomanPSMT" w:cs="TimesNewRomanPSMT"/>
        <w:sz w:val="20"/>
        <w:szCs w:val="24"/>
      </w:rPr>
    </w:pPr>
    <w:r>
      <w:rPr>
        <w:rFonts w:ascii="TimesNewRomanPSMT" w:hAnsi="TimesNewRomanPSMT" w:cs="TimesNewRomanPSMT"/>
        <w:sz w:val="20"/>
        <w:szCs w:val="24"/>
      </w:rPr>
      <w:fldChar w:fldCharType="begin"/>
    </w:r>
    <w:r>
      <w:rPr>
        <w:rFonts w:ascii="TimesNewRomanPSMT" w:hAnsi="TimesNewRomanPSMT" w:cs="TimesNewRomanPSMT"/>
        <w:sz w:val="20"/>
        <w:szCs w:val="24"/>
      </w:rPr>
      <w:instrText>PAGE</w:instrText>
    </w:r>
    <w:r>
      <w:rPr>
        <w:rFonts w:ascii="TimesNewRomanPSMT" w:hAnsi="TimesNewRomanPSMT" w:cs="TimesNewRomanPSMT"/>
        <w:sz w:val="20"/>
        <w:szCs w:val="24"/>
      </w:rPr>
      <w:fldChar w:fldCharType="separate"/>
    </w:r>
    <w:r w:rsidR="00C4188F">
      <w:rPr>
        <w:rFonts w:ascii="TimesNewRomanPSMT" w:hAnsi="TimesNewRomanPSMT" w:cs="TimesNewRomanPSMT"/>
        <w:noProof/>
        <w:sz w:val="20"/>
        <w:szCs w:val="24"/>
      </w:rPr>
      <w:t>16</w:t>
    </w:r>
    <w:r>
      <w:rPr>
        <w:rFonts w:ascii="TimesNewRomanPSMT" w:hAnsi="TimesNewRomanPSMT" w:cs="TimesNewRomanPSMT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7C608" w14:textId="77777777" w:rsidR="005E672C" w:rsidRDefault="005E672C">
      <w:pPr>
        <w:spacing w:before="0" w:after="0" w:line="240" w:lineRule="auto"/>
      </w:pPr>
      <w:r>
        <w:separator/>
      </w:r>
    </w:p>
  </w:footnote>
  <w:footnote w:type="continuationSeparator" w:id="0">
    <w:p w14:paraId="3749EDFF" w14:textId="77777777" w:rsidR="005E672C" w:rsidRDefault="005E672C">
      <w:pPr>
        <w:spacing w:before="0" w:after="0" w:line="240" w:lineRule="auto"/>
      </w:pPr>
      <w:r>
        <w:continuationSeparator/>
      </w:r>
    </w:p>
  </w:footnote>
  <w:footnote w:id="1">
    <w:p w14:paraId="2DD1EACC" w14:textId="77777777" w:rsidR="007E2D99" w:rsidRDefault="00814F94">
      <w:pPr>
        <w:pStyle w:val="Footnote"/>
        <w:jc w:val="both"/>
        <w:rPr>
          <w:rFonts w:ascii="TimesNewRomanPS-BoldMT" w:hAnsi="TimesNewRomanPS-BoldMT" w:cs="TimesNewRomanPS-BoldMT"/>
          <w:b/>
          <w:sz w:val="28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Este é 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texto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-base de palestra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sobre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filiação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criança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vulnerabilidade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que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proferi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2019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associação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Santo Ivo.</w:t>
      </w:r>
    </w:p>
  </w:footnote>
  <w:footnote w:id="2">
    <w:p w14:paraId="69295838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Professora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Titular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Faculdade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Direito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Universidade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São Paulo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FADUSP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Coordenadora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Titular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Professora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Titular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Programa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Mestrado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Doutorado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Faculdade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Autônoma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Direito de São Paulo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FADISP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Coordenadora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Titular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área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Direito Civil da Escola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Paulista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Direito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EPD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). Mestre,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Doutora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Livre-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docente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pela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Faculdade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Direito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Universidade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São Paulo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FADUSP</w:t>
      </w:r>
      <w:proofErr w:type="spellEnd"/>
      <w:r>
        <w:rPr>
          <w:rFonts w:ascii="TimesNewRomanPSMT" w:hAnsi="TimesNewRomanPSMT" w:cs="TimesNewRomanPSMT"/>
          <w:sz w:val="22"/>
          <w:szCs w:val="24"/>
        </w:rPr>
        <w:t>). Ex-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Procuradora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Federal.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Fundadora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Diretora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Nacional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IBDFAM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região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sudeste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Diretora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Nacional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IBDCivil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região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sudeste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). Para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este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trabalho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auxiliou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-me Rommel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Andriotti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que é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mestrando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função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social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com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concentração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civil pela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FADISP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mestrando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efetividade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com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concentração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civil pela PUC/SP,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especialista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civil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civil pela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EPD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graduado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pela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FMU</w:t>
      </w:r>
      <w:proofErr w:type="spellEnd"/>
      <w:r>
        <w:rPr>
          <w:rFonts w:ascii="TimesNewRomanPSMT" w:hAnsi="TimesNewRomanPSMT" w:cs="TimesNewRomanPSMT"/>
          <w:sz w:val="22"/>
          <w:szCs w:val="24"/>
        </w:rPr>
        <w:t>.</w:t>
      </w:r>
    </w:p>
  </w:footnote>
  <w:footnote w:id="3">
    <w:p w14:paraId="722A3A73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LÔBO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Paulo. 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Direito civil: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famílias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4. ed. – São Paulo: Saraiva, 2011 (Col. Direito Civil), p. 216.</w:t>
      </w:r>
    </w:p>
  </w:footnote>
  <w:footnote w:id="4">
    <w:p w14:paraId="59115360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VILLELA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João Baptista.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Desbiologização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da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paternidade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Artigo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In: Portal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Universidade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Federal de Minas Gerais. [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s.l.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]: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UFMG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9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mai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1979.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&lt; </w:t>
      </w:r>
      <w:hyperlink r:id="rId1" w:history="1"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https://www.direito.ufmg.br/revista/index.php/revista/article/download/1156/1089</w:t>
        </w:r>
      </w:hyperlink>
      <w:r>
        <w:rPr>
          <w:rFonts w:ascii="TimesNewRomanPSMT" w:hAnsi="TimesNewRomanPSMT" w:cs="TimesNewRomanPSMT"/>
          <w:sz w:val="22"/>
          <w:szCs w:val="24"/>
        </w:rPr>
        <w:t xml:space="preserve">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03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mai</w:t>
      </w:r>
      <w:proofErr w:type="spellEnd"/>
      <w:r>
        <w:rPr>
          <w:rFonts w:ascii="TimesNewRomanPSMT" w:hAnsi="TimesNewRomanPSMT" w:cs="TimesNewRomanPSMT"/>
          <w:sz w:val="22"/>
          <w:szCs w:val="24"/>
        </w:rPr>
        <w:t>. 2019, p. 1.</w:t>
      </w:r>
    </w:p>
  </w:footnote>
  <w:footnote w:id="5">
    <w:p w14:paraId="08B85E9F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  <w:highlight w:val="white"/>
        </w:rPr>
        <w:t>“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filhos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havidos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ou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não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relação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casamento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ou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por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adoção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terão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mesmos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direitos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qualificações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proibidas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quaisquer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designações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discriminatórias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relativas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à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filiação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”, </w:t>
      </w:r>
      <w:r>
        <w:rPr>
          <w:rFonts w:ascii="TimesNewRomanPSMT" w:hAnsi="TimesNewRomanPSMT" w:cs="TimesNewRomanPSMT"/>
          <w:sz w:val="22"/>
          <w:szCs w:val="24"/>
        </w:rPr>
        <w:t xml:space="preserve">BRASIL.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Constituição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da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República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Federativa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do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Brasil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de 1988 [CF/88]</w:t>
      </w:r>
      <w:r>
        <w:rPr>
          <w:rFonts w:ascii="TimesNewRomanPSMT" w:hAnsi="TimesNewRomanPSMT" w:cs="TimesNewRomanPSMT"/>
          <w:sz w:val="22"/>
          <w:szCs w:val="24"/>
        </w:rPr>
        <w:t xml:space="preserve">. Brasília: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Congresso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Nacional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Poder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Constituinte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outubro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1988.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no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Portal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Legislação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Governo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Federal: &lt;</w:t>
      </w:r>
      <w:hyperlink r:id="rId2" w:history="1"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http://www.planalto.gov.br/ccivil_03/constituicao/constituicao.htm</w:t>
        </w:r>
      </w:hyperlink>
      <w:r>
        <w:rPr>
          <w:rFonts w:ascii="TimesNewRomanPSMT" w:hAnsi="TimesNewRomanPSMT" w:cs="TimesNewRomanPSMT"/>
          <w:sz w:val="22"/>
          <w:szCs w:val="24"/>
        </w:rPr>
        <w:t xml:space="preserve">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11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dez</w:t>
      </w:r>
      <w:proofErr w:type="spellEnd"/>
      <w:r>
        <w:rPr>
          <w:rFonts w:ascii="TimesNewRomanPSMT" w:hAnsi="TimesNewRomanPSMT" w:cs="TimesNewRomanPSMT"/>
          <w:sz w:val="22"/>
          <w:szCs w:val="24"/>
        </w:rPr>
        <w:t>. 2018.</w:t>
      </w:r>
    </w:p>
  </w:footnote>
  <w:footnote w:id="6">
    <w:p w14:paraId="2412BDF3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“Art. 1.596.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filhos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havidos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ou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relação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casamento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ou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por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adoção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terão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mesmos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qualificações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proibidas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quaisquer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designações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discriminatórias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relativas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à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filiação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”,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conforme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BRASIL.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União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Lei n. 10.406, de 10 de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janeiro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de 2002</w:t>
      </w:r>
      <w:r>
        <w:rPr>
          <w:rFonts w:ascii="TimesNewRomanPSMT" w:hAnsi="TimesNewRomanPSMT" w:cs="TimesNewRomanPSMT"/>
          <w:sz w:val="22"/>
          <w:szCs w:val="24"/>
        </w:rPr>
        <w:t xml:space="preserve"> [CC/02 – Código Civil]. Brasília: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Congresso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Nacional, 2002 [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publicação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originária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]. Portal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Legislação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Governo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Federal, 2002.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>: &lt;http://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www.planalto.gov.br</w:t>
      </w:r>
      <w:proofErr w:type="spellEnd"/>
      <w:r>
        <w:rPr>
          <w:rFonts w:ascii="TimesNewRomanPSMT" w:hAnsi="TimesNewRomanPSMT" w:cs="TimesNewRomanPSMT"/>
          <w:sz w:val="22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ccivil_03</w:t>
      </w:r>
      <w:proofErr w:type="spellEnd"/>
      <w:r>
        <w:rPr>
          <w:rFonts w:ascii="TimesNewRomanPSMT" w:hAnsi="TimesNewRomanPSMT" w:cs="TimesNewRomanPSMT"/>
          <w:sz w:val="22"/>
          <w:szCs w:val="24"/>
        </w:rPr>
        <w:t>/leis/2002/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L10406.htm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>: 08 abr. 2019.</w:t>
      </w:r>
    </w:p>
  </w:footnote>
  <w:footnote w:id="7">
    <w:p w14:paraId="7E0DD1FD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BRASIL.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União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Lei n. 8.069, de 13 de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julho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de 1990, que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dispõe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sobre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o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Estatuto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da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Criança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e do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Adolescente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(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ECA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>)</w:t>
      </w:r>
      <w:r>
        <w:rPr>
          <w:rFonts w:ascii="TimesNewRomanPSMT" w:hAnsi="TimesNewRomanPSMT" w:cs="TimesNewRomanPSMT"/>
          <w:sz w:val="22"/>
          <w:szCs w:val="24"/>
        </w:rPr>
        <w:t xml:space="preserve">. Brasília: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Congresso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Nacional, 1990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publicação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originária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>: &lt;</w:t>
      </w:r>
      <w:hyperlink r:id="rId3" w:history="1"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http://</w:t>
        </w:r>
        <w:proofErr w:type="spellStart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www.planalto.gov.br</w:t>
        </w:r>
        <w:proofErr w:type="spellEnd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/</w:t>
        </w:r>
        <w:proofErr w:type="spellStart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Ccivil_03</w:t>
        </w:r>
        <w:proofErr w:type="spellEnd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/leis/</w:t>
        </w:r>
        <w:proofErr w:type="spellStart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L8069.htm</w:t>
        </w:r>
        <w:proofErr w:type="spellEnd"/>
      </w:hyperlink>
      <w:r>
        <w:rPr>
          <w:rFonts w:ascii="TimesNewRomanPSMT" w:hAnsi="TimesNewRomanPSMT" w:cs="TimesNewRomanPSMT"/>
          <w:sz w:val="22"/>
          <w:szCs w:val="24"/>
        </w:rPr>
        <w:t xml:space="preserve">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17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fevereiro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2018.</w:t>
      </w:r>
    </w:p>
  </w:footnote>
  <w:footnote w:id="8">
    <w:p w14:paraId="733DD862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Conforme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art. 39, §1º,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ECA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op. cit., loc. cit.</w:t>
      </w:r>
    </w:p>
  </w:footnote>
  <w:footnote w:id="9">
    <w:p w14:paraId="26A32303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Conforme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art. 41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ECA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op. cit., loc. cit.</w:t>
      </w:r>
    </w:p>
  </w:footnote>
  <w:footnote w:id="10">
    <w:p w14:paraId="5B82E3DC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“Art. 229.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pais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têm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o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dever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assistir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criar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educar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filhos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menores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, e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filhos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maiores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têm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o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dever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ajudar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amparar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os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pais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na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velhice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carência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ou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enfermidade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”, </w:t>
      </w:r>
      <w:proofErr w:type="spellStart"/>
      <w:r>
        <w:rPr>
          <w:rFonts w:ascii="TimesNewRomanPSMT" w:hAnsi="TimesNewRomanPSMT" w:cs="TimesNewRomanPSMT"/>
          <w:sz w:val="22"/>
          <w:szCs w:val="24"/>
          <w:highlight w:val="white"/>
        </w:rPr>
        <w:t>conforme</w:t>
      </w:r>
      <w:proofErr w:type="spellEnd"/>
      <w:r>
        <w:rPr>
          <w:rFonts w:ascii="TimesNewRomanPSMT" w:hAnsi="TimesNewRomanPSMT" w:cs="TimesNewRomanPSMT"/>
          <w:sz w:val="22"/>
          <w:szCs w:val="24"/>
          <w:highlight w:val="white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BRASIL.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Constituição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da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República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Federativa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do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Brasil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de 1988 [CF/88]</w:t>
      </w:r>
      <w:r>
        <w:rPr>
          <w:rFonts w:ascii="TimesNewRomanPSMT" w:hAnsi="TimesNewRomanPSMT" w:cs="TimesNewRomanPSMT"/>
          <w:sz w:val="22"/>
          <w:szCs w:val="24"/>
        </w:rPr>
        <w:t xml:space="preserve">. Brasília: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Congresso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Nacional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Poder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Constituinte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outubro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1988.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no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Portal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Legislação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Governo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Federal: &lt;</w:t>
      </w:r>
      <w:hyperlink r:id="rId4" w:history="1"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http://www.planalto.gov.br/ccivil_03/constituicao/constituicao.htm</w:t>
        </w:r>
      </w:hyperlink>
      <w:r>
        <w:rPr>
          <w:rFonts w:ascii="TimesNewRomanPSMT" w:hAnsi="TimesNewRomanPSMT" w:cs="TimesNewRomanPSMT"/>
          <w:sz w:val="22"/>
          <w:szCs w:val="24"/>
        </w:rPr>
        <w:t xml:space="preserve">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11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dez</w:t>
      </w:r>
      <w:proofErr w:type="spellEnd"/>
      <w:r>
        <w:rPr>
          <w:rFonts w:ascii="TimesNewRomanPSMT" w:hAnsi="TimesNewRomanPSMT" w:cs="TimesNewRomanPSMT"/>
          <w:sz w:val="22"/>
          <w:szCs w:val="24"/>
        </w:rPr>
        <w:t>. 2018.</w:t>
      </w:r>
    </w:p>
  </w:footnote>
  <w:footnote w:id="11">
    <w:p w14:paraId="476C4A7C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“Art. 1.593. 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parentesco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é natural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ou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civil,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conforme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resulte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consangüinidade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ou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outra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origem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”,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conforme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BRASIL.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União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Lei n. 10.406, de 10 de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janeiro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de 2002 [CC/02 – Código Civil]</w:t>
      </w:r>
      <w:r>
        <w:rPr>
          <w:rFonts w:ascii="TimesNewRomanPSMT" w:hAnsi="TimesNewRomanPSMT" w:cs="TimesNewRomanPSMT"/>
          <w:sz w:val="22"/>
          <w:szCs w:val="24"/>
        </w:rPr>
        <w:t xml:space="preserve">. Brasília: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Congresso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Nacional, 2002 [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publicação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originária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]. Portal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Legislação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Governo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Federal, 2002.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>: &lt;</w:t>
      </w:r>
      <w:hyperlink r:id="rId5" w:history="1"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http://</w:t>
        </w:r>
        <w:proofErr w:type="spellStart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www.planalto.gov.br</w:t>
        </w:r>
        <w:proofErr w:type="spellEnd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/</w:t>
        </w:r>
        <w:proofErr w:type="spellStart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ccivil_03</w:t>
        </w:r>
        <w:proofErr w:type="spellEnd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/leis/2002/</w:t>
        </w:r>
        <w:proofErr w:type="spellStart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L10406.htm</w:t>
        </w:r>
        <w:proofErr w:type="spellEnd"/>
      </w:hyperlink>
      <w:r>
        <w:rPr>
          <w:rFonts w:ascii="TimesNewRomanPSMT" w:hAnsi="TimesNewRomanPSMT" w:cs="TimesNewRomanPSMT"/>
          <w:sz w:val="22"/>
          <w:szCs w:val="24"/>
        </w:rPr>
        <w:t xml:space="preserve">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>: 08 abr. 2019.</w:t>
      </w:r>
    </w:p>
  </w:footnote>
  <w:footnote w:id="12">
    <w:p w14:paraId="20724F8A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Como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diz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Orlando Gomes, “a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matéria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-prima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produto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jurídico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constituindo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-se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fatos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sociais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”,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conforme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Gomes, Orlando.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Introdução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ao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direito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civil</w:t>
      </w:r>
      <w:r>
        <w:rPr>
          <w:rFonts w:ascii="TimesNewRomanPSMT" w:hAnsi="TimesNewRomanPSMT" w:cs="TimesNewRomanPSMT"/>
          <w:sz w:val="22"/>
          <w:szCs w:val="24"/>
        </w:rPr>
        <w:t xml:space="preserve">. Rio de Janeiro: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Forense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1989. p. 3.</w:t>
      </w:r>
    </w:p>
  </w:footnote>
  <w:footnote w:id="13">
    <w:p w14:paraId="5C622877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GAGLIANO, Pablo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Stolze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; PAMPLONA FILHO, Rodolfo. 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Manual de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direito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civil: volume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único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>. 2. ed.</w:t>
      </w:r>
      <w:r>
        <w:rPr>
          <w:rFonts w:ascii="TimesNewRomanPSMT" w:hAnsi="TimesNewRomanPSMT" w:cs="TimesNewRomanPSMT"/>
          <w:sz w:val="22"/>
          <w:szCs w:val="24"/>
        </w:rPr>
        <w:t xml:space="preserve"> – São Paulo: Saraiva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Educação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2018,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versão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digital (Kindle), loc. 30900.</w:t>
      </w:r>
    </w:p>
  </w:footnote>
  <w:footnote w:id="14">
    <w:p w14:paraId="3CB73413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Conforme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encontra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ementa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de: BRASIL.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Supremo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Tribunal Federal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STF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).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Recurso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Extraordinário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com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Repercussão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Geral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(RE) n. 898.060</w:t>
      </w:r>
      <w:r>
        <w:rPr>
          <w:rFonts w:ascii="TimesNewRomanPSMT" w:hAnsi="TimesNewRomanPSMT" w:cs="TimesNewRomanPSMT"/>
          <w:sz w:val="22"/>
          <w:szCs w:val="24"/>
        </w:rPr>
        <w:t xml:space="preserve">. Relator: Luiz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Fux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Recorrente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A.N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Recorrido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F.G. Tribunal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Pleno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Brasília: Portal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Jurisprudência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STF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24 ago. 2017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publicação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&lt;http://stf.jus.br/portal/jurisprudencia/listarJurisprudencia.asp?s1=%28RE%24%2ESCLA%2E+E+898060%2ENUME%2E%29+OU+%28RE%2EACMS%2E+ADJ2+898060%2EACMS%2E%29&amp;base=baseAcordaos&amp;url=http://tinyurl.com/n9q8b7l&gt;.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>: 09 out. 2018.</w:t>
      </w:r>
    </w:p>
  </w:footnote>
  <w:footnote w:id="15">
    <w:p w14:paraId="5B558462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FACHIN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Luiz Edson. Posse de Estado de Filho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Socioafetividade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análise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constitucional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filiação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Artigo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In: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Soluções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Práticas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-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Fachin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>,</w:t>
      </w:r>
      <w:r>
        <w:rPr>
          <w:rFonts w:ascii="TimesNewRomanPSMT" w:hAnsi="TimesNewRomanPSMT" w:cs="TimesNewRomanPSMT"/>
          <w:sz w:val="22"/>
          <w:szCs w:val="24"/>
        </w:rPr>
        <w:t xml:space="preserve"> v. 2. São Paulo: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Revista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dos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Tribunais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online, 2012,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versão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digital (Thomson Reuters), p. 4.</w:t>
      </w:r>
    </w:p>
  </w:footnote>
  <w:footnote w:id="16">
    <w:p w14:paraId="7AC48860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VELOSO, Zeno. 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Direito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brasileiro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da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filiação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paternidade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. </w:t>
      </w:r>
      <w:r>
        <w:rPr>
          <w:rFonts w:ascii="TimesNewRomanPSMT" w:hAnsi="TimesNewRomanPSMT" w:cs="TimesNewRomanPSMT"/>
          <w:sz w:val="22"/>
          <w:szCs w:val="24"/>
        </w:rPr>
        <w:t xml:space="preserve">São Paulo: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Malheiros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1997, p. 215.</w:t>
      </w:r>
    </w:p>
  </w:footnote>
  <w:footnote w:id="17">
    <w:p w14:paraId="60B0D6D7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ECA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op. cit., loc. cit.</w:t>
      </w:r>
    </w:p>
  </w:footnote>
  <w:footnote w:id="18">
    <w:p w14:paraId="7B2EDBA1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Ver, por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todos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DIÁLOGO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das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fontes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conflito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à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coordenação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normas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brasileiro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Coord.: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Cláudia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Lima Marques. São Paulo: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Revista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dos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Tribunais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2012.</w:t>
      </w:r>
    </w:p>
  </w:footnote>
  <w:footnote w:id="19">
    <w:p w14:paraId="4FACB469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v. 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A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RELAÇÃO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mãe-bebê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uma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visão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winnicottiana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Capítulo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livro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Portal da PUC/RJ.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Demais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dados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ignorados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>: &lt;</w:t>
      </w:r>
      <w:hyperlink r:id="rId6" w:history="1"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https://</w:t>
        </w:r>
        <w:proofErr w:type="spellStart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www.maxwell.vrac.puc-rio.br</w:t>
        </w:r>
        <w:proofErr w:type="spellEnd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/4350/</w:t>
        </w:r>
        <w:proofErr w:type="spellStart"/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4350_5.PDF</w:t>
        </w:r>
        <w:proofErr w:type="spellEnd"/>
      </w:hyperlink>
      <w:r>
        <w:rPr>
          <w:rFonts w:ascii="TimesNewRomanPSMT" w:hAnsi="TimesNewRomanPSMT" w:cs="TimesNewRomanPSMT"/>
          <w:sz w:val="22"/>
          <w:szCs w:val="24"/>
        </w:rPr>
        <w:t xml:space="preserve">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2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mai</w:t>
      </w:r>
      <w:proofErr w:type="spellEnd"/>
      <w:r>
        <w:rPr>
          <w:rFonts w:ascii="TimesNewRomanPSMT" w:hAnsi="TimesNewRomanPSMT" w:cs="TimesNewRomanPSMT"/>
          <w:sz w:val="22"/>
          <w:szCs w:val="24"/>
        </w:rPr>
        <w:t>. 2019.</w:t>
      </w:r>
    </w:p>
  </w:footnote>
  <w:footnote w:id="20">
    <w:p w14:paraId="2F9202FA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Aliás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vale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ver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as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interessantes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imagens que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comparam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vida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dos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humanos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com a de outros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animais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Por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exemplo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v., por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todos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TABELA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dos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gatos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x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humana</w:t>
      </w:r>
      <w:proofErr w:type="spellEnd"/>
      <w:r>
        <w:rPr>
          <w:rFonts w:ascii="TimesNewRomanPSMT" w:hAnsi="TimesNewRomanPSMT" w:cs="TimesNewRomanPSMT"/>
          <w:sz w:val="22"/>
          <w:szCs w:val="24"/>
        </w:rPr>
        <w:t>. [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s.l.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]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Animais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Nota Mil</w:t>
      </w:r>
      <w:r>
        <w:rPr>
          <w:rFonts w:ascii="TimesNewRomanPSMT" w:hAnsi="TimesNewRomanPSMT" w:cs="TimesNewRomanPSMT"/>
          <w:sz w:val="22"/>
          <w:szCs w:val="24"/>
        </w:rPr>
        <w:t xml:space="preserve">. 2013.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Arquivo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digital: &lt;</w:t>
      </w:r>
      <w:hyperlink r:id="rId7" w:history="1">
        <w:r>
          <w:rPr>
            <w:rFonts w:ascii="TimesNewRomanPSMT" w:hAnsi="TimesNewRomanPSMT" w:cs="TimesNewRomanPSMT"/>
            <w:sz w:val="22"/>
            <w:szCs w:val="24"/>
            <w:u w:val="single" w:color="000000"/>
          </w:rPr>
          <w:t>http://animaisnotamil.blogspot.com/2013/08/tabela-da-idade-canina-comparada-idade.html</w:t>
        </w:r>
      </w:hyperlink>
      <w:r>
        <w:rPr>
          <w:rFonts w:ascii="TimesNewRomanPSMT" w:hAnsi="TimesNewRomanPSMT" w:cs="TimesNewRomanPSMT"/>
          <w:sz w:val="22"/>
          <w:szCs w:val="24"/>
        </w:rPr>
        <w:t xml:space="preserve">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02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mai</w:t>
      </w:r>
      <w:proofErr w:type="spellEnd"/>
      <w:r>
        <w:rPr>
          <w:rFonts w:ascii="TimesNewRomanPSMT" w:hAnsi="TimesNewRomanPSMT" w:cs="TimesNewRomanPSMT"/>
          <w:sz w:val="22"/>
          <w:szCs w:val="24"/>
        </w:rPr>
        <w:t>. 2019.</w:t>
      </w:r>
    </w:p>
  </w:footnote>
  <w:footnote w:id="21">
    <w:p w14:paraId="0F88FAB4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v. art. 2º de BRASIL.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União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–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Congresso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Nacional. </w:t>
      </w:r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Lei Federal n. 8.078, de 11 de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setembro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de 1990 [Código de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Defesa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do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Consumidor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– CDC].</w:t>
      </w:r>
      <w:r>
        <w:rPr>
          <w:rFonts w:ascii="TimesNewRomanPSMT" w:hAnsi="TimesNewRomanPSMT" w:cs="TimesNewRomanPSMT"/>
          <w:sz w:val="22"/>
          <w:szCs w:val="24"/>
        </w:rPr>
        <w:t xml:space="preserve"> Portal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Legislação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Governo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Federal, Brasília: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Congresso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Nacional, 11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setembro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1990 (data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publicação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originária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).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>: &lt;http://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www.planalto.gov.br</w:t>
      </w:r>
      <w:proofErr w:type="spellEnd"/>
      <w:r>
        <w:rPr>
          <w:rFonts w:ascii="TimesNewRomanPSMT" w:hAnsi="TimesNewRomanPSMT" w:cs="TimesNewRomanPSMT"/>
          <w:sz w:val="22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ccivil_03</w:t>
      </w:r>
      <w:proofErr w:type="spellEnd"/>
      <w:r>
        <w:rPr>
          <w:rFonts w:ascii="TimesNewRomanPSMT" w:hAnsi="TimesNewRomanPSMT" w:cs="TimesNewRomanPSMT"/>
          <w:sz w:val="22"/>
          <w:szCs w:val="24"/>
        </w:rPr>
        <w:t>/Leis/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L8078.htm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26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jan.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2016.</w:t>
      </w:r>
    </w:p>
  </w:footnote>
  <w:footnote w:id="22">
    <w:p w14:paraId="1506829E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Ver: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TARTUCE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Fernanda.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Igualdade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e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vulnerabilidade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no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processo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civil</w:t>
      </w:r>
      <w:r>
        <w:rPr>
          <w:rFonts w:ascii="TimesNewRomanPSMT" w:hAnsi="TimesNewRomanPSMT" w:cs="TimesNewRomanPSMT"/>
          <w:sz w:val="22"/>
          <w:szCs w:val="24"/>
        </w:rPr>
        <w:t xml:space="preserve">. Rio de Janeiro, RJ: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Editora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Forense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2012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TARTUCE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Fernanda. “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Vulnerabilidade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processual no novo CPC,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artigo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.” In Site Fernanda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Tartuce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Civil. 2016. http://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www.fernandatartuce.com.br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1º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fevereiro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2016)</w:t>
      </w:r>
    </w:p>
  </w:footnote>
  <w:footnote w:id="23">
    <w:p w14:paraId="35CD95DB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TARTUCE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Flávio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sz w:val="22"/>
          <w:szCs w:val="24"/>
        </w:rPr>
        <w:t>Direito Civil, v. 5:</w:t>
      </w:r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família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14. ed. - Rio de Janeiro: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Forense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2019, p. 539.</w:t>
      </w:r>
    </w:p>
  </w:footnote>
  <w:footnote w:id="24">
    <w:p w14:paraId="2AFABDB7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Por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exemplo</w:t>
      </w:r>
      <w:proofErr w:type="spellEnd"/>
      <w:r>
        <w:rPr>
          <w:rFonts w:ascii="TimesNewRomanPSMT" w:hAnsi="TimesNewRomanPSMT" w:cs="TimesNewRomanPSMT"/>
          <w:sz w:val="22"/>
          <w:szCs w:val="24"/>
        </w:rPr>
        <w:t>: “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MATERNIDADE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SOCIOAFETIVA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Preservação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Maternidade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Biológica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Respeito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à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memória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mãe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biológica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falecida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decorrência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parto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e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sua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família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Enteado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criado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como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filho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desde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dois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anos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Filiação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socioafetiva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que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amparo no art. 1.593 do Código Civil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decorre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posse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estado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filho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fruto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longa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estável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convivência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aliado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afeto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considerações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mútuos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sua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manifestação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pública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de forma 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deixar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dúvida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quem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conhece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de que se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trata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parentes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formação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família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moderna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consanguínea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sua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base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afetividade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princípios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dignidade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pessoa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humana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da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solidariedade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Recurso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provido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>” (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TJSP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1ª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Câmara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Direito Privado,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Registro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2012.0000400337.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Apelação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0006422-26.2011.8.26.0286, Comarca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Itu</w:t>
      </w:r>
      <w:proofErr w:type="spellEnd"/>
      <w:r>
        <w:rPr>
          <w:rFonts w:ascii="TimesNewRomanPSMT" w:hAnsi="TimesNewRomanPSMT" w:cs="TimesNewRomanPSMT"/>
          <w:sz w:val="22"/>
          <w:szCs w:val="24"/>
        </w:rPr>
        <w:t>, Rel. Des. Alcides Leopoldo e Silva Júnior).</w:t>
      </w:r>
    </w:p>
  </w:footnote>
  <w:footnote w:id="25">
    <w:p w14:paraId="704CD012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Ver, por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exemplo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notícia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2012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disponível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&lt;https://www.conjur.com.br/2012-mar-28/justica-garante-dupla-paternidade-certidao-nascimento-crianca&gt;.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4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mai</w:t>
      </w:r>
      <w:proofErr w:type="spellEnd"/>
      <w:r>
        <w:rPr>
          <w:rFonts w:ascii="TimesNewRomanPSMT" w:hAnsi="TimesNewRomanPSMT" w:cs="TimesNewRomanPSMT"/>
          <w:sz w:val="22"/>
          <w:szCs w:val="24"/>
        </w:rPr>
        <w:t>. 2019.</w:t>
      </w:r>
    </w:p>
  </w:footnote>
  <w:footnote w:id="26">
    <w:p w14:paraId="4DD74464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“[…] 16.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Recurso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Extraordinário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a que se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nega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provimento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fixando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>-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se 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seguinte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tese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jurídica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para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aplicação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casos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semelhantes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‘A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paternidade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socioafetiva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declarada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ou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registro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público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impede 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reconhecimento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vínculo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filiação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concomitante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baseado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origem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biológica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com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efeitos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jurídicos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próprios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’”. (RE 898060, Relator(a):  Min. LUIZ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FUX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Tribunal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Pleno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julgado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em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21/09/2016,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PROCESSO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ELETRÔNICO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REPERCUSSÃO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GERAL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-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MÉRITO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DJe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-187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DIVULG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23-08-2017 PUBLIC 24-08-2017)</w:t>
      </w:r>
    </w:p>
  </w:footnote>
  <w:footnote w:id="27">
    <w:p w14:paraId="566781ED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Ver, por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exemplo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GAGLIANO, Pablo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Stolze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; PAMPLONA FILHO, Rodolfo. Manual de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civil: volume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único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2. ed. – São Paulo: Saraiva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Educação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2018,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versão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digital (Kindle), loc. 31.000.</w:t>
      </w:r>
    </w:p>
  </w:footnote>
  <w:footnote w:id="28">
    <w:p w14:paraId="5BF03384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ECA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op. cit., loc. cit.,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destaquei</w:t>
      </w:r>
      <w:proofErr w:type="spellEnd"/>
      <w:r>
        <w:rPr>
          <w:rFonts w:ascii="TimesNewRomanPSMT" w:hAnsi="TimesNewRomanPSMT" w:cs="TimesNewRomanPSMT"/>
          <w:sz w:val="22"/>
          <w:szCs w:val="24"/>
        </w:rPr>
        <w:t>.</w:t>
      </w:r>
    </w:p>
  </w:footnote>
  <w:footnote w:id="29">
    <w:p w14:paraId="28F547AA" w14:textId="77777777" w:rsidR="007E2D99" w:rsidRDefault="00814F94">
      <w:pPr>
        <w:pStyle w:val="Footnote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4"/>
          <w:vertAlign w:val="superscript"/>
        </w:rPr>
        <w:footnoteRef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2"/>
          <w:szCs w:val="24"/>
        </w:rPr>
        <w:t xml:space="preserve">Para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mais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sobre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o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assunto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ver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NAMBA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, Edison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Tetsuzo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Direito à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identidade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ou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direito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reconhecimento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das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origens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e a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reprodução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assistida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heteróloga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Artigo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. In: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Revista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 dos </w:t>
      </w:r>
      <w:proofErr w:type="spellStart"/>
      <w:r>
        <w:rPr>
          <w:rFonts w:ascii="TimesNewRomanPS-ItalicMT" w:hAnsi="TimesNewRomanPS-ItalicMT" w:cs="TimesNewRomanPS-ItalicMT"/>
          <w:i/>
          <w:sz w:val="22"/>
          <w:szCs w:val="24"/>
        </w:rPr>
        <w:t>Tribunais</w:t>
      </w:r>
      <w:proofErr w:type="spellEnd"/>
      <w:r>
        <w:rPr>
          <w:rFonts w:ascii="TimesNewRomanPS-ItalicMT" w:hAnsi="TimesNewRomanPS-ItalicMT" w:cs="TimesNewRomanPS-ItalicMT"/>
          <w:i/>
          <w:sz w:val="22"/>
          <w:szCs w:val="24"/>
        </w:rPr>
        <w:t xml:space="preserve">, v. 905/2011, p. 67-87. </w:t>
      </w:r>
      <w:r>
        <w:rPr>
          <w:rFonts w:ascii="TimesNewRomanPSMT" w:hAnsi="TimesNewRomanPSMT" w:cs="TimesNewRomanPSMT"/>
          <w:sz w:val="22"/>
          <w:szCs w:val="24"/>
        </w:rPr>
        <w:t xml:space="preserve">São Paulo/SP: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Revista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dos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Tribunais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Online, mar. 2011, </w:t>
      </w:r>
      <w:proofErr w:type="spellStart"/>
      <w:r>
        <w:rPr>
          <w:rFonts w:ascii="TimesNewRomanPSMT" w:hAnsi="TimesNewRomanPSMT" w:cs="TimesNewRomanPSMT"/>
          <w:sz w:val="22"/>
          <w:szCs w:val="24"/>
        </w:rPr>
        <w:t>versão</w:t>
      </w:r>
      <w:proofErr w:type="spellEnd"/>
      <w:r>
        <w:rPr>
          <w:rFonts w:ascii="TimesNewRomanPSMT" w:hAnsi="TimesNewRomanPSMT" w:cs="TimesNewRomanPSMT"/>
          <w:sz w:val="22"/>
          <w:szCs w:val="24"/>
        </w:rPr>
        <w:t xml:space="preserve"> digital (Thomson Reuters).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F36C" w14:textId="77777777" w:rsidR="007E2D99" w:rsidRDefault="007E2D99">
    <w:pPr>
      <w:spacing w:before="0" w:after="0" w:line="240" w:lineRule="auto"/>
      <w:ind w:right="0" w:firstLine="0"/>
      <w:jc w:val="left"/>
      <w:rPr>
        <w:rFonts w:ascii="TimesNewRomanPSMT" w:hAnsi="TimesNewRomanPSMT" w:cs="TimesNewRomanPSMT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6568"/>
    <w:multiLevelType w:val="hybridMultilevel"/>
    <w:tmpl w:val="7A86FF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hyphenationZone w:val="425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99"/>
    <w:rsid w:val="000606CE"/>
    <w:rsid w:val="00065C62"/>
    <w:rsid w:val="002B6B27"/>
    <w:rsid w:val="00321DDA"/>
    <w:rsid w:val="00322ED1"/>
    <w:rsid w:val="003D3285"/>
    <w:rsid w:val="00533D17"/>
    <w:rsid w:val="00547624"/>
    <w:rsid w:val="005C0476"/>
    <w:rsid w:val="005E672C"/>
    <w:rsid w:val="007E2D99"/>
    <w:rsid w:val="00814F94"/>
    <w:rsid w:val="008736CB"/>
    <w:rsid w:val="00880DAB"/>
    <w:rsid w:val="00974AAD"/>
    <w:rsid w:val="00A85BB7"/>
    <w:rsid w:val="00B316AD"/>
    <w:rsid w:val="00BA68FD"/>
    <w:rsid w:val="00C4188F"/>
    <w:rsid w:val="00D814B1"/>
    <w:rsid w:val="00E8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7B31B"/>
  <w15:docId w15:val="{DF9A6DC8-6A0D-C249-B96B-D267A212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NewRomanPSMT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spacing w:before="120" w:after="120" w:line="360" w:lineRule="auto"/>
      <w:ind w:right="19" w:firstLine="1440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uiPriority w:val="99"/>
    <w:pPr>
      <w:widowControl w:val="0"/>
      <w:tabs>
        <w:tab w:val="left" w:pos="220"/>
        <w:tab w:val="left" w:pos="72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360" w:line="360" w:lineRule="auto"/>
      <w:ind w:left="720" w:hanging="720"/>
      <w:jc w:val="center"/>
      <w:outlineLvl w:val="1"/>
    </w:pPr>
    <w:rPr>
      <w:b/>
      <w:sz w:val="28"/>
    </w:rPr>
  </w:style>
  <w:style w:type="paragraph" w:customStyle="1" w:styleId="Autor">
    <w:name w:val="Autor"/>
    <w:uiPriority w:val="99"/>
    <w:pPr>
      <w:widowControl w:val="0"/>
      <w:autoSpaceDE w:val="0"/>
      <w:autoSpaceDN w:val="0"/>
      <w:adjustRightInd w:val="0"/>
      <w:spacing w:before="120" w:after="120" w:line="360" w:lineRule="auto"/>
      <w:ind w:right="19" w:firstLine="1440"/>
      <w:jc w:val="right"/>
    </w:pPr>
    <w:rPr>
      <w:sz w:val="26"/>
    </w:rPr>
  </w:style>
  <w:style w:type="paragraph" w:customStyle="1" w:styleId="Bibliografia1">
    <w:name w:val="Bibliografia1"/>
    <w:uiPriority w:val="99"/>
    <w:pPr>
      <w:widowControl w:val="0"/>
      <w:autoSpaceDE w:val="0"/>
      <w:autoSpaceDN w:val="0"/>
      <w:adjustRightInd w:val="0"/>
      <w:spacing w:before="60" w:after="60" w:line="240" w:lineRule="atLeast"/>
      <w:ind w:left="720" w:right="19" w:hanging="720"/>
      <w:jc w:val="both"/>
    </w:pPr>
    <w:rPr>
      <w:sz w:val="24"/>
    </w:rPr>
  </w:style>
  <w:style w:type="paragraph" w:customStyle="1" w:styleId="Footnote">
    <w:name w:val="Footnote"/>
    <w:uiPriority w:val="9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yperlink" Target="http://animaisnotamil.blogspot.com/2013/08/tabela-da-idade-canina-comparada-idad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xwell.vrac.puc-rio.br/4350/4350_5.PDF" TargetMode="External"/><Relationship Id="rId12" Type="http://schemas.openxmlformats.org/officeDocument/2006/relationships/hyperlink" Target="http://www.planalto.gov.br/Ccivil_03/leis/L8069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leis/2002/L10406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lanalto.gov.br/ccivil_03/Leis/L807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f.jus.br/portal/jurisprudencia/listarJurisprudencia.asp?s1=%28RE%24%2ESCLA%2E+E+898060%2ENUME%2E%29+OU+%28RE%2EACMS%2E+ADJ2+898060%2EACMS%2E%29&amp;base=baseAcordaos&amp;url=http://tinyurl.com/n9q8b7l" TargetMode="External"/><Relationship Id="rId14" Type="http://schemas.openxmlformats.org/officeDocument/2006/relationships/hyperlink" Target="https://www.direito.ufmg.br/revista/index.php/revista/article/download/1156/1089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alto.gov.br/Ccivil_03/leis/L8069.htm" TargetMode="External"/><Relationship Id="rId7" Type="http://schemas.openxmlformats.org/officeDocument/2006/relationships/hyperlink" Target="http://animaisnotamil.blogspot.com/2013/08/tabela-da-idade-canina-comparada-idade.html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www.direito.ufmg.br/revista/index.php/revista/article/download/1156/1089" TargetMode="External"/><Relationship Id="rId6" Type="http://schemas.openxmlformats.org/officeDocument/2006/relationships/hyperlink" Target="https://www.maxwell.vrac.puc-rio.br/4350/4350_5.PDF" TargetMode="External"/><Relationship Id="rId5" Type="http://schemas.openxmlformats.org/officeDocument/2006/relationships/hyperlink" Target="http://www.planalto.gov.br/ccivil_03/leis/2002/L10406.htm" TargetMode="External"/><Relationship Id="rId4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4175</Words>
  <Characters>22548</Characters>
  <Application>Microsoft Office Word</Application>
  <DocSecurity>4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HIRONAKA Giselda - filiacao crianca e vulnerabilidade - palestra - 2019</vt:lpstr>
    </vt:vector>
  </TitlesOfParts>
  <Company/>
  <LinksUpToDate>false</LinksUpToDate>
  <CharactersWithSpaces>26670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HIRONAKA Giselda - filiacao crianca e vulnerabilidade - palestra - 2019</dc:title>
  <dc:creator>Rommel Andriotti</dc:creator>
  <cp:lastModifiedBy>Claudia Stein</cp:lastModifiedBy>
  <cp:revision>2</cp:revision>
  <dcterms:created xsi:type="dcterms:W3CDTF">2019-05-14T18:17:00Z</dcterms:created>
  <dcterms:modified xsi:type="dcterms:W3CDTF">2019-05-14T18:17:00Z</dcterms:modified>
</cp:coreProperties>
</file>