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BC" w:rsidRDefault="00124F8A" w:rsidP="00650C41">
      <w:pPr>
        <w:jc w:val="center"/>
      </w:pPr>
      <w:r>
        <w:t xml:space="preserve">Exercícios </w:t>
      </w:r>
      <w:r w:rsidR="00F81E9D">
        <w:t xml:space="preserve">– </w:t>
      </w:r>
      <w:r>
        <w:t xml:space="preserve">8 de </w:t>
      </w:r>
      <w:r w:rsidR="0097505C">
        <w:t>abril</w:t>
      </w:r>
      <w:r>
        <w:t xml:space="preserve"> de 201</w:t>
      </w:r>
      <w:r w:rsidR="0097505C">
        <w:t>9</w:t>
      </w:r>
      <w:bookmarkStart w:id="0" w:name="_GoBack"/>
      <w:bookmarkEnd w:id="0"/>
    </w:p>
    <w:p w:rsidR="00124F8A" w:rsidRDefault="00124F8A"/>
    <w:p w:rsidR="00124F8A" w:rsidRDefault="00124F8A" w:rsidP="00EF34A9">
      <w:pPr>
        <w:pStyle w:val="PargrafodaLista"/>
        <w:numPr>
          <w:ilvl w:val="0"/>
          <w:numId w:val="1"/>
        </w:numPr>
        <w:jc w:val="both"/>
      </w:pPr>
      <w:r>
        <w:t>Uma empresa está avaliando a possibilidade de adquirir uma máquina para um novo negóc</w:t>
      </w:r>
      <w:r w:rsidR="00D06D2B">
        <w:t>io. O valor do investimento é d</w:t>
      </w:r>
      <w:r>
        <w:t>e</w:t>
      </w:r>
      <w:r w:rsidR="00D06D2B">
        <w:t xml:space="preserve"> </w:t>
      </w:r>
      <w:r>
        <w:t>$ 300.000. A vida útil da máquina é de cinco anos, sendo depreciada linearmente. Valor residual previsto é nulo. A empresa pretende utilizar recursos próprios até o limite de 40% do valor do investimento.</w:t>
      </w:r>
    </w:p>
    <w:p w:rsidR="00124F8A" w:rsidRDefault="00124F8A" w:rsidP="00EF34A9">
      <w:pPr>
        <w:pStyle w:val="PargrafodaLista"/>
        <w:ind w:left="360"/>
        <w:jc w:val="both"/>
      </w:pPr>
      <w:r>
        <w:t>As receitas previstas para o primeiro ano são de $ 300.000, esperando-se um crescimento constante de 5% a.a. Os custos de produção e as despesas operacionais estimadas para o primeiro ano são de $ 75.000 e $ 93.000, respectivamente. Espera-se que os custos de produção cresçam a partir do primeiro ano à taxa de 6% a.a. e as despesas operacionais em 8% a.a. O custo efetivo da dívida (antes do Imposto de Renda) é de 15% a.a., sendo 34% a alíquota de Imposto de Renda admitida pelo projeto.</w:t>
      </w:r>
    </w:p>
    <w:p w:rsidR="00124F8A" w:rsidRDefault="00124F8A" w:rsidP="00EF34A9">
      <w:pPr>
        <w:pStyle w:val="PargrafodaLista"/>
        <w:ind w:left="360"/>
        <w:jc w:val="both"/>
      </w:pPr>
      <w:r>
        <w:t>O índice beta é de 0,9 para o projeto. A taxa livre de risco é de 5,5% e o prêmio pe</w:t>
      </w:r>
      <w:r w:rsidR="00EF34A9">
        <w:t>l</w:t>
      </w:r>
      <w:r>
        <w:t xml:space="preserve">o risco </w:t>
      </w:r>
      <w:proofErr w:type="gramStart"/>
      <w:r>
        <w:t>de</w:t>
      </w:r>
      <w:proofErr w:type="gramEnd"/>
      <w:r>
        <w:t xml:space="preserve"> mercado é de 14%</w:t>
      </w:r>
    </w:p>
    <w:p w:rsidR="00124F8A" w:rsidRDefault="00124F8A" w:rsidP="00EF34A9">
      <w:pPr>
        <w:pStyle w:val="PargrafodaLista"/>
        <w:ind w:left="360"/>
        <w:jc w:val="both"/>
      </w:pPr>
      <w:r>
        <w:t>Determine a viabilidade do projeto através do método do Valor Presente Líquido, admitindo o benef</w:t>
      </w:r>
      <w:r w:rsidR="00EF34A9">
        <w:t>í</w:t>
      </w:r>
      <w:r>
        <w:t xml:space="preserve">cio fiscal da depreciação. </w:t>
      </w:r>
    </w:p>
    <w:p w:rsidR="00124F8A" w:rsidRDefault="00124F8A" w:rsidP="00124F8A">
      <w:pPr>
        <w:pStyle w:val="PargrafodaLista"/>
        <w:ind w:left="360"/>
      </w:pPr>
    </w:p>
    <w:p w:rsidR="00124F8A" w:rsidRDefault="00124F8A" w:rsidP="00124F8A">
      <w:pPr>
        <w:pStyle w:val="PargrafodaLista"/>
        <w:ind w:left="360"/>
      </w:pPr>
    </w:p>
    <w:p w:rsidR="00EF34A9" w:rsidRPr="00EF34A9" w:rsidRDefault="00441D17" w:rsidP="00EF34A9">
      <w:pPr>
        <w:pStyle w:val="PargrafodaLista"/>
        <w:numPr>
          <w:ilvl w:val="0"/>
          <w:numId w:val="1"/>
        </w:numPr>
        <w:jc w:val="both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3153916</wp:posOffset>
                </wp:positionH>
                <wp:positionV relativeFrom="paragraph">
                  <wp:posOffset>557530</wp:posOffset>
                </wp:positionV>
                <wp:extent cx="1045845" cy="255270"/>
                <wp:effectExtent l="0" t="0" r="20955" b="1143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D17" w:rsidRPr="00441D17" w:rsidRDefault="00441D17">
                            <w:pPr>
                              <w:rPr>
                                <w:color w:val="00B0F0"/>
                              </w:rPr>
                            </w:pPr>
                            <w:r w:rsidRPr="00441D17">
                              <w:rPr>
                                <w:color w:val="00B0F0"/>
                              </w:rPr>
                              <w:t>Dica: atenção!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8.35pt;margin-top:43.9pt;width:82.35pt;height:20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ViMgIAAE8EAAAOAAAAZHJzL2Uyb0RvYy54bWysVNtu2zAMfR+wfxD0vtgx4qU14hRdugwD&#10;ugvQ7gNoWY6FyaInKbGzrx8lp1mWvQ3TgyCa1BF5DunV3dhpdpDWKTQln89SzqQRWCuzK/m35+2b&#10;G86cB1ODRiNLfpSO361fv1oNfSEzbFHX0jICMa4Y+pK33vdFkjjRyg7cDHtpyNmg7cCTaXdJbWEg&#10;9E4nWZq+TQa0dW9RSOfo68Pk5OuI3zRS+C9N46RnuuSUm4+7jXsV9mS9gmJnoW+VOKUB/5BFB8rQ&#10;o2eoB/DA9lb9BdUpYdFh42cCuwSbRgkZa6Bq5ulVNU8t9DLWQuS4/kyT+3+w4vPhq2WqLnk2X3Jm&#10;oCORNqBGYLVkz3L0yLLA0tC7goKfegr34zscSe1YsesfUXx3zOCmBbOT99bi0EqoKct5uJlcXJ1w&#10;XACphk9Y02Ow9xiBxsZ2gUIihRE6qXU8K0R5MBGeTBf5zSLnTJAvy/NsGSVMoHi53VvnP0jsWDiU&#10;3FIHRHQ4PDofsoHiJSQ85lCrequ0jobdVRtt2QGoW7ZxxQKuwrRhQ8lv8yyfCPgDIjSuPIOAENL4&#10;iYYrlE556nytupLfpGFNvRiYe2/q2JcelJ7OlLU2JyoDexOPfqzGkzQV1kci1eLU4TSRdGjR/uRs&#10;oO4uufuxBys50x8NCXM7XyzCOERjkS8zMuylp7r0gBEEVXLP2XTc+DhCgTOD9yRgoyK3Qekpk1Ou&#10;1LWR8tOEhbG4tGPU7//A+hcAAAD//wMAUEsDBBQABgAIAAAAIQC28nTR4QAAAAoBAAAPAAAAZHJz&#10;L2Rvd25yZXYueG1sTI/LTsMwEEX3SPyDNUjsqNMqJGmIUyEe3aHSFAmWbjwkEfE4xG4b+HqGFSxH&#10;c3TvucVqsr044ug7RwrmswgEUu1MR42Cl93jVQbCB01G945QwRd6WJXnZ4XOjTvRFo9VaASHkM+1&#10;gjaEIZfS1y1a7WduQOLfuxutDnyOjTSjPnG47eUiihJpdUfc0OoB71qsP6qDVfAQX6dLmVVP369v&#10;n8/368H1m3Ws1OXFdHsDIuAU/mD41Wd1KNlp7w5kvOgVxMskZVRBlvIEBpJkHoPYM7nIIpBlIf9P&#10;KH8AAAD//wMAUEsBAi0AFAAGAAgAAAAhALaDOJL+AAAA4QEAABMAAAAAAAAAAAAAAAAAAAAAAFtD&#10;b250ZW50X1R5cGVzXS54bWxQSwECLQAUAAYACAAAACEAOP0h/9YAAACUAQAACwAAAAAAAAAAAAAA&#10;AAAvAQAAX3JlbHMvLnJlbHNQSwECLQAUAAYACAAAACEAquF1YjICAABPBAAADgAAAAAAAAAAAAAA&#10;AAAuAgAAZHJzL2Uyb0RvYy54bWxQSwECLQAUAAYACAAAACEAtvJ00eEAAAAKAQAADwAAAAAAAAAA&#10;AAAAAACMBAAAZHJzL2Rvd25yZXYueG1sUEsFBgAAAAAEAAQA8wAAAJoFAAAAAA==&#10;" strokecolor="#5b9bd5 [3204]">
                <v:textbox>
                  <w:txbxContent>
                    <w:p w:rsidR="00441D17" w:rsidRPr="00441D17" w:rsidRDefault="00441D17">
                      <w:pPr>
                        <w:rPr>
                          <w:color w:val="00B0F0"/>
                        </w:rPr>
                      </w:pPr>
                      <w:r w:rsidRPr="00441D17">
                        <w:rPr>
                          <w:color w:val="00B0F0"/>
                        </w:rPr>
                        <w:t>Dica: atenção!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2631709</wp:posOffset>
                </wp:positionH>
                <wp:positionV relativeFrom="paragraph">
                  <wp:posOffset>535918</wp:posOffset>
                </wp:positionV>
                <wp:extent cx="805912" cy="286719"/>
                <wp:effectExtent l="38100" t="38100" r="32385" b="7556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912" cy="286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FBD4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207.2pt;margin-top:42.2pt;width:63.45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O+3gEAAB0EAAAOAAAAZHJzL2Uyb0RvYy54bWysU9uO0zAQfUfiHyy/0ySVWLpV033oAi8I&#10;Ki4f4HXGjSXfNB56+XvGTjeLYIUE4mUSxz7H55yZbO7O3okjYLYx9LJbtFJA0HGw4dDLb1/fvVpJ&#10;kUmFQbkYoJcXyPJu+/LF5pTWsIxjdAOgYJKQ16fUy5EorZsm6xG8youYIPCmiegV8RIPzYDqxOze&#10;Ncu2vWlOEYeEUUPO/PV+2pTbym8MaPpkTAYSrpesjWrFWh9KbbYbtT6gSqPVVxnqH1R4ZQNfOlPd&#10;K1LiO9rfqLzVGHM0tNDRN9EYq6F6YDdd+4ubL6NKUL1wODnNMeX/R6s/Hvco7MC9kyIozy3acaM0&#10;RRQDCE5OCSylK1GdUl4zYhf2eF3ltMfi+2zQlyc7Euca72WOF84kNH9cta9vu6UUmreWq5s33W3h&#10;bJ7ACTO9h+hFeellJlT2MBILmhR1NWJ1/JBpAj4Cys0ulDqCGt6GQdAlsRVCq8LBwdRmUtY9v8ca&#10;Crwp/iZH9Y0uDibqz2A4JPYwSajjCTuH4qh4sJTWEKgmVJn4dIEZ69wMbKv2PwKv5wsU6uj+DXhG&#10;1JtjoBnsbYj43O10fpRspvOPCUy+SwQPcbjUXtdoeAZrv67/Sxnyn9cV/vRXb38AAAD//wMAUEsD&#10;BBQABgAIAAAAIQDpY6ZC3gAAAAoBAAAPAAAAZHJzL2Rvd25yZXYueG1sTI/LasMwEEX3hf6DmEB3&#10;jeTUDbFrOZRCm12hSaBb2ZrYJtbISPKjf19l1a6GYQ53zi32i+nZhM53liQkawEMqba6o0bC+fT+&#10;uAPmgyKtekso4Qc97Mv7u0Ll2s70hdMxNCyGkM+VhDaEIefc1y0a5dd2QIq3i3VGhbi6hmun5hhu&#10;er4RYsuN6ih+aNWAby3W1+NoJND3Ik7NIC6f83SoXPYRRn/IpHxYLa8vwAIu4Q+Gm35UhzI6VXYk&#10;7VkvIU3SNKISdrcZgec0eQJWRXKTbYGXBf9fofwFAAD//wMAUEsBAi0AFAAGAAgAAAAhALaDOJL+&#10;AAAA4QEAABMAAAAAAAAAAAAAAAAAAAAAAFtDb250ZW50X1R5cGVzXS54bWxQSwECLQAUAAYACAAA&#10;ACEAOP0h/9YAAACUAQAACwAAAAAAAAAAAAAAAAAvAQAAX3JlbHMvLnJlbHNQSwECLQAUAAYACAAA&#10;ACEAGvBDvt4BAAAdBAAADgAAAAAAAAAAAAAAAAAuAgAAZHJzL2Uyb0RvYy54bWxQSwECLQAUAAYA&#10;CAAAACEA6WOmQt4AAAAKAQAADwAAAAAAAAAAAAAAAAA4BAAAZHJzL2Rvd25yZXYueG1sUEsFBgAA&#10;AAAEAAQA8wAAAEM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EF34A9" w:rsidRPr="00EF34A9">
        <w:t>A cia JKM atua em dois segmentos de negócios: papel e celulose e construção civil. O índice de endividamento (P/PL) mantido pela empresa da divisão de papel e celulose é de 80%, e o da divisão</w:t>
      </w:r>
      <w:r w:rsidR="00ED6BFC">
        <w:t xml:space="preserve"> de construção civil é de 6</w:t>
      </w:r>
      <w:r w:rsidR="00EF34A9" w:rsidRPr="00EF34A9">
        <w:t>0%. As principais informações de cada setor são apresentadas a seguir: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1843"/>
        <w:gridCol w:w="1984"/>
      </w:tblGrid>
      <w:tr w:rsidR="00EF34A9" w:rsidTr="00EF34A9">
        <w:trPr>
          <w:jc w:val="center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b/>
                <w:bCs/>
                <w:color w:val="000000" w:themeColor="text1"/>
                <w:kern w:val="24"/>
                <w:sz w:val="22"/>
                <w:szCs w:val="56"/>
              </w:rPr>
              <w:t>Indicador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b/>
                <w:bCs/>
                <w:color w:val="000000" w:themeColor="text1"/>
                <w:kern w:val="24"/>
                <w:sz w:val="22"/>
                <w:szCs w:val="56"/>
              </w:rPr>
              <w:t>Papel e celulose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b/>
                <w:bCs/>
                <w:color w:val="000000" w:themeColor="text1"/>
                <w:kern w:val="24"/>
                <w:sz w:val="22"/>
                <w:szCs w:val="56"/>
              </w:rPr>
              <w:t>Construção</w:t>
            </w:r>
            <w:r w:rsidRPr="00EF34A9">
              <w:rPr>
                <w:rFonts w:ascii="Perpetua" w:hAnsi="Perpetua" w:cs="Arial"/>
                <w:b/>
                <w:bCs/>
                <w:color w:val="000000" w:themeColor="text1"/>
                <w:kern w:val="24"/>
                <w:position w:val="1"/>
                <w:sz w:val="22"/>
                <w:szCs w:val="56"/>
              </w:rPr>
              <w:t xml:space="preserve"> civil</w:t>
            </w:r>
          </w:p>
        </w:tc>
      </w:tr>
      <w:tr w:rsidR="00EF34A9" w:rsidTr="00EF34A9">
        <w:trPr>
          <w:jc w:val="center"/>
        </w:trPr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color w:val="000000" w:themeColor="text1"/>
                <w:kern w:val="24"/>
                <w:sz w:val="22"/>
                <w:szCs w:val="56"/>
              </w:rPr>
              <w:t>Endividamento (P/PL)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color w:val="000000" w:themeColor="text1"/>
                <w:kern w:val="24"/>
                <w:sz w:val="22"/>
                <w:szCs w:val="56"/>
              </w:rPr>
              <w:t>80%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F34A9" w:rsidRPr="00EF34A9" w:rsidRDefault="00ED6BFC" w:rsidP="00EF34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>
              <w:rPr>
                <w:rFonts w:ascii="Perpetua" w:hAnsi="Perpetua" w:cs="Arial"/>
                <w:color w:val="000000" w:themeColor="text1"/>
                <w:kern w:val="24"/>
                <w:sz w:val="22"/>
                <w:szCs w:val="56"/>
              </w:rPr>
              <w:t>4</w:t>
            </w:r>
            <w:r w:rsidR="00EF34A9" w:rsidRPr="00EF34A9">
              <w:rPr>
                <w:rFonts w:ascii="Perpetua" w:hAnsi="Perpetua" w:cs="Arial"/>
                <w:color w:val="000000" w:themeColor="text1"/>
                <w:kern w:val="24"/>
                <w:sz w:val="22"/>
                <w:szCs w:val="56"/>
              </w:rPr>
              <w:t>0%</w:t>
            </w:r>
          </w:p>
        </w:tc>
      </w:tr>
      <w:tr w:rsidR="00EF34A9" w:rsidTr="00EF34A9">
        <w:trPr>
          <w:jc w:val="center"/>
        </w:trPr>
        <w:tc>
          <w:tcPr>
            <w:tcW w:w="2050" w:type="dxa"/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color w:val="000000" w:themeColor="text1"/>
                <w:kern w:val="24"/>
                <w:sz w:val="22"/>
                <w:szCs w:val="56"/>
              </w:rPr>
              <w:t>Coeficiente beta</w:t>
            </w:r>
          </w:p>
        </w:tc>
        <w:tc>
          <w:tcPr>
            <w:tcW w:w="1843" w:type="dxa"/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color w:val="000000" w:themeColor="text1"/>
                <w:kern w:val="24"/>
                <w:sz w:val="22"/>
                <w:szCs w:val="56"/>
              </w:rPr>
              <w:t>0,8</w:t>
            </w:r>
          </w:p>
        </w:tc>
        <w:tc>
          <w:tcPr>
            <w:tcW w:w="1984" w:type="dxa"/>
            <w:vAlign w:val="center"/>
          </w:tcPr>
          <w:p w:rsidR="00EF34A9" w:rsidRPr="00EF34A9" w:rsidRDefault="00EF34A9" w:rsidP="00EF34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36"/>
              </w:rPr>
            </w:pPr>
            <w:r w:rsidRPr="00EF34A9">
              <w:rPr>
                <w:rFonts w:ascii="Perpetua" w:hAnsi="Perpetua" w:cs="Arial"/>
                <w:color w:val="000000" w:themeColor="text1"/>
                <w:kern w:val="24"/>
                <w:sz w:val="22"/>
                <w:szCs w:val="56"/>
              </w:rPr>
              <w:t>1,06</w:t>
            </w:r>
          </w:p>
        </w:tc>
      </w:tr>
    </w:tbl>
    <w:p w:rsidR="00EF34A9" w:rsidRDefault="00EF34A9" w:rsidP="00EF34A9">
      <w:pPr>
        <w:pStyle w:val="PargrafodaLista"/>
        <w:ind w:left="360"/>
      </w:pPr>
    </w:p>
    <w:p w:rsidR="00EF34A9" w:rsidRDefault="00EF34A9" w:rsidP="00EF34A9">
      <w:pPr>
        <w:pStyle w:val="PargrafodaLista"/>
        <w:ind w:left="360"/>
        <w:jc w:val="both"/>
      </w:pPr>
      <w:r w:rsidRPr="00EF34A9">
        <w:t>O custo de captação de recursos de terceiros é de 12,5% a.a., antes do benefício fiscal. A alíquota de Impostos de renda é de 34%. Os títulos públicos pagam juros de 6,5% a.a. e a taxa de retorno da carteira</w:t>
      </w:r>
      <w:r>
        <w:t xml:space="preserve"> de mercado atinge 15,8%. Admita que o valor de mercado das duas divisões seja igual</w:t>
      </w:r>
      <w:r w:rsidR="00E62E27">
        <w:t>. Pede-se determinar o WAC</w:t>
      </w:r>
      <w:r>
        <w:t>C de cada divisão e o WA</w:t>
      </w:r>
      <w:r w:rsidR="00E62E27">
        <w:t>C</w:t>
      </w:r>
      <w:r>
        <w:t>C da Cia JKM.</w:t>
      </w:r>
    </w:p>
    <w:p w:rsidR="00EF34A9" w:rsidRDefault="00EF34A9" w:rsidP="00EF34A9">
      <w:pPr>
        <w:pStyle w:val="PargrafodaLista"/>
        <w:ind w:left="360"/>
      </w:pPr>
    </w:p>
    <w:p w:rsidR="00F81E9D" w:rsidRPr="00EF34A9" w:rsidRDefault="00F81E9D" w:rsidP="00EF34A9">
      <w:pPr>
        <w:pStyle w:val="PargrafodaLista"/>
        <w:ind w:left="360"/>
      </w:pPr>
    </w:p>
    <w:p w:rsidR="00EF34A9" w:rsidRDefault="00F81E9D" w:rsidP="00F81E9D">
      <w:pPr>
        <w:pStyle w:val="PargrafodaLista"/>
        <w:numPr>
          <w:ilvl w:val="0"/>
          <w:numId w:val="1"/>
        </w:numPr>
        <w:jc w:val="both"/>
      </w:pPr>
      <w:r>
        <w:t>Considere uma companhia aberta com ações negociadas em Bolsa de Valores. As taxas de retorno de suas ações apresentam uma covariância com os retornos de mercado igual a 0,052. O desvio-padrão das taxas de retorno das ações da empresa é de 0,198 e dos retornos de mercado, de 0,211.</w:t>
      </w:r>
    </w:p>
    <w:p w:rsidR="00F81E9D" w:rsidRDefault="00F81E9D" w:rsidP="00F81E9D">
      <w:pPr>
        <w:pStyle w:val="PargrafodaLista"/>
        <w:ind w:left="360"/>
        <w:jc w:val="both"/>
      </w:pPr>
      <w:r>
        <w:t>A empresa mantém um endividamento oneroso médio de $ 15,0 milhões, captando a uma taxa efetiva bruta (antes do benefício fiscal) de 15,0% a.a. O capital dos acionistas investido na empresa, expresso em valor de mercado, está estimado em $ 30,0 milhões. A empresa considera essa relação entre passivo e patrimônio líquido adequada. A alíquota de Imposto de Renda é de 34%. Sabe-se ainda que os títulos públicos pagam 6,5% a.a. de juros e o prêmio histórico de risco de mercado é de 10,1%. Pede-se determinar o custo médio ponderado de capital (WA</w:t>
      </w:r>
      <w:r w:rsidR="00E62E27">
        <w:t>C</w:t>
      </w:r>
      <w:r>
        <w:t xml:space="preserve">C) dessa empresa.  </w:t>
      </w:r>
    </w:p>
    <w:p w:rsidR="00F81E9D" w:rsidRDefault="00F81E9D" w:rsidP="00F81E9D">
      <w:pPr>
        <w:pStyle w:val="PargrafodaLista"/>
        <w:ind w:left="360"/>
      </w:pPr>
    </w:p>
    <w:p w:rsidR="00124F8A" w:rsidRDefault="00124F8A" w:rsidP="00124F8A">
      <w:pPr>
        <w:pStyle w:val="PargrafodaLista"/>
        <w:ind w:left="360"/>
      </w:pPr>
    </w:p>
    <w:p w:rsidR="00124F8A" w:rsidRDefault="00124F8A" w:rsidP="00F81E9D">
      <w:pPr>
        <w:pStyle w:val="PargrafodaLista"/>
        <w:ind w:left="360"/>
      </w:pPr>
    </w:p>
    <w:sectPr w:rsidR="0012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E08"/>
    <w:multiLevelType w:val="hybridMultilevel"/>
    <w:tmpl w:val="085AC6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8A"/>
    <w:rsid w:val="00124F8A"/>
    <w:rsid w:val="00441D17"/>
    <w:rsid w:val="00650C41"/>
    <w:rsid w:val="006E1BBC"/>
    <w:rsid w:val="0097505C"/>
    <w:rsid w:val="00D06D2B"/>
    <w:rsid w:val="00D11630"/>
    <w:rsid w:val="00E62E27"/>
    <w:rsid w:val="00ED6BFC"/>
    <w:rsid w:val="00EF34A9"/>
    <w:rsid w:val="00F8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9E63-47FF-4DB8-8747-8F90A475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F8A"/>
    <w:pPr>
      <w:ind w:left="720"/>
      <w:contextualSpacing/>
    </w:pPr>
  </w:style>
  <w:style w:type="table" w:styleId="Tabelacomgrade">
    <w:name w:val="Table Grid"/>
    <w:basedOn w:val="Tabelanormal"/>
    <w:uiPriority w:val="39"/>
    <w:rsid w:val="00EF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USP</cp:lastModifiedBy>
  <cp:revision>2</cp:revision>
  <dcterms:created xsi:type="dcterms:W3CDTF">2019-04-08T03:23:00Z</dcterms:created>
  <dcterms:modified xsi:type="dcterms:W3CDTF">2019-04-08T03:23:00Z</dcterms:modified>
</cp:coreProperties>
</file>