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9072" w:type="dxa"/>
        <w:tblInd w:w="-714" w:type="dxa"/>
        <w:tblLook w:val="04A0" w:firstRow="1" w:lastRow="0" w:firstColumn="1" w:lastColumn="0" w:noHBand="0" w:noVBand="1"/>
      </w:tblPr>
      <w:tblGrid>
        <w:gridCol w:w="1418"/>
        <w:gridCol w:w="3515"/>
        <w:gridCol w:w="4139"/>
      </w:tblGrid>
      <w:tr w:rsidR="00827A35" w:rsidTr="00827A35">
        <w:tc>
          <w:tcPr>
            <w:tcW w:w="1418" w:type="dxa"/>
          </w:tcPr>
          <w:p w:rsidR="00827A35" w:rsidRPr="00C65D24" w:rsidRDefault="00CE2042" w:rsidP="000D668F">
            <w:pPr>
              <w:rPr>
                <w:b/>
                <w:bCs/>
              </w:rPr>
            </w:pPr>
            <w:r w:rsidRPr="00C65D24">
              <w:rPr>
                <w:b/>
                <w:bCs/>
              </w:rPr>
              <w:t>Mestrando</w:t>
            </w:r>
          </w:p>
        </w:tc>
        <w:tc>
          <w:tcPr>
            <w:tcW w:w="3515" w:type="dxa"/>
          </w:tcPr>
          <w:p w:rsidR="00827A35" w:rsidRPr="00C65D24" w:rsidRDefault="00CE2042" w:rsidP="000D668F">
            <w:pPr>
              <w:rPr>
                <w:b/>
                <w:bCs/>
              </w:rPr>
            </w:pPr>
            <w:r w:rsidRPr="00C65D24">
              <w:rPr>
                <w:b/>
                <w:bCs/>
              </w:rPr>
              <w:t>TEMA</w:t>
            </w:r>
          </w:p>
        </w:tc>
        <w:tc>
          <w:tcPr>
            <w:tcW w:w="4139" w:type="dxa"/>
          </w:tcPr>
          <w:p w:rsidR="00827A35" w:rsidRDefault="00CE2042" w:rsidP="000D668F">
            <w:r w:rsidRPr="00C65D24">
              <w:rPr>
                <w:b/>
                <w:bCs/>
              </w:rPr>
              <w:t>Problematiza</w:t>
            </w:r>
            <w:r w:rsidR="004254B9">
              <w:rPr>
                <w:b/>
                <w:bCs/>
              </w:rPr>
              <w:t>çã</w:t>
            </w:r>
            <w:r w:rsidRPr="00C65D24">
              <w:rPr>
                <w:b/>
                <w:bCs/>
              </w:rPr>
              <w:t>o</w:t>
            </w:r>
            <w:r w:rsidR="004254B9">
              <w:rPr>
                <w:b/>
                <w:bCs/>
              </w:rPr>
              <w:t>/</w:t>
            </w:r>
            <w:r w:rsidRPr="00C65D24">
              <w:rPr>
                <w:b/>
                <w:bCs/>
              </w:rPr>
              <w:t>Hip</w:t>
            </w:r>
            <w:r w:rsidR="004254B9">
              <w:rPr>
                <w:b/>
                <w:bCs/>
              </w:rPr>
              <w:t>ó</w:t>
            </w:r>
            <w:r w:rsidRPr="00C65D24">
              <w:rPr>
                <w:b/>
                <w:bCs/>
              </w:rPr>
              <w:t>tese</w:t>
            </w:r>
            <w:r w:rsidR="004254B9">
              <w:rPr>
                <w:b/>
                <w:bCs/>
              </w:rPr>
              <w:t>/Tipo de pesquisa</w:t>
            </w:r>
          </w:p>
        </w:tc>
      </w:tr>
      <w:tr w:rsidR="00827A35" w:rsidTr="00827A35">
        <w:tc>
          <w:tcPr>
            <w:tcW w:w="1418" w:type="dxa"/>
          </w:tcPr>
          <w:p w:rsidR="00827A35" w:rsidRPr="007E41D1" w:rsidRDefault="00CE2042" w:rsidP="000D668F">
            <w:pPr>
              <w:rPr>
                <w:rFonts w:cstheme="minorHAnsi"/>
              </w:rPr>
            </w:pPr>
            <w:proofErr w:type="spellStart"/>
            <w:r w:rsidRPr="007E41D1">
              <w:rPr>
                <w:rFonts w:cstheme="minorHAnsi"/>
              </w:rPr>
              <w:t>Arl</w:t>
            </w:r>
            <w:r w:rsidR="00847E96" w:rsidRPr="007E41D1">
              <w:rPr>
                <w:rFonts w:cstheme="minorHAnsi"/>
              </w:rPr>
              <w:t>ey</w:t>
            </w:r>
            <w:proofErr w:type="spellEnd"/>
            <w:r w:rsidR="00847E96" w:rsidRPr="007E41D1">
              <w:rPr>
                <w:rFonts w:cstheme="minorHAnsi"/>
              </w:rPr>
              <w:t xml:space="preserve"> de Mattos</w:t>
            </w:r>
          </w:p>
        </w:tc>
        <w:tc>
          <w:tcPr>
            <w:tcW w:w="3515" w:type="dxa"/>
          </w:tcPr>
          <w:p w:rsidR="00827A35" w:rsidRPr="007E41D1" w:rsidRDefault="00CE2042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Identidade de gênero e acesso a justiça: obstáculos para alteração do registro civil</w:t>
            </w:r>
            <w:r w:rsidR="00847E96" w:rsidRPr="007E41D1">
              <w:rPr>
                <w:rFonts w:cstheme="minorHAnsi"/>
              </w:rPr>
              <w:t xml:space="preserve"> de transgêneros</w:t>
            </w:r>
          </w:p>
        </w:tc>
        <w:tc>
          <w:tcPr>
            <w:tcW w:w="4139" w:type="dxa"/>
          </w:tcPr>
          <w:p w:rsidR="00827A35" w:rsidRPr="007E41D1" w:rsidRDefault="00847E96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Problema</w:t>
            </w:r>
            <w:r w:rsidRPr="007E41D1">
              <w:rPr>
                <w:rFonts w:cstheme="minorHAnsi"/>
              </w:rPr>
              <w:t>: Quais os obstáculos de natureza institucional enfrentados por transgêneros que buscaram o reconhecimento do direito à autodeterminação de gênero em ações de retificação de registro civil?</w:t>
            </w:r>
          </w:p>
          <w:p w:rsidR="00847E96" w:rsidRPr="007E41D1" w:rsidRDefault="00847E96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Hipótese</w:t>
            </w:r>
            <w:r w:rsidRPr="007E41D1">
              <w:rPr>
                <w:rFonts w:cstheme="minorHAnsi"/>
              </w:rPr>
              <w:t xml:space="preserve">: </w:t>
            </w:r>
            <w:r w:rsidR="00FC174C" w:rsidRPr="007E41D1">
              <w:rPr>
                <w:rFonts w:cstheme="minorHAnsi"/>
              </w:rPr>
              <w:t>Pessoas transgêneros convivem com o preconceito e a exclusão social, representando uma minoria cotidianamente violentada. Por essa razão, esse estigma é sentido na interação desses indivíduos com os agentes o sistema de justiça (expressa em petições iniciais, pareceres, requerimentos de prova, recursos, decisões e outras medidas judiciais), representando um óbice à concretização do direito à autodeterminação de gênero.</w:t>
            </w:r>
          </w:p>
          <w:p w:rsidR="00847E96" w:rsidRPr="007E41D1" w:rsidRDefault="00847E96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Tipo de pesquisa (análise dos procedimentos metodológicos</w:t>
            </w:r>
            <w:r w:rsidRPr="007E41D1">
              <w:rPr>
                <w:rFonts w:cstheme="minorHAnsi"/>
              </w:rPr>
              <w:t>):</w:t>
            </w: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Adrian</w:t>
            </w:r>
            <w:r w:rsidR="003160B2" w:rsidRPr="007E41D1">
              <w:rPr>
                <w:rFonts w:cstheme="minorHAnsi"/>
              </w:rPr>
              <w:t>e Porto</w:t>
            </w:r>
          </w:p>
        </w:tc>
        <w:tc>
          <w:tcPr>
            <w:tcW w:w="3515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 xml:space="preserve">Diálogos entre cortes: </w:t>
            </w:r>
            <w:r w:rsidR="003160B2" w:rsidRPr="007E41D1">
              <w:rPr>
                <w:rFonts w:cstheme="minorHAnsi"/>
              </w:rPr>
              <w:t>CIDH e STF</w:t>
            </w:r>
          </w:p>
        </w:tc>
        <w:tc>
          <w:tcPr>
            <w:tcW w:w="4139" w:type="dxa"/>
          </w:tcPr>
          <w:p w:rsidR="00827A35" w:rsidRPr="007E41D1" w:rsidRDefault="003160B2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 xml:space="preserve">Problema: </w:t>
            </w:r>
            <w:r w:rsidRPr="007E41D1">
              <w:rPr>
                <w:rFonts w:cstheme="minorHAnsi"/>
              </w:rPr>
              <w:t>Pretende-se verificar se os julgados do STF são compatíveis com os julgados da Corte Interamericana de Direitos Humanos, em matéria processual civil.</w:t>
            </w:r>
          </w:p>
          <w:p w:rsidR="003160B2" w:rsidRPr="007E41D1" w:rsidRDefault="003160B2" w:rsidP="000D668F">
            <w:pPr>
              <w:rPr>
                <w:rFonts w:cstheme="minorHAnsi"/>
                <w:b/>
                <w:bCs/>
              </w:rPr>
            </w:pPr>
            <w:r w:rsidRPr="007E41D1">
              <w:rPr>
                <w:rFonts w:cstheme="minorHAnsi"/>
                <w:b/>
                <w:bCs/>
              </w:rPr>
              <w:t xml:space="preserve">Hipótese: </w:t>
            </w:r>
            <w:r w:rsidR="00847E96" w:rsidRPr="007E41D1">
              <w:rPr>
                <w:rFonts w:cstheme="minorHAnsi"/>
              </w:rPr>
              <w:t>Os julgados da Corte Interamericana de Direitos Humanos são precedentes obrigatórios para seus signatários.</w:t>
            </w:r>
          </w:p>
          <w:p w:rsidR="003160B2" w:rsidRPr="007E41D1" w:rsidRDefault="003160B2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Tipo de pesquisa (análise dos procedimentos metodológicos</w:t>
            </w:r>
            <w:r w:rsidRPr="007E41D1">
              <w:rPr>
                <w:rFonts w:cstheme="minorHAnsi"/>
              </w:rPr>
              <w:t>):</w:t>
            </w: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proofErr w:type="spellStart"/>
            <w:r w:rsidRPr="007E41D1">
              <w:rPr>
                <w:rFonts w:cstheme="minorHAnsi"/>
              </w:rPr>
              <w:t>Ak</w:t>
            </w:r>
            <w:r w:rsidR="006E724F" w:rsidRPr="007E41D1">
              <w:rPr>
                <w:rFonts w:cstheme="minorHAnsi"/>
              </w:rPr>
              <w:t>ll</w:t>
            </w:r>
            <w:r w:rsidRPr="007E41D1">
              <w:rPr>
                <w:rFonts w:cstheme="minorHAnsi"/>
              </w:rPr>
              <w:t>a</w:t>
            </w:r>
            <w:proofErr w:type="spellEnd"/>
            <w:r w:rsidR="006E724F" w:rsidRPr="007E41D1">
              <w:rPr>
                <w:rFonts w:cstheme="minorHAnsi"/>
              </w:rPr>
              <w:t xml:space="preserve"> Salles</w:t>
            </w:r>
          </w:p>
        </w:tc>
        <w:tc>
          <w:tcPr>
            <w:tcW w:w="3515" w:type="dxa"/>
          </w:tcPr>
          <w:p w:rsidR="00827A35" w:rsidRPr="007E41D1" w:rsidRDefault="000D354A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Agrotóxicos no Brasil: análise comparativa com as normas ambientais internacionais.</w:t>
            </w:r>
          </w:p>
        </w:tc>
        <w:tc>
          <w:tcPr>
            <w:tcW w:w="4139" w:type="dxa"/>
          </w:tcPr>
          <w:p w:rsidR="000D354A" w:rsidRPr="007E41D1" w:rsidRDefault="000D354A" w:rsidP="000D354A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7E41D1">
              <w:rPr>
                <w:rFonts w:cstheme="minorHAnsi"/>
                <w:b/>
                <w:sz w:val="24"/>
                <w:szCs w:val="24"/>
              </w:rPr>
              <w:t>Problema</w:t>
            </w:r>
            <w:r w:rsidRPr="007E41D1">
              <w:rPr>
                <w:rFonts w:cstheme="minorHAnsi"/>
                <w:sz w:val="24"/>
                <w:szCs w:val="24"/>
              </w:rPr>
              <w:t>: A regulamentação e gerenciamento do uso de agrotóxicos no Brasil estão em conformidade com as diretrizes internacionais de Direito Ambiental?</w:t>
            </w:r>
          </w:p>
          <w:p w:rsidR="000D354A" w:rsidRPr="007E41D1" w:rsidRDefault="000D354A" w:rsidP="000D354A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7E41D1">
              <w:rPr>
                <w:rFonts w:cstheme="minorHAnsi"/>
                <w:b/>
                <w:sz w:val="24"/>
                <w:szCs w:val="24"/>
              </w:rPr>
              <w:t>Hipótese</w:t>
            </w:r>
            <w:r w:rsidRPr="007E41D1">
              <w:rPr>
                <w:rFonts w:cstheme="minorHAnsi"/>
                <w:sz w:val="24"/>
                <w:szCs w:val="24"/>
              </w:rPr>
              <w:t>: As alterações pretendidas na legislação brasileira sobre agrotóxicos não estão de acordo com as diretrizes internacionais de proteção ao meio ambiente e à saúde pública.</w:t>
            </w:r>
          </w:p>
          <w:p w:rsidR="00827A35" w:rsidRPr="007E41D1" w:rsidRDefault="000D354A" w:rsidP="000D354A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7E41D1">
              <w:rPr>
                <w:rFonts w:cstheme="minorHAnsi"/>
                <w:b/>
                <w:bCs/>
              </w:rPr>
              <w:t>Tipo de pesquisa (análise dos procedimentos metodológicos</w:t>
            </w:r>
            <w:r w:rsidRPr="007E41D1">
              <w:rPr>
                <w:rFonts w:cstheme="minorHAnsi"/>
              </w:rPr>
              <w:t>):</w:t>
            </w:r>
          </w:p>
        </w:tc>
      </w:tr>
      <w:tr w:rsidR="00827A35" w:rsidRPr="00DE6500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Ana Paula</w:t>
            </w:r>
            <w:r w:rsidR="00DE6500" w:rsidRPr="007E41D1">
              <w:rPr>
                <w:rFonts w:cstheme="minorHAnsi"/>
              </w:rPr>
              <w:t xml:space="preserve"> </w:t>
            </w:r>
            <w:r w:rsidR="00DE6500" w:rsidRPr="007E41D1">
              <w:rPr>
                <w:rFonts w:cstheme="minorHAnsi"/>
              </w:rPr>
              <w:lastRenderedPageBreak/>
              <w:t>Andrade</w:t>
            </w:r>
          </w:p>
        </w:tc>
        <w:tc>
          <w:tcPr>
            <w:tcW w:w="3515" w:type="dxa"/>
          </w:tcPr>
          <w:p w:rsidR="00827A35" w:rsidRPr="007E41D1" w:rsidRDefault="00DE6500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lastRenderedPageBreak/>
              <w:t xml:space="preserve">Quebra da confidencialidade do </w:t>
            </w:r>
            <w:r w:rsidRPr="007E41D1">
              <w:rPr>
                <w:rFonts w:cstheme="minorHAnsi"/>
              </w:rPr>
              <w:lastRenderedPageBreak/>
              <w:t xml:space="preserve">acordo de leniência antitruste para instrução de ações civis indenizatórias e seu impacto na manutenção da atratividade do programa. </w:t>
            </w:r>
          </w:p>
        </w:tc>
        <w:tc>
          <w:tcPr>
            <w:tcW w:w="4139" w:type="dxa"/>
          </w:tcPr>
          <w:p w:rsidR="00827A35" w:rsidRPr="007E41D1" w:rsidRDefault="00DE6500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lastRenderedPageBreak/>
              <w:t>Problema</w:t>
            </w:r>
            <w:r w:rsidRPr="007E41D1">
              <w:rPr>
                <w:rFonts w:cstheme="minorHAnsi"/>
              </w:rPr>
              <w:t xml:space="preserve">: a requisição judicial de </w:t>
            </w:r>
            <w:r w:rsidRPr="007E41D1">
              <w:rPr>
                <w:rFonts w:cstheme="minorHAnsi"/>
              </w:rPr>
              <w:lastRenderedPageBreak/>
              <w:t xml:space="preserve">informações ao CADE sobre acordos de leniência e documentos sigilosos vinculados para instrução de ações indenizatórias é fator para diminuir a atratividade do programa? </w:t>
            </w:r>
          </w:p>
          <w:p w:rsidR="00DE6500" w:rsidRPr="007E41D1" w:rsidRDefault="00DE6500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Hipótese</w:t>
            </w:r>
            <w:r w:rsidRPr="007E41D1">
              <w:rPr>
                <w:rFonts w:cstheme="minorHAnsi"/>
              </w:rPr>
              <w:t>: a an</w:t>
            </w:r>
            <w:r w:rsidR="009A1851" w:rsidRPr="007E41D1">
              <w:rPr>
                <w:rFonts w:cstheme="minorHAnsi"/>
              </w:rPr>
              <w:t>á</w:t>
            </w:r>
            <w:r w:rsidRPr="007E41D1">
              <w:rPr>
                <w:rFonts w:cstheme="minorHAnsi"/>
              </w:rPr>
              <w:t xml:space="preserve">lise preliminar da legislação brasileira, americana e europeia indica que a quebra de confidencialidade não  compromete a eficácia do programa, conclusão que não é compartilhada pela doutrina brasileira sobre a questão. </w:t>
            </w:r>
          </w:p>
          <w:p w:rsidR="00DE6500" w:rsidRPr="007E41D1" w:rsidRDefault="00DE6500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Tipo de pesquisa (an</w:t>
            </w:r>
            <w:r w:rsidR="009C06F3" w:rsidRPr="007E41D1">
              <w:rPr>
                <w:rFonts w:cstheme="minorHAnsi"/>
                <w:b/>
                <w:bCs/>
              </w:rPr>
              <w:t>á</w:t>
            </w:r>
            <w:r w:rsidRPr="007E41D1">
              <w:rPr>
                <w:rFonts w:cstheme="minorHAnsi"/>
                <w:b/>
                <w:bCs/>
              </w:rPr>
              <w:t>lise dos procedimentos metodológicos</w:t>
            </w:r>
            <w:r w:rsidRPr="007E41D1">
              <w:rPr>
                <w:rFonts w:cstheme="minorHAnsi"/>
              </w:rPr>
              <w:t>):</w:t>
            </w:r>
          </w:p>
        </w:tc>
      </w:tr>
      <w:tr w:rsidR="00763AC9" w:rsidRPr="00DE6500" w:rsidTr="00827A35">
        <w:tc>
          <w:tcPr>
            <w:tcW w:w="1418" w:type="dxa"/>
          </w:tcPr>
          <w:p w:rsidR="00763AC9" w:rsidRPr="007E41D1" w:rsidRDefault="00763AC9" w:rsidP="000D668F">
            <w:pPr>
              <w:rPr>
                <w:rFonts w:cstheme="minorHAnsi"/>
              </w:rPr>
            </w:pPr>
            <w:proofErr w:type="spellStart"/>
            <w:r w:rsidRPr="007E41D1">
              <w:rPr>
                <w:rFonts w:cstheme="minorHAnsi"/>
              </w:rPr>
              <w:lastRenderedPageBreak/>
              <w:t>Bukola</w:t>
            </w:r>
            <w:proofErr w:type="spellEnd"/>
            <w:r w:rsidRPr="007E41D1">
              <w:rPr>
                <w:rFonts w:cstheme="minorHAnsi"/>
              </w:rPr>
              <w:t xml:space="preserve"> </w:t>
            </w:r>
          </w:p>
        </w:tc>
        <w:tc>
          <w:tcPr>
            <w:tcW w:w="3515" w:type="dxa"/>
          </w:tcPr>
          <w:p w:rsidR="00763AC9" w:rsidRPr="007E41D1" w:rsidRDefault="00763AC9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Pluralismo jurídico na Nigéria e migrações internas</w:t>
            </w:r>
          </w:p>
        </w:tc>
        <w:tc>
          <w:tcPr>
            <w:tcW w:w="4139" w:type="dxa"/>
          </w:tcPr>
          <w:p w:rsidR="00763AC9" w:rsidRPr="007E41D1" w:rsidRDefault="00763AC9" w:rsidP="00763AC9">
            <w:pPr>
              <w:pStyle w:val="Standard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41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Problema: </w:t>
            </w:r>
            <w:r w:rsidRPr="007E41D1">
              <w:rPr>
                <w:rFonts w:asciiTheme="minorHAnsi" w:eastAsia="Times New Roman" w:hAnsiTheme="minorHAnsi" w:cstheme="minorHAnsi"/>
                <w:sz w:val="24"/>
                <w:szCs w:val="24"/>
              </w:rPr>
              <w:t>O pluralismo jurídico na Nigéria representa uma limitação às migrações internas?</w:t>
            </w:r>
          </w:p>
          <w:p w:rsidR="00763AC9" w:rsidRPr="007E41D1" w:rsidRDefault="00763AC9" w:rsidP="00763AC9">
            <w:pPr>
              <w:pStyle w:val="Standard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41D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Hipótese</w:t>
            </w:r>
            <w:r w:rsidRPr="007E41D1">
              <w:rPr>
                <w:rFonts w:asciiTheme="minorHAnsi" w:eastAsia="Times New Roman" w:hAnsiTheme="minorHAnsi" w:cstheme="minorHAnsi"/>
                <w:sz w:val="24"/>
                <w:szCs w:val="24"/>
              </w:rPr>
              <w:t>: A Nigéria é constituída por regiões que possuem leis costumeiras. Esse pluralismo de leis gera conflitos quando se trata de decidir questões jurídicas, o que impacta nas migrações inter-regionais. Para evitar tais conflitos, os migrantes decidem permanecer em suas regiões de origem, afetando, portanto, a taxa de migração.</w:t>
            </w:r>
          </w:p>
          <w:p w:rsidR="00763AC9" w:rsidRPr="007E41D1" w:rsidRDefault="00763AC9" w:rsidP="00763AC9">
            <w:pPr>
              <w:pStyle w:val="Standard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E41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Tipo de pesquisa (análise dos procedimentos metodológicos</w:t>
            </w:r>
            <w:r w:rsidRPr="007E41D1">
              <w:rPr>
                <w:rFonts w:asciiTheme="minorHAnsi" w:hAnsiTheme="minorHAnsi" w:cstheme="minorHAnsi"/>
                <w:sz w:val="24"/>
                <w:szCs w:val="24"/>
              </w:rPr>
              <w:t>):</w:t>
            </w: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 xml:space="preserve">Bruna </w:t>
            </w:r>
            <w:proofErr w:type="spellStart"/>
            <w:r w:rsidR="00791E3E" w:rsidRPr="007E41D1">
              <w:rPr>
                <w:rFonts w:cstheme="minorHAnsi"/>
              </w:rPr>
              <w:t>Sillos</w:t>
            </w:r>
            <w:proofErr w:type="spellEnd"/>
          </w:p>
        </w:tc>
        <w:tc>
          <w:tcPr>
            <w:tcW w:w="3515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Democracia representativa e redes sociais: um estudo de caso</w:t>
            </w:r>
          </w:p>
        </w:tc>
        <w:tc>
          <w:tcPr>
            <w:tcW w:w="4139" w:type="dxa"/>
          </w:tcPr>
          <w:p w:rsidR="00827A35" w:rsidRPr="007E41D1" w:rsidRDefault="00791E3E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Problema</w:t>
            </w:r>
            <w:r w:rsidRPr="007E41D1">
              <w:rPr>
                <w:rFonts w:cstheme="minorHAnsi"/>
              </w:rPr>
              <w:t>: Quais são as respostas jurídicas para o discurso de ódio na internet?</w:t>
            </w:r>
          </w:p>
          <w:p w:rsidR="00791E3E" w:rsidRPr="007E41D1" w:rsidRDefault="00791E3E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Hipótese</w:t>
            </w:r>
            <w:r w:rsidRPr="007E41D1">
              <w:rPr>
                <w:rFonts w:cstheme="minorHAnsi"/>
              </w:rPr>
              <w:t>: O sistema jurídico brasileiro não possui respostas jurídicas para o discurso de ódio (ou notícias falsas) na internet.</w:t>
            </w:r>
          </w:p>
          <w:p w:rsidR="00791E3E" w:rsidRPr="007E41D1" w:rsidRDefault="00791E3E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Tipo de pesquisa (análise dos procedimentos metodológicos</w:t>
            </w:r>
            <w:r w:rsidRPr="007E41D1">
              <w:rPr>
                <w:rFonts w:cstheme="minorHAnsi"/>
              </w:rPr>
              <w:t>):</w:t>
            </w: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 xml:space="preserve">Bruno </w:t>
            </w:r>
            <w:proofErr w:type="spellStart"/>
            <w:r w:rsidR="00DE7BA9" w:rsidRPr="007E41D1">
              <w:rPr>
                <w:rFonts w:cstheme="minorHAnsi"/>
              </w:rPr>
              <w:t>Torggler</w:t>
            </w:r>
            <w:proofErr w:type="spellEnd"/>
          </w:p>
        </w:tc>
        <w:tc>
          <w:tcPr>
            <w:tcW w:w="3515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Ensino religioso em escolas p</w:t>
            </w:r>
            <w:r w:rsidR="00791E3E" w:rsidRPr="007E41D1">
              <w:rPr>
                <w:rFonts w:cstheme="minorHAnsi"/>
              </w:rPr>
              <w:t>ú</w:t>
            </w:r>
            <w:r w:rsidRPr="007E41D1">
              <w:rPr>
                <w:rFonts w:cstheme="minorHAnsi"/>
              </w:rPr>
              <w:t>blicas</w:t>
            </w:r>
          </w:p>
        </w:tc>
        <w:tc>
          <w:tcPr>
            <w:tcW w:w="4139" w:type="dxa"/>
          </w:tcPr>
          <w:p w:rsidR="00827A35" w:rsidRPr="007E41D1" w:rsidRDefault="002429E8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Problema</w:t>
            </w:r>
            <w:r w:rsidRPr="007E41D1">
              <w:rPr>
                <w:rFonts w:cstheme="minorHAnsi"/>
              </w:rPr>
              <w:t>: É possível compatibilizar, na contemporaneidade, o ensino religioso com os modelos pedagógicos desenvolvidos a partir do liberalismo?</w:t>
            </w:r>
          </w:p>
          <w:p w:rsidR="002429E8" w:rsidRPr="007E41D1" w:rsidRDefault="002429E8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Hipótese</w:t>
            </w:r>
            <w:r w:rsidRPr="007E41D1">
              <w:rPr>
                <w:rFonts w:cstheme="minorHAnsi"/>
              </w:rPr>
              <w:t xml:space="preserve">: </w:t>
            </w:r>
            <w:r w:rsidR="00DE7BA9" w:rsidRPr="007E41D1">
              <w:rPr>
                <w:rFonts w:cstheme="minorHAnsi"/>
              </w:rPr>
              <w:t xml:space="preserve">Embora haja tentativas conciliatórias (catolicismo liberal), a análise dos fundamentos liberais (liberdade de pensamento, de coação e de religião, limitada apenas pela ordem pública) em face dos fundamentos da </w:t>
            </w:r>
            <w:r w:rsidR="00DE7BA9" w:rsidRPr="007E41D1">
              <w:rPr>
                <w:rFonts w:cstheme="minorHAnsi"/>
              </w:rPr>
              <w:lastRenderedPageBreak/>
              <w:t>doutrina católica (reinado social, universalidade, caráter missionário, liberdade limitada pela lei moral e pelo bem comum), revela uma incompatibilidade insanável, na medida em que uma é antropocêntrica e outra é teocêntrica.</w:t>
            </w:r>
          </w:p>
          <w:p w:rsidR="002429E8" w:rsidRPr="007E41D1" w:rsidRDefault="00DE7BA9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Tipo de pesquisa (análise dos procedimentos metodológicos</w:t>
            </w:r>
            <w:r w:rsidRPr="007E41D1">
              <w:rPr>
                <w:rFonts w:cstheme="minorHAnsi"/>
              </w:rPr>
              <w:t>):</w:t>
            </w: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lastRenderedPageBreak/>
              <w:t xml:space="preserve">Camila </w:t>
            </w:r>
          </w:p>
        </w:tc>
        <w:tc>
          <w:tcPr>
            <w:tcW w:w="3515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Transtorno mental no processo penal</w:t>
            </w:r>
          </w:p>
        </w:tc>
        <w:tc>
          <w:tcPr>
            <w:tcW w:w="4139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Danieli</w:t>
            </w:r>
            <w:r w:rsidR="00656A03" w:rsidRPr="007E41D1">
              <w:rPr>
                <w:rFonts w:cstheme="minorHAnsi"/>
              </w:rPr>
              <w:t xml:space="preserve"> Rocha</w:t>
            </w:r>
          </w:p>
        </w:tc>
        <w:tc>
          <w:tcPr>
            <w:tcW w:w="3515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 xml:space="preserve">Direito de acesso a creches </w:t>
            </w:r>
            <w:r w:rsidR="003813A3" w:rsidRPr="007E41D1">
              <w:rPr>
                <w:rFonts w:cstheme="minorHAnsi"/>
              </w:rPr>
              <w:t>em Ribeirão Preto</w:t>
            </w:r>
          </w:p>
        </w:tc>
        <w:tc>
          <w:tcPr>
            <w:tcW w:w="4139" w:type="dxa"/>
          </w:tcPr>
          <w:p w:rsidR="00827A35" w:rsidRPr="007E41D1" w:rsidRDefault="00656A03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Problema</w:t>
            </w:r>
            <w:proofErr w:type="gramStart"/>
            <w:r w:rsidRPr="007E41D1">
              <w:rPr>
                <w:rFonts w:cstheme="minorHAnsi"/>
              </w:rPr>
              <w:t>: ??</w:t>
            </w:r>
            <w:proofErr w:type="gramEnd"/>
          </w:p>
          <w:p w:rsidR="00656A03" w:rsidRPr="007E41D1" w:rsidRDefault="00656A03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Hipótese</w:t>
            </w:r>
            <w:proofErr w:type="gramStart"/>
            <w:r w:rsidRPr="007E41D1">
              <w:rPr>
                <w:rFonts w:cstheme="minorHAnsi"/>
              </w:rPr>
              <w:t>: ??</w:t>
            </w:r>
            <w:proofErr w:type="gramEnd"/>
          </w:p>
          <w:p w:rsidR="00656A03" w:rsidRPr="007E41D1" w:rsidRDefault="00656A03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Tipo de pesquisa (análise dos procedimentos metodológicos</w:t>
            </w:r>
            <w:r w:rsidRPr="007E41D1">
              <w:rPr>
                <w:rFonts w:cstheme="minorHAnsi"/>
              </w:rPr>
              <w:t>):</w:t>
            </w: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Danilo</w:t>
            </w:r>
            <w:r w:rsidR="003813A3" w:rsidRPr="007E41D1">
              <w:rPr>
                <w:rFonts w:cstheme="minorHAnsi"/>
              </w:rPr>
              <w:t xml:space="preserve"> </w:t>
            </w:r>
            <w:proofErr w:type="spellStart"/>
            <w:r w:rsidR="003813A3" w:rsidRPr="007E41D1">
              <w:rPr>
                <w:rFonts w:cstheme="minorHAnsi"/>
              </w:rPr>
              <w:t>Saran</w:t>
            </w:r>
            <w:proofErr w:type="spellEnd"/>
          </w:p>
        </w:tc>
        <w:tc>
          <w:tcPr>
            <w:tcW w:w="3515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 xml:space="preserve">Efeitos do </w:t>
            </w:r>
            <w:proofErr w:type="spellStart"/>
            <w:r w:rsidRPr="007E41D1">
              <w:rPr>
                <w:rFonts w:cstheme="minorHAnsi"/>
              </w:rPr>
              <w:t>punitivismo</w:t>
            </w:r>
            <w:proofErr w:type="spellEnd"/>
            <w:r w:rsidRPr="007E41D1">
              <w:rPr>
                <w:rFonts w:cstheme="minorHAnsi"/>
              </w:rPr>
              <w:t xml:space="preserve"> no sistema carcerário</w:t>
            </w:r>
          </w:p>
        </w:tc>
        <w:tc>
          <w:tcPr>
            <w:tcW w:w="4139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proofErr w:type="spellStart"/>
            <w:r w:rsidRPr="007E41D1">
              <w:rPr>
                <w:rFonts w:cstheme="minorHAnsi"/>
              </w:rPr>
              <w:t>Denison</w:t>
            </w:r>
            <w:proofErr w:type="spellEnd"/>
            <w:r w:rsidR="00192AEB" w:rsidRPr="007E41D1">
              <w:rPr>
                <w:rFonts w:cstheme="minorHAnsi"/>
              </w:rPr>
              <w:t xml:space="preserve"> </w:t>
            </w:r>
            <w:proofErr w:type="spellStart"/>
            <w:r w:rsidR="00192AEB" w:rsidRPr="007E41D1">
              <w:rPr>
                <w:rFonts w:cstheme="minorHAnsi"/>
              </w:rPr>
              <w:t>Lehr</w:t>
            </w:r>
            <w:proofErr w:type="spellEnd"/>
          </w:p>
        </w:tc>
        <w:tc>
          <w:tcPr>
            <w:tcW w:w="3515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 xml:space="preserve">Direito constitucional sobre povos originários: </w:t>
            </w:r>
            <w:r w:rsidR="00192AEB" w:rsidRPr="007E41D1">
              <w:rPr>
                <w:rFonts w:cstheme="minorHAnsi"/>
              </w:rPr>
              <w:t xml:space="preserve">O </w:t>
            </w:r>
            <w:r w:rsidRPr="007E41D1">
              <w:rPr>
                <w:rFonts w:cstheme="minorHAnsi"/>
              </w:rPr>
              <w:t>Br</w:t>
            </w:r>
            <w:r w:rsidR="00372A48" w:rsidRPr="007E41D1">
              <w:rPr>
                <w:rFonts w:cstheme="minorHAnsi"/>
              </w:rPr>
              <w:t>a</w:t>
            </w:r>
            <w:r w:rsidRPr="007E41D1">
              <w:rPr>
                <w:rFonts w:cstheme="minorHAnsi"/>
              </w:rPr>
              <w:t xml:space="preserve">sil e </w:t>
            </w:r>
            <w:r w:rsidR="00192AEB" w:rsidRPr="007E41D1">
              <w:rPr>
                <w:rFonts w:cstheme="minorHAnsi"/>
              </w:rPr>
              <w:t>novo constitucionalismo latino-americano</w:t>
            </w:r>
          </w:p>
        </w:tc>
        <w:tc>
          <w:tcPr>
            <w:tcW w:w="4139" w:type="dxa"/>
          </w:tcPr>
          <w:p w:rsidR="00656A03" w:rsidRPr="007E41D1" w:rsidRDefault="00192AEB" w:rsidP="00656A03">
            <w:pPr>
              <w:shd w:val="clear" w:color="auto" w:fill="FFFFFF"/>
              <w:rPr>
                <w:rFonts w:eastAsia="Times New Roman" w:cstheme="minorHAnsi"/>
                <w:color w:val="393939"/>
                <w:lang w:eastAsia="pt-BR"/>
              </w:rPr>
            </w:pPr>
            <w:r w:rsidRPr="007E41D1">
              <w:rPr>
                <w:rFonts w:eastAsia="Times New Roman" w:cstheme="minorHAnsi"/>
                <w:b/>
                <w:color w:val="393939"/>
                <w:lang w:eastAsia="pt-BR"/>
              </w:rPr>
              <w:t>Problema</w:t>
            </w:r>
            <w:r w:rsidRPr="007E41D1">
              <w:rPr>
                <w:rFonts w:eastAsia="Times New Roman" w:cstheme="minorHAnsi"/>
                <w:color w:val="393939"/>
                <w:lang w:eastAsia="pt-BR"/>
              </w:rPr>
              <w:t xml:space="preserve">: Os direitos indígenas são tema de debate dentro do </w:t>
            </w:r>
            <w:proofErr w:type="spellStart"/>
            <w:r w:rsidRPr="007E41D1">
              <w:rPr>
                <w:rFonts w:eastAsia="Times New Roman" w:cstheme="minorHAnsi"/>
                <w:color w:val="393939"/>
                <w:lang w:eastAsia="pt-BR"/>
              </w:rPr>
              <w:t>neoconstitucionalismo</w:t>
            </w:r>
            <w:proofErr w:type="spellEnd"/>
            <w:r w:rsidRPr="007E41D1">
              <w:rPr>
                <w:rFonts w:eastAsia="Times New Roman" w:cstheme="minorHAnsi"/>
                <w:color w:val="393939"/>
                <w:lang w:eastAsia="pt-BR"/>
              </w:rPr>
              <w:t xml:space="preserve"> latino-americano, que reconhece o pluralismo jurídico nesses Estados. Quais os limites do pluralismo jurídico latino-americano?</w:t>
            </w:r>
          </w:p>
          <w:p w:rsidR="008D5D31" w:rsidRPr="007E41D1" w:rsidRDefault="00192AEB" w:rsidP="00656A03">
            <w:pPr>
              <w:shd w:val="clear" w:color="auto" w:fill="FFFFFF"/>
              <w:rPr>
                <w:rFonts w:eastAsia="Times New Roman" w:cstheme="minorHAnsi"/>
                <w:color w:val="393939"/>
                <w:lang w:eastAsia="pt-BR"/>
              </w:rPr>
            </w:pPr>
            <w:r w:rsidRPr="007E41D1">
              <w:rPr>
                <w:rFonts w:eastAsia="Times New Roman" w:cstheme="minorHAnsi"/>
                <w:b/>
                <w:color w:val="393939"/>
                <w:lang w:eastAsia="pt-BR"/>
              </w:rPr>
              <w:t>Hipótese</w:t>
            </w:r>
            <w:r w:rsidRPr="007E41D1">
              <w:rPr>
                <w:rFonts w:eastAsia="Times New Roman" w:cstheme="minorHAnsi"/>
                <w:color w:val="393939"/>
                <w:lang w:eastAsia="pt-BR"/>
              </w:rPr>
              <w:t xml:space="preserve">: </w:t>
            </w:r>
            <w:r w:rsidR="008D5D31" w:rsidRPr="007E41D1">
              <w:rPr>
                <w:rFonts w:eastAsia="Times New Roman" w:cstheme="minorHAnsi"/>
                <w:color w:val="393939"/>
                <w:lang w:eastAsia="pt-BR"/>
              </w:rPr>
              <w:t>O pluralismo jurídico é passível de ser aplicado em qualquer país. Porém, há uma defasagem na legislação brasileira quanto ao reconhecimento do direito costumeiro indígena.</w:t>
            </w:r>
          </w:p>
          <w:p w:rsidR="00192AEB" w:rsidRPr="007E41D1" w:rsidRDefault="008D5D31" w:rsidP="00656A03">
            <w:pPr>
              <w:shd w:val="clear" w:color="auto" w:fill="FFFFFF"/>
              <w:rPr>
                <w:rFonts w:eastAsia="Times New Roman" w:cstheme="minorHAnsi"/>
                <w:color w:val="393939"/>
                <w:sz w:val="20"/>
                <w:szCs w:val="20"/>
                <w:lang w:eastAsia="pt-BR"/>
              </w:rPr>
            </w:pPr>
            <w:r w:rsidRPr="007E41D1">
              <w:rPr>
                <w:rFonts w:cstheme="minorHAnsi"/>
                <w:b/>
                <w:bCs/>
              </w:rPr>
              <w:t>Tipo de pesquisa (análise dos procedimentos metodológicos</w:t>
            </w:r>
            <w:r w:rsidRPr="007E41D1">
              <w:rPr>
                <w:rFonts w:cstheme="minorHAnsi"/>
              </w:rPr>
              <w:t>):</w:t>
            </w: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proofErr w:type="spellStart"/>
            <w:r w:rsidRPr="007E41D1">
              <w:rPr>
                <w:rFonts w:cstheme="minorHAnsi"/>
              </w:rPr>
              <w:t>Fabrizio</w:t>
            </w:r>
            <w:proofErr w:type="spellEnd"/>
            <w:r w:rsidR="00372A48" w:rsidRPr="007E41D1">
              <w:rPr>
                <w:rFonts w:cstheme="minorHAnsi"/>
              </w:rPr>
              <w:t xml:space="preserve"> Bertoli</w:t>
            </w:r>
          </w:p>
        </w:tc>
        <w:tc>
          <w:tcPr>
            <w:tcW w:w="3515" w:type="dxa"/>
          </w:tcPr>
          <w:p w:rsidR="00827A35" w:rsidRPr="007E41D1" w:rsidRDefault="00372A48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 xml:space="preserve">Jurisdição voluntária e </w:t>
            </w:r>
            <w:proofErr w:type="spellStart"/>
            <w:r w:rsidRPr="007E41D1">
              <w:rPr>
                <w:rFonts w:cstheme="minorHAnsi"/>
              </w:rPr>
              <w:t>desjudicialização</w:t>
            </w:r>
            <w:proofErr w:type="spellEnd"/>
            <w:r w:rsidR="005D23F3" w:rsidRPr="007E41D1">
              <w:rPr>
                <w:rFonts w:cstheme="minorHAnsi"/>
              </w:rPr>
              <w:t xml:space="preserve"> (métodos extrajudiciais?)</w:t>
            </w:r>
            <w:r w:rsidRPr="007E41D1">
              <w:rPr>
                <w:rFonts w:cstheme="minorHAnsi"/>
              </w:rPr>
              <w:t>: análise pela ótica do processo do trabalho.  (P</w:t>
            </w:r>
            <w:r w:rsidR="00827A35" w:rsidRPr="007E41D1">
              <w:rPr>
                <w:rFonts w:cstheme="minorHAnsi"/>
              </w:rPr>
              <w:t>rocedimentos extrajudiciais na solução de conflitos trabalhistas com imigrantes indocumentados</w:t>
            </w:r>
            <w:r w:rsidRPr="007E41D1">
              <w:rPr>
                <w:rFonts w:cstheme="minorHAnsi"/>
              </w:rPr>
              <w:t>?)</w:t>
            </w:r>
          </w:p>
        </w:tc>
        <w:tc>
          <w:tcPr>
            <w:tcW w:w="4139" w:type="dxa"/>
          </w:tcPr>
          <w:p w:rsidR="00827A35" w:rsidRPr="007E41D1" w:rsidRDefault="00372A48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Problema</w:t>
            </w:r>
            <w:r w:rsidRPr="007E41D1">
              <w:rPr>
                <w:rFonts w:cstheme="minorHAnsi"/>
              </w:rPr>
              <w:t xml:space="preserve">: </w:t>
            </w:r>
            <w:r w:rsidR="00B20CF3" w:rsidRPr="007E41D1">
              <w:rPr>
                <w:rFonts w:cstheme="minorHAnsi"/>
              </w:rPr>
              <w:t>Métodos extrajudiciais para solução de conflitos trabalhistas que versam sobre direitos relativamente indisponíveis promove, em pequenas causas, maior acesso a justiça?</w:t>
            </w:r>
          </w:p>
          <w:p w:rsidR="00B20CF3" w:rsidRPr="007E41D1" w:rsidRDefault="00B20CF3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Hipótese</w:t>
            </w:r>
            <w:r w:rsidRPr="007E41D1">
              <w:rPr>
                <w:rFonts w:cstheme="minorHAnsi"/>
              </w:rPr>
              <w:t>: A prevenção e solução de conflitos trabalhistas de pequena monta pelas próprias partes é mais adequada as relações de trabalho do que a intervenção do Estado-juiz.</w:t>
            </w:r>
          </w:p>
          <w:p w:rsidR="00B20CF3" w:rsidRPr="007E41D1" w:rsidRDefault="00B20CF3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Tipo de pesquisa (análise dos procedimentos metodológicos</w:t>
            </w:r>
            <w:r w:rsidRPr="007E41D1">
              <w:rPr>
                <w:rFonts w:cstheme="minorHAnsi"/>
              </w:rPr>
              <w:t>):</w:t>
            </w:r>
          </w:p>
          <w:p w:rsidR="00B20CF3" w:rsidRPr="007E41D1" w:rsidRDefault="00B20CF3" w:rsidP="000D668F">
            <w:pPr>
              <w:rPr>
                <w:rFonts w:cstheme="minorHAnsi"/>
              </w:rPr>
            </w:pP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Fernanda</w:t>
            </w:r>
            <w:r w:rsidR="00E97B1D" w:rsidRPr="007E41D1">
              <w:rPr>
                <w:rFonts w:cstheme="minorHAnsi"/>
              </w:rPr>
              <w:t xml:space="preserve"> Simoni</w:t>
            </w:r>
          </w:p>
        </w:tc>
        <w:tc>
          <w:tcPr>
            <w:tcW w:w="3515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Analise do “comportamento” de ministros do STF: an</w:t>
            </w:r>
            <w:r w:rsidR="00A1303A">
              <w:rPr>
                <w:rFonts w:cstheme="minorHAnsi"/>
              </w:rPr>
              <w:t>á</w:t>
            </w:r>
            <w:r w:rsidRPr="007E41D1">
              <w:rPr>
                <w:rFonts w:cstheme="minorHAnsi"/>
              </w:rPr>
              <w:t xml:space="preserve">lise de caso </w:t>
            </w:r>
            <w:bookmarkStart w:id="0" w:name="_GoBack"/>
            <w:bookmarkEnd w:id="0"/>
          </w:p>
        </w:tc>
        <w:tc>
          <w:tcPr>
            <w:tcW w:w="4139" w:type="dxa"/>
          </w:tcPr>
          <w:p w:rsidR="00827A35" w:rsidRPr="007E41D1" w:rsidRDefault="00E97B1D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Problema</w:t>
            </w:r>
            <w:r w:rsidRPr="007E41D1">
              <w:rPr>
                <w:rFonts w:cstheme="minorHAnsi"/>
              </w:rPr>
              <w:t xml:space="preserve">: </w:t>
            </w:r>
            <w:r w:rsidRPr="007E41D1">
              <w:rPr>
                <w:rFonts w:cstheme="minorHAnsi"/>
              </w:rPr>
              <w:t xml:space="preserve">A decisão que encerrou a Ação Originária n. 1773 do Supremo </w:t>
            </w:r>
            <w:r w:rsidRPr="007E41D1">
              <w:rPr>
                <w:rFonts w:cstheme="minorHAnsi"/>
              </w:rPr>
              <w:lastRenderedPageBreak/>
              <w:t>Tribunal Federal (revogação do benefício do auxílio-moradia) pode ser enquadrada como uma barganha entre os Poderes da República?</w:t>
            </w:r>
          </w:p>
          <w:p w:rsidR="00E97B1D" w:rsidRPr="007E41D1" w:rsidRDefault="00E97B1D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Hipótese</w:t>
            </w:r>
            <w:r w:rsidRPr="007E41D1">
              <w:rPr>
                <w:rFonts w:cstheme="minorHAnsi"/>
              </w:rPr>
              <w:t xml:space="preserve">: Houve </w:t>
            </w:r>
            <w:r w:rsidRPr="007E41D1">
              <w:rPr>
                <w:rFonts w:cstheme="minorHAnsi"/>
              </w:rPr>
              <w:t>uma decisão negociada entre os Poderes (decisão judicial condicionada à elaboração de lei), e não um julgamento no qual se discutiu a constitucionalidade</w:t>
            </w:r>
            <w:r w:rsidRPr="007E41D1">
              <w:rPr>
                <w:rFonts w:cstheme="minorHAnsi"/>
              </w:rPr>
              <w:t xml:space="preserve"> </w:t>
            </w:r>
            <w:r w:rsidRPr="007E41D1">
              <w:rPr>
                <w:rFonts w:cstheme="minorHAnsi"/>
              </w:rPr>
              <w:t xml:space="preserve">da vantagem. Segundo a visão exposta pela imprensa sobre o caso, fatores extrajurídicos tiveram peso considerável para as decisões tomadas, tais como o vínculo existente entre o Ministro Relator Luiz </w:t>
            </w:r>
            <w:proofErr w:type="spellStart"/>
            <w:r w:rsidRPr="007E41D1">
              <w:rPr>
                <w:rFonts w:cstheme="minorHAnsi"/>
              </w:rPr>
              <w:t>Fux</w:t>
            </w:r>
            <w:proofErr w:type="spellEnd"/>
            <w:r w:rsidRPr="007E41D1">
              <w:rPr>
                <w:rFonts w:cstheme="minorHAnsi"/>
              </w:rPr>
              <w:t xml:space="preserve"> e os interesses da classe da magistratura</w:t>
            </w:r>
            <w:r w:rsidRPr="007E41D1">
              <w:rPr>
                <w:rFonts w:cstheme="minorHAnsi"/>
              </w:rPr>
              <w:t>.</w:t>
            </w:r>
          </w:p>
          <w:p w:rsidR="00E97B1D" w:rsidRPr="007E41D1" w:rsidRDefault="00E97B1D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Tipo de pesquisa (análise dos procedimentos metodológicos</w:t>
            </w:r>
            <w:r w:rsidRPr="007E41D1">
              <w:rPr>
                <w:rFonts w:cstheme="minorHAnsi"/>
              </w:rPr>
              <w:t>):</w:t>
            </w: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lastRenderedPageBreak/>
              <w:t>Fernando</w:t>
            </w:r>
            <w:r w:rsidR="00E97B1D" w:rsidRPr="007E41D1">
              <w:rPr>
                <w:rFonts w:cstheme="minorHAnsi"/>
              </w:rPr>
              <w:t xml:space="preserve"> Oliveira</w:t>
            </w:r>
          </w:p>
        </w:tc>
        <w:tc>
          <w:tcPr>
            <w:tcW w:w="3515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Ação coletiva no direito a saúde</w:t>
            </w:r>
          </w:p>
        </w:tc>
        <w:tc>
          <w:tcPr>
            <w:tcW w:w="4139" w:type="dxa"/>
          </w:tcPr>
          <w:p w:rsidR="00827A35" w:rsidRPr="007E41D1" w:rsidRDefault="00E97B1D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Problema</w:t>
            </w:r>
            <w:r w:rsidRPr="007E41D1">
              <w:rPr>
                <w:rFonts w:cstheme="minorHAnsi"/>
              </w:rPr>
              <w:t>:</w:t>
            </w:r>
            <w:r w:rsidR="008551E5" w:rsidRPr="007E41D1">
              <w:rPr>
                <w:rFonts w:cstheme="minorHAnsi"/>
              </w:rPr>
              <w:t xml:space="preserve"> </w:t>
            </w:r>
            <w:r w:rsidR="008551E5" w:rsidRPr="007E41D1">
              <w:rPr>
                <w:rFonts w:cstheme="minorHAnsi"/>
              </w:rPr>
              <w:t>Em que medida a técnica processual coletiva se coloca como instrumento mais eficiente para a concretização de políticas públicas de saúde em detrimento da técnica processual individual?</w:t>
            </w:r>
          </w:p>
          <w:p w:rsidR="00E97B1D" w:rsidRPr="007E41D1" w:rsidRDefault="00E97B1D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Hipótese</w:t>
            </w:r>
            <w:r w:rsidRPr="007E41D1">
              <w:rPr>
                <w:rFonts w:cstheme="minorHAnsi"/>
              </w:rPr>
              <w:t>:</w:t>
            </w:r>
            <w:r w:rsidR="008551E5" w:rsidRPr="007E41D1">
              <w:rPr>
                <w:rFonts w:cstheme="minorHAnsi"/>
              </w:rPr>
              <w:t xml:space="preserve"> É legítima a </w:t>
            </w:r>
            <w:r w:rsidR="008551E5" w:rsidRPr="007E41D1">
              <w:rPr>
                <w:rFonts w:cstheme="minorHAnsi"/>
              </w:rPr>
              <w:t>intervenção do Poder Judiciário no controle das políticas públicas, como meio de efetivar direitos sociais e fundamentais, na perspectiva do controle jurisdicional de atos administrativos de conteúdo político</w:t>
            </w:r>
          </w:p>
          <w:p w:rsidR="00E97B1D" w:rsidRPr="007E41D1" w:rsidRDefault="00E97B1D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Tipo de pesquisa (análise dos procedimentos metodológicos</w:t>
            </w:r>
            <w:r w:rsidRPr="007E41D1">
              <w:rPr>
                <w:rFonts w:cstheme="minorHAnsi"/>
              </w:rPr>
              <w:t>):</w:t>
            </w: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Gabriel</w:t>
            </w:r>
            <w:r w:rsidR="002A07E4" w:rsidRPr="007E41D1">
              <w:rPr>
                <w:rFonts w:cstheme="minorHAnsi"/>
              </w:rPr>
              <w:t xml:space="preserve"> </w:t>
            </w:r>
            <w:proofErr w:type="spellStart"/>
            <w:r w:rsidR="002A07E4" w:rsidRPr="007E41D1">
              <w:rPr>
                <w:rFonts w:cstheme="minorHAnsi"/>
              </w:rPr>
              <w:t>Khayat</w:t>
            </w:r>
            <w:proofErr w:type="spellEnd"/>
          </w:p>
        </w:tc>
        <w:tc>
          <w:tcPr>
            <w:tcW w:w="3515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 xml:space="preserve">O conflito entre direito contratual e direito concorrencial em setores produtivos monopolizados: o caso do </w:t>
            </w:r>
            <w:r w:rsidR="002A07E4" w:rsidRPr="007E41D1">
              <w:rPr>
                <w:rFonts w:cstheme="minorHAnsi"/>
              </w:rPr>
              <w:t>contrato de integração agroindustrial.</w:t>
            </w:r>
          </w:p>
        </w:tc>
        <w:tc>
          <w:tcPr>
            <w:tcW w:w="4139" w:type="dxa"/>
          </w:tcPr>
          <w:p w:rsidR="002A07E4" w:rsidRPr="007E41D1" w:rsidRDefault="002A07E4" w:rsidP="002A07E4">
            <w:pPr>
              <w:shd w:val="clear" w:color="auto" w:fill="FFFFFF"/>
              <w:spacing w:after="150"/>
              <w:rPr>
                <w:rFonts w:eastAsia="Times New Roman" w:cstheme="minorHAnsi"/>
                <w:color w:val="000000" w:themeColor="text1"/>
                <w:lang w:eastAsia="pt-BR"/>
              </w:rPr>
            </w:pPr>
            <w:r w:rsidRPr="007E41D1">
              <w:rPr>
                <w:rFonts w:eastAsia="Times New Roman" w:cstheme="minorHAnsi"/>
                <w:b/>
                <w:color w:val="000000" w:themeColor="text1"/>
                <w:lang w:eastAsia="pt-BR"/>
              </w:rPr>
              <w:t>Problema</w:t>
            </w:r>
            <w:r w:rsidRPr="007E41D1">
              <w:rPr>
                <w:rFonts w:eastAsia="Times New Roman" w:cstheme="minorHAnsi"/>
                <w:color w:val="000000" w:themeColor="text1"/>
                <w:lang w:eastAsia="pt-BR"/>
              </w:rPr>
              <w:t>: Se o contrato de integração agroindustrial é condição para exercício do poder de mercado, em que medida o direito contratual dá respostas para evitar o seu abuso nas relações internas (puramente contratual)?</w:t>
            </w:r>
          </w:p>
          <w:p w:rsidR="002A07E4" w:rsidRPr="007E41D1" w:rsidRDefault="002A07E4" w:rsidP="002A07E4">
            <w:pPr>
              <w:shd w:val="clear" w:color="auto" w:fill="FFFFFF"/>
              <w:spacing w:after="150"/>
              <w:rPr>
                <w:rFonts w:eastAsia="Times New Roman" w:cstheme="minorHAnsi"/>
                <w:color w:val="000000"/>
                <w:lang w:eastAsia="pt-BR"/>
              </w:rPr>
            </w:pPr>
            <w:r w:rsidRPr="007E41D1">
              <w:rPr>
                <w:rFonts w:eastAsia="Times New Roman" w:cstheme="minorHAnsi"/>
                <w:b/>
                <w:color w:val="000000" w:themeColor="text1"/>
                <w:lang w:eastAsia="pt-BR"/>
              </w:rPr>
              <w:t>Hipótese</w:t>
            </w:r>
            <w:r w:rsidRPr="007E41D1">
              <w:rPr>
                <w:rFonts w:eastAsia="Times New Roman" w:cstheme="minorHAnsi"/>
                <w:color w:val="000000" w:themeColor="text1"/>
                <w:lang w:eastAsia="pt-BR"/>
              </w:rPr>
              <w:t xml:space="preserve">: </w:t>
            </w:r>
            <w:r w:rsidR="00022F11" w:rsidRPr="007E41D1">
              <w:rPr>
                <w:rFonts w:eastAsia="Times New Roman" w:cstheme="minorHAnsi"/>
                <w:color w:val="000000"/>
                <w:lang w:eastAsia="pt-BR"/>
              </w:rPr>
              <w:t xml:space="preserve">A empresa integradora estrutura suas operações por meio de redes de integrações agroindustriais e esta conexão de contratos projeta o poder de mercado da integradora. As integrações agroindustriais ocorrem em situações de oligopsônio, pelo que o produtor integrado tem pouca ou </w:t>
            </w:r>
            <w:r w:rsidR="00022F11" w:rsidRPr="007E41D1">
              <w:rPr>
                <w:rFonts w:eastAsia="Times New Roman" w:cstheme="minorHAnsi"/>
                <w:color w:val="000000"/>
                <w:lang w:eastAsia="pt-BR"/>
              </w:rPr>
              <w:lastRenderedPageBreak/>
              <w:t>nenhuma alternativa para negociar melhores condições contratuais ou assegurar o cumprimento do contrato.</w:t>
            </w:r>
          </w:p>
          <w:p w:rsidR="002A07E4" w:rsidRPr="007E41D1" w:rsidRDefault="002A07E4" w:rsidP="002A07E4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Tipo de pesquisa (análise dos procedimentos metodológicos</w:t>
            </w:r>
            <w:r w:rsidRPr="007E41D1">
              <w:rPr>
                <w:rFonts w:cstheme="minorHAnsi"/>
              </w:rPr>
              <w:t>):</w:t>
            </w:r>
          </w:p>
          <w:p w:rsidR="00827A35" w:rsidRPr="007E41D1" w:rsidRDefault="00827A35" w:rsidP="000D668F">
            <w:pPr>
              <w:rPr>
                <w:rFonts w:cstheme="minorHAnsi"/>
              </w:rPr>
            </w:pP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lastRenderedPageBreak/>
              <w:t>Gabriela</w:t>
            </w:r>
            <w:r w:rsidR="00FC174C" w:rsidRPr="007E41D1">
              <w:rPr>
                <w:rFonts w:cstheme="minorHAnsi"/>
              </w:rPr>
              <w:t xml:space="preserve"> Leal</w:t>
            </w:r>
          </w:p>
        </w:tc>
        <w:tc>
          <w:tcPr>
            <w:tcW w:w="3515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Direito à moradia: o papel da educação financeira popular</w:t>
            </w:r>
          </w:p>
        </w:tc>
        <w:tc>
          <w:tcPr>
            <w:tcW w:w="4139" w:type="dxa"/>
          </w:tcPr>
          <w:p w:rsidR="00FC174C" w:rsidRPr="007E41D1" w:rsidRDefault="00FC174C" w:rsidP="00FC174C">
            <w:pPr>
              <w:jc w:val="both"/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Problema</w:t>
            </w:r>
            <w:r w:rsidRPr="007E41D1">
              <w:rPr>
                <w:rFonts w:cstheme="minorHAnsi"/>
              </w:rPr>
              <w:t>: Quais são as perspectivas de uma educação financeira sob os marcos da educação popular em direitos?</w:t>
            </w:r>
          </w:p>
          <w:p w:rsidR="00FC174C" w:rsidRPr="007E41D1" w:rsidRDefault="00FC174C" w:rsidP="00FC174C">
            <w:pPr>
              <w:jc w:val="both"/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Hipótese</w:t>
            </w:r>
            <w:r w:rsidRPr="007E41D1">
              <w:rPr>
                <w:rFonts w:cstheme="minorHAnsi"/>
              </w:rPr>
              <w:t xml:space="preserve">: A educação financeira apresenta um não lugar no campo da educação popular em direitos, e precisa ser explorada, em vista do potencial emancipatório em (1) incrementar os mecanismos de diálogo da população com o Estado, (2) desenvolver as </w:t>
            </w:r>
            <w:proofErr w:type="spellStart"/>
            <w:r w:rsidRPr="007E41D1">
              <w:rPr>
                <w:rFonts w:cstheme="minorHAnsi"/>
              </w:rPr>
              <w:t>microfinanças</w:t>
            </w:r>
            <w:proofErr w:type="spellEnd"/>
            <w:r w:rsidRPr="007E41D1">
              <w:rPr>
                <w:rFonts w:cstheme="minorHAnsi"/>
              </w:rPr>
              <w:t xml:space="preserve"> da economia familiar solidária de indivíduos e famílias vulneráveis (perspectiva interseccional), (3) viabilizar a conscientização concreta e a possível emancipação de subalternos.</w:t>
            </w:r>
          </w:p>
          <w:p w:rsidR="00827A35" w:rsidRPr="007E41D1" w:rsidRDefault="00FC174C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Tipo de pesquisa (análise dos procedimentos metodológicos</w:t>
            </w:r>
            <w:r w:rsidRPr="007E41D1">
              <w:rPr>
                <w:rFonts w:cstheme="minorHAnsi"/>
              </w:rPr>
              <w:t>):</w:t>
            </w: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Henrique</w:t>
            </w:r>
            <w:r w:rsidR="00817087" w:rsidRPr="007E41D1">
              <w:rPr>
                <w:rFonts w:cstheme="minorHAnsi"/>
              </w:rPr>
              <w:t xml:space="preserve"> </w:t>
            </w:r>
            <w:proofErr w:type="spellStart"/>
            <w:r w:rsidR="00817087" w:rsidRPr="007E41D1">
              <w:rPr>
                <w:rFonts w:cstheme="minorHAnsi"/>
              </w:rPr>
              <w:t>Nimer</w:t>
            </w:r>
            <w:proofErr w:type="spellEnd"/>
          </w:p>
        </w:tc>
        <w:tc>
          <w:tcPr>
            <w:tcW w:w="3515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 xml:space="preserve">Exclusão </w:t>
            </w:r>
            <w:r w:rsidR="00817087" w:rsidRPr="007E41D1">
              <w:rPr>
                <w:rFonts w:cstheme="minorHAnsi"/>
              </w:rPr>
              <w:t>do SIMPLES para empresas de</w:t>
            </w:r>
            <w:r w:rsidRPr="007E41D1">
              <w:rPr>
                <w:rFonts w:cstheme="minorHAnsi"/>
              </w:rPr>
              <w:t xml:space="preserve"> transporte de passageiros</w:t>
            </w:r>
          </w:p>
        </w:tc>
        <w:tc>
          <w:tcPr>
            <w:tcW w:w="4139" w:type="dxa"/>
          </w:tcPr>
          <w:p w:rsidR="00817087" w:rsidRPr="007E41D1" w:rsidRDefault="00817087" w:rsidP="00817087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Problema</w:t>
            </w:r>
            <w:r w:rsidRPr="007E41D1">
              <w:rPr>
                <w:rFonts w:cstheme="minorHAnsi"/>
              </w:rPr>
              <w:t>: Conforme previsão do artigo 17, VI, da Lei Complementar nº 123/2006, as transportadoras de passageiros são expressamente impossibilitadas de aderirem ao regime unificado de tributação do Simples Nacional</w:t>
            </w:r>
            <w:r w:rsidR="00D15490" w:rsidRPr="007E41D1">
              <w:rPr>
                <w:rFonts w:cstheme="minorHAnsi"/>
              </w:rPr>
              <w:t xml:space="preserve">. </w:t>
            </w:r>
            <w:r w:rsidRPr="007E41D1">
              <w:rPr>
                <w:rFonts w:cstheme="minorHAnsi"/>
              </w:rPr>
              <w:t>A questão a ser é se esta vedação é constitucional</w:t>
            </w:r>
            <w:r w:rsidR="00D15490" w:rsidRPr="007E41D1">
              <w:rPr>
                <w:rFonts w:cstheme="minorHAnsi"/>
              </w:rPr>
              <w:t>.</w:t>
            </w:r>
          </w:p>
          <w:p w:rsidR="00827A35" w:rsidRPr="007E41D1" w:rsidRDefault="00817087" w:rsidP="00817087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Hipótese</w:t>
            </w:r>
            <w:r w:rsidRPr="007E41D1">
              <w:rPr>
                <w:rFonts w:cstheme="minorHAnsi"/>
              </w:rPr>
              <w:t>: Entende-se, preliminarmente, que é inconstitucional a vedação do artigo 17, VI, da LC nº 123/2006, tendo em vista que o princípio do tratamento favorecido às pequenas empresas de pequeno porte determina um comando normativo abrangente, genérico e impositivo, que deve ser necessariamente observado pelo legislador. Além disso, verifica-se que existem motivos extrajurídicos que influenciam esta positivação, prejudiciais para o desenvolvimento econômico nacional</w:t>
            </w:r>
            <w:r w:rsidR="00D15490" w:rsidRPr="007E41D1">
              <w:rPr>
                <w:rFonts w:cstheme="minorHAnsi"/>
              </w:rPr>
              <w:t xml:space="preserve">. </w:t>
            </w:r>
          </w:p>
          <w:p w:rsidR="00D15490" w:rsidRPr="007E41D1" w:rsidRDefault="00D15490" w:rsidP="00817087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 xml:space="preserve">Tipo de pesquisa (análise dos </w:t>
            </w:r>
            <w:r w:rsidRPr="007E41D1">
              <w:rPr>
                <w:rFonts w:cstheme="minorHAnsi"/>
                <w:b/>
                <w:bCs/>
              </w:rPr>
              <w:lastRenderedPageBreak/>
              <w:t>procedimentos metodológicos</w:t>
            </w:r>
            <w:r w:rsidRPr="007E41D1">
              <w:rPr>
                <w:rFonts w:cstheme="minorHAnsi"/>
              </w:rPr>
              <w:t>):</w:t>
            </w: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proofErr w:type="spellStart"/>
            <w:r w:rsidRPr="007E41D1">
              <w:rPr>
                <w:rFonts w:cstheme="minorHAnsi"/>
              </w:rPr>
              <w:lastRenderedPageBreak/>
              <w:t>Inara</w:t>
            </w:r>
            <w:proofErr w:type="spellEnd"/>
            <w:r w:rsidR="00022F11" w:rsidRPr="007E41D1">
              <w:rPr>
                <w:rFonts w:cstheme="minorHAnsi"/>
              </w:rPr>
              <w:t xml:space="preserve"> Firmino </w:t>
            </w:r>
          </w:p>
        </w:tc>
        <w:tc>
          <w:tcPr>
            <w:tcW w:w="3515" w:type="dxa"/>
          </w:tcPr>
          <w:p w:rsidR="00827A35" w:rsidRPr="007E41D1" w:rsidRDefault="00022F11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Acesso à justiça sob perspectiva interseccional: análise das histórias de vida e trajetórias profissionais de ouvidoras externas negras das Defensorias Públicas dos Estados da Bahia e do Ceará.</w:t>
            </w:r>
          </w:p>
        </w:tc>
        <w:tc>
          <w:tcPr>
            <w:tcW w:w="4139" w:type="dxa"/>
          </w:tcPr>
          <w:p w:rsidR="005A2EF9" w:rsidRPr="007E41D1" w:rsidRDefault="00562A65" w:rsidP="0067361E">
            <w:pPr>
              <w:pStyle w:val="NormalWeb"/>
              <w:rPr>
                <w:rFonts w:asciiTheme="minorHAnsi" w:hAnsiTheme="minorHAnsi" w:cstheme="minorHAnsi"/>
              </w:rPr>
            </w:pPr>
            <w:r w:rsidRPr="007E41D1">
              <w:rPr>
                <w:rFonts w:asciiTheme="minorHAnsi" w:hAnsiTheme="minorHAnsi" w:cstheme="minorHAnsi"/>
                <w:b/>
              </w:rPr>
              <w:t>Problema</w:t>
            </w:r>
            <w:r w:rsidRPr="007E41D1">
              <w:rPr>
                <w:rFonts w:asciiTheme="minorHAnsi" w:hAnsiTheme="minorHAnsi" w:cstheme="minorHAnsi"/>
              </w:rPr>
              <w:t xml:space="preserve">: Quais as percepções de Vilma Maria dos Santos Reis e </w:t>
            </w:r>
            <w:proofErr w:type="spellStart"/>
            <w:r w:rsidRPr="007E41D1">
              <w:rPr>
                <w:rFonts w:asciiTheme="minorHAnsi" w:hAnsiTheme="minorHAnsi" w:cstheme="minorHAnsi"/>
              </w:rPr>
              <w:t>Merilane</w:t>
            </w:r>
            <w:proofErr w:type="spellEnd"/>
            <w:r w:rsidRPr="007E41D1">
              <w:rPr>
                <w:rFonts w:asciiTheme="minorHAnsi" w:hAnsiTheme="minorHAnsi" w:cstheme="minorHAnsi"/>
              </w:rPr>
              <w:t xml:space="preserve"> Pires Coelho, duas mulheres negras que hoje atuam em Ouvidorias externas de Defensoria Pública dos estados da Bahia e do Ceará, sobre os limites e possibilidades de acesso à justiça do movimento de mulheres negras? </w:t>
            </w:r>
            <w:r w:rsidRPr="007E41D1">
              <w:rPr>
                <w:rFonts w:asciiTheme="minorHAnsi" w:hAnsiTheme="minorHAnsi" w:cstheme="minorHAnsi"/>
                <w:b/>
              </w:rPr>
              <w:t>Hipótese</w:t>
            </w:r>
            <w:r w:rsidRPr="007E41D1">
              <w:rPr>
                <w:rFonts w:asciiTheme="minorHAnsi" w:hAnsiTheme="minorHAnsi" w:cstheme="minorHAnsi"/>
              </w:rPr>
              <w:t xml:space="preserve">:  o modelo de justiça atual frente às diferentes realidades sociais tem ajudado a promover a manutenção de desigualdades, na qual </w:t>
            </w:r>
            <w:proofErr w:type="spellStart"/>
            <w:r w:rsidRPr="007E41D1">
              <w:rPr>
                <w:rFonts w:asciiTheme="minorHAnsi" w:hAnsiTheme="minorHAnsi" w:cstheme="minorHAnsi"/>
              </w:rPr>
              <w:t>temse</w:t>
            </w:r>
            <w:proofErr w:type="spellEnd"/>
            <w:r w:rsidRPr="007E41D1">
              <w:rPr>
                <w:rFonts w:asciiTheme="minorHAnsi" w:hAnsiTheme="minorHAnsi" w:cstheme="minorHAnsi"/>
              </w:rPr>
              <w:t xml:space="preserve"> dois conjuntos de cidadão: um conjunto com excesso de Estado e outro conjunto em que o Estado não existe. Nestes termos, a pesquisa questiona o sistema de acesso à justiça brasileira, caracterizado como democrático, mas que, dados os avanços alcançados nos últimos anos, não funciona como um indicador da realidade social.</w:t>
            </w:r>
          </w:p>
          <w:p w:rsidR="00827A35" w:rsidRPr="007E41D1" w:rsidRDefault="00022F11" w:rsidP="0067361E">
            <w:pPr>
              <w:pStyle w:val="NormalWeb"/>
              <w:rPr>
                <w:rFonts w:asciiTheme="minorHAnsi" w:hAnsiTheme="minorHAnsi" w:cstheme="minorHAnsi"/>
              </w:rPr>
            </w:pPr>
            <w:r w:rsidRPr="007E41D1">
              <w:rPr>
                <w:rFonts w:asciiTheme="minorHAnsi" w:hAnsiTheme="minorHAnsi" w:cstheme="minorHAnsi"/>
                <w:b/>
                <w:bCs/>
              </w:rPr>
              <w:t>Tipo de pesquisa (análise dos procedimentos metodológicos</w:t>
            </w:r>
            <w:r w:rsidRPr="007E41D1">
              <w:rPr>
                <w:rFonts w:asciiTheme="minorHAnsi" w:hAnsiTheme="minorHAnsi" w:cstheme="minorHAnsi"/>
              </w:rPr>
              <w:t>):</w:t>
            </w: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proofErr w:type="spellStart"/>
            <w:r w:rsidRPr="007E41D1">
              <w:rPr>
                <w:rFonts w:cstheme="minorHAnsi"/>
              </w:rPr>
              <w:t>Janain</w:t>
            </w:r>
            <w:r w:rsidR="007C7462" w:rsidRPr="007E41D1">
              <w:rPr>
                <w:rFonts w:cstheme="minorHAnsi"/>
              </w:rPr>
              <w:t>n</w:t>
            </w:r>
            <w:r w:rsidRPr="007E41D1">
              <w:rPr>
                <w:rFonts w:cstheme="minorHAnsi"/>
              </w:rPr>
              <w:t>a</w:t>
            </w:r>
            <w:proofErr w:type="spellEnd"/>
            <w:r w:rsidR="007C7462" w:rsidRPr="007E41D1">
              <w:rPr>
                <w:rFonts w:cstheme="minorHAnsi"/>
              </w:rPr>
              <w:t xml:space="preserve"> Serra</w:t>
            </w:r>
          </w:p>
        </w:tc>
        <w:tc>
          <w:tcPr>
            <w:tcW w:w="3515" w:type="dxa"/>
          </w:tcPr>
          <w:p w:rsidR="00827A35" w:rsidRPr="007E41D1" w:rsidRDefault="007C7462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M</w:t>
            </w:r>
            <w:r w:rsidR="00827A35" w:rsidRPr="007E41D1">
              <w:rPr>
                <w:rFonts w:cstheme="minorHAnsi"/>
              </w:rPr>
              <w:t>ovimento feminista e redes sociais</w:t>
            </w:r>
          </w:p>
        </w:tc>
        <w:tc>
          <w:tcPr>
            <w:tcW w:w="4139" w:type="dxa"/>
          </w:tcPr>
          <w:p w:rsidR="00827A35" w:rsidRPr="007E41D1" w:rsidRDefault="007C7462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Problema</w:t>
            </w:r>
            <w:r w:rsidRPr="007E41D1">
              <w:rPr>
                <w:rFonts w:cstheme="minorHAnsi"/>
              </w:rPr>
              <w:t>: Ou como as narrativas sobre direitos das mulheres são (</w:t>
            </w:r>
            <w:proofErr w:type="spellStart"/>
            <w:r w:rsidRPr="007E41D1">
              <w:rPr>
                <w:rFonts w:cstheme="minorHAnsi"/>
              </w:rPr>
              <w:t>re</w:t>
            </w:r>
            <w:proofErr w:type="spellEnd"/>
            <w:r w:rsidRPr="007E41D1">
              <w:rPr>
                <w:rFonts w:cstheme="minorHAnsi"/>
              </w:rPr>
              <w:t xml:space="preserve">)construídas no </w:t>
            </w:r>
            <w:proofErr w:type="spellStart"/>
            <w:r w:rsidRPr="007E41D1">
              <w:rPr>
                <w:rFonts w:cstheme="minorHAnsi"/>
              </w:rPr>
              <w:t>ciberfeminismo</w:t>
            </w:r>
            <w:proofErr w:type="spellEnd"/>
            <w:r w:rsidRPr="007E41D1">
              <w:rPr>
                <w:rFonts w:cstheme="minorHAnsi"/>
              </w:rPr>
              <w:t>?</w:t>
            </w:r>
          </w:p>
          <w:p w:rsidR="007C7462" w:rsidRPr="007E41D1" w:rsidRDefault="007C7462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Hipótese</w:t>
            </w:r>
            <w:proofErr w:type="gramStart"/>
            <w:r w:rsidRPr="007E41D1">
              <w:rPr>
                <w:rFonts w:cstheme="minorHAnsi"/>
              </w:rPr>
              <w:t xml:space="preserve">: </w:t>
            </w:r>
            <w:r w:rsidR="0067361E" w:rsidRPr="007E41D1">
              <w:rPr>
                <w:rFonts w:cstheme="minorHAnsi"/>
              </w:rPr>
              <w:t>??</w:t>
            </w:r>
            <w:proofErr w:type="gramEnd"/>
          </w:p>
          <w:p w:rsidR="007C7462" w:rsidRPr="007E41D1" w:rsidRDefault="007C7462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Tipo de pesquisa (análise dos procedimentos metodológicos</w:t>
            </w:r>
            <w:r w:rsidRPr="007E41D1">
              <w:rPr>
                <w:rFonts w:cstheme="minorHAnsi"/>
              </w:rPr>
              <w:t>):</w:t>
            </w: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Julia</w:t>
            </w:r>
          </w:p>
        </w:tc>
        <w:tc>
          <w:tcPr>
            <w:tcW w:w="3515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</w:p>
        </w:tc>
        <w:tc>
          <w:tcPr>
            <w:tcW w:w="4139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Julia Silva</w:t>
            </w:r>
          </w:p>
        </w:tc>
        <w:tc>
          <w:tcPr>
            <w:tcW w:w="3515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 xml:space="preserve">Crimes do “colarinho branco”: </w:t>
            </w:r>
            <w:r w:rsidR="000278AE" w:rsidRPr="007E41D1">
              <w:rPr>
                <w:rFonts w:cstheme="minorHAnsi"/>
              </w:rPr>
              <w:t>criminalidade corporativa.</w:t>
            </w:r>
          </w:p>
        </w:tc>
        <w:tc>
          <w:tcPr>
            <w:tcW w:w="4139" w:type="dxa"/>
          </w:tcPr>
          <w:p w:rsidR="00827A35" w:rsidRPr="007E41D1" w:rsidRDefault="000278AE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Problema</w:t>
            </w:r>
            <w:r w:rsidRPr="007E41D1">
              <w:rPr>
                <w:rFonts w:cstheme="minorHAnsi"/>
              </w:rPr>
              <w:t>: P</w:t>
            </w:r>
            <w:r w:rsidRPr="007E41D1">
              <w:rPr>
                <w:rFonts w:cstheme="minorHAnsi"/>
              </w:rPr>
              <w:t>or</w:t>
            </w:r>
            <w:r w:rsidRPr="007E41D1">
              <w:rPr>
                <w:rFonts w:cstheme="minorHAnsi"/>
              </w:rPr>
              <w:t xml:space="preserve"> </w:t>
            </w:r>
            <w:r w:rsidRPr="007E41D1">
              <w:rPr>
                <w:rFonts w:cstheme="minorHAnsi"/>
              </w:rPr>
              <w:t>que falta indignação social em relação</w:t>
            </w:r>
            <w:r w:rsidRPr="007E41D1">
              <w:rPr>
                <w:rFonts w:cstheme="minorHAnsi"/>
              </w:rPr>
              <w:t xml:space="preserve"> à criminalidade corporativa?</w:t>
            </w:r>
          </w:p>
          <w:p w:rsidR="000278AE" w:rsidRPr="007E41D1" w:rsidRDefault="000278AE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Hipótese</w:t>
            </w:r>
            <w:r w:rsidRPr="007E41D1">
              <w:rPr>
                <w:rFonts w:cstheme="minorHAnsi"/>
              </w:rPr>
              <w:t>:</w:t>
            </w:r>
            <w:r w:rsidRPr="007E41D1">
              <w:rPr>
                <w:rFonts w:cstheme="minorHAnsi"/>
              </w:rPr>
              <w:t xml:space="preserve"> </w:t>
            </w:r>
            <w:r w:rsidRPr="007E41D1">
              <w:rPr>
                <w:rFonts w:cstheme="minorHAnsi"/>
              </w:rPr>
              <w:t>as demandas sociais pela exasperação das penas em relação aos criminosos tradicionais convivem, ambiguamente, com regimes regulatórios bastante flexíveis e de certa forma indiferentes à criminalidade corporativa</w:t>
            </w:r>
            <w:r w:rsidRPr="007E41D1">
              <w:rPr>
                <w:rFonts w:cstheme="minorHAnsi"/>
              </w:rPr>
              <w:t>.</w:t>
            </w:r>
          </w:p>
          <w:p w:rsidR="000278AE" w:rsidRPr="007E41D1" w:rsidRDefault="000278AE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Tipo de pesquisa (análise dos procedimentos metodológicos</w:t>
            </w:r>
            <w:r w:rsidRPr="007E41D1">
              <w:rPr>
                <w:rFonts w:cstheme="minorHAnsi"/>
              </w:rPr>
              <w:t>):</w:t>
            </w: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Juliana</w:t>
            </w:r>
            <w:r w:rsidR="00B51024" w:rsidRPr="007E41D1">
              <w:rPr>
                <w:rFonts w:cstheme="minorHAnsi"/>
              </w:rPr>
              <w:t xml:space="preserve"> Haddad</w:t>
            </w:r>
          </w:p>
        </w:tc>
        <w:tc>
          <w:tcPr>
            <w:tcW w:w="3515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 xml:space="preserve">Impactos negativos da mediação em direito de família: uma visão a partir de mulheres atendidas </w:t>
            </w:r>
            <w:r w:rsidRPr="007E41D1">
              <w:rPr>
                <w:rFonts w:cstheme="minorHAnsi"/>
              </w:rPr>
              <w:lastRenderedPageBreak/>
              <w:t>pela defensoria publica</w:t>
            </w:r>
          </w:p>
        </w:tc>
        <w:tc>
          <w:tcPr>
            <w:tcW w:w="4139" w:type="dxa"/>
          </w:tcPr>
          <w:p w:rsidR="00827A35" w:rsidRPr="007E41D1" w:rsidRDefault="000278AE" w:rsidP="00655B1A">
            <w:pPr>
              <w:jc w:val="both"/>
              <w:rPr>
                <w:rFonts w:eastAsia="Times New Roman" w:cstheme="minorHAnsi"/>
              </w:rPr>
            </w:pPr>
            <w:r w:rsidRPr="007E41D1">
              <w:rPr>
                <w:rFonts w:eastAsia="Times New Roman" w:cstheme="minorHAnsi"/>
                <w:b/>
              </w:rPr>
              <w:lastRenderedPageBreak/>
              <w:t>Problema</w:t>
            </w:r>
            <w:r w:rsidR="00655B1A" w:rsidRPr="007E41D1">
              <w:rPr>
                <w:rFonts w:eastAsia="Times New Roman" w:cstheme="minorHAnsi"/>
              </w:rPr>
              <w:t xml:space="preserve">: Como as desigualdades de gênero nas relações entre casais podem acarretar riscos às mulheres em </w:t>
            </w:r>
            <w:r w:rsidR="00655B1A" w:rsidRPr="007E41D1">
              <w:rPr>
                <w:rFonts w:eastAsia="Times New Roman" w:cstheme="minorHAnsi"/>
              </w:rPr>
              <w:lastRenderedPageBreak/>
              <w:t xml:space="preserve">mediação familiar? </w:t>
            </w:r>
          </w:p>
          <w:p w:rsidR="00655B1A" w:rsidRPr="007E41D1" w:rsidRDefault="00655B1A" w:rsidP="00655B1A">
            <w:pPr>
              <w:jc w:val="both"/>
              <w:rPr>
                <w:rFonts w:eastAsia="Times New Roman" w:cstheme="minorHAnsi"/>
                <w:color w:val="393939"/>
              </w:rPr>
            </w:pPr>
            <w:r w:rsidRPr="007E41D1">
              <w:rPr>
                <w:rFonts w:eastAsia="Times New Roman" w:cstheme="minorHAnsi"/>
                <w:b/>
              </w:rPr>
              <w:t>Hipótese</w:t>
            </w:r>
            <w:r w:rsidRPr="007E41D1">
              <w:rPr>
                <w:rFonts w:eastAsia="Times New Roman" w:cstheme="minorHAnsi"/>
              </w:rPr>
              <w:t xml:space="preserve">: O procedimento </w:t>
            </w:r>
            <w:proofErr w:type="spellStart"/>
            <w:r w:rsidRPr="007E41D1">
              <w:rPr>
                <w:rFonts w:eastAsia="Times New Roman" w:cstheme="minorHAnsi"/>
              </w:rPr>
              <w:t>mediatório</w:t>
            </w:r>
            <w:proofErr w:type="spellEnd"/>
            <w:r w:rsidRPr="007E41D1">
              <w:rPr>
                <w:rFonts w:eastAsia="Times New Roman" w:cstheme="minorHAnsi"/>
              </w:rPr>
              <w:t xml:space="preserve"> é desigual. Há influxos negativos da violência de gênero nos procedimentos de mediação familiar em casos de divórcio e dissolução de união estável nos </w:t>
            </w:r>
            <w:proofErr w:type="spellStart"/>
            <w:r w:rsidRPr="007E41D1">
              <w:rPr>
                <w:rFonts w:eastAsia="Times New Roman" w:cstheme="minorHAnsi"/>
              </w:rPr>
              <w:t>CEJUSCs</w:t>
            </w:r>
            <w:proofErr w:type="spellEnd"/>
            <w:r w:rsidRPr="007E41D1">
              <w:rPr>
                <w:rFonts w:eastAsia="Times New Roman" w:cstheme="minorHAnsi"/>
              </w:rPr>
              <w:t xml:space="preserve"> de Ribeirão Preto</w:t>
            </w:r>
          </w:p>
          <w:p w:rsidR="00655B1A" w:rsidRPr="007E41D1" w:rsidRDefault="00655B1A" w:rsidP="00655B1A">
            <w:pPr>
              <w:jc w:val="both"/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Tipo de pesquisa (análise dos procedimentos metodológicos</w:t>
            </w:r>
            <w:r w:rsidRPr="007E41D1">
              <w:rPr>
                <w:rFonts w:cstheme="minorHAnsi"/>
              </w:rPr>
              <w:t>):</w:t>
            </w: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proofErr w:type="spellStart"/>
            <w:r w:rsidRPr="007E41D1">
              <w:rPr>
                <w:rFonts w:cstheme="minorHAnsi"/>
              </w:rPr>
              <w:lastRenderedPageBreak/>
              <w:t>Kaleo</w:t>
            </w:r>
            <w:proofErr w:type="spellEnd"/>
            <w:r w:rsidRPr="007E41D1">
              <w:rPr>
                <w:rFonts w:cstheme="minorHAnsi"/>
              </w:rPr>
              <w:t xml:space="preserve"> </w:t>
            </w:r>
            <w:proofErr w:type="spellStart"/>
            <w:r w:rsidR="00055736" w:rsidRPr="007E41D1">
              <w:rPr>
                <w:rFonts w:cstheme="minorHAnsi"/>
              </w:rPr>
              <w:t>Guaraty</w:t>
            </w:r>
            <w:proofErr w:type="spellEnd"/>
          </w:p>
        </w:tc>
        <w:tc>
          <w:tcPr>
            <w:tcW w:w="3515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Discurso de ódio e liberdade de expressão: analise legal e jurisprudencial (estudo de caso ?)</w:t>
            </w:r>
          </w:p>
        </w:tc>
        <w:tc>
          <w:tcPr>
            <w:tcW w:w="4139" w:type="dxa"/>
          </w:tcPr>
          <w:p w:rsidR="00827A35" w:rsidRPr="007E41D1" w:rsidRDefault="00747B77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Problema</w:t>
            </w:r>
            <w:r w:rsidRPr="007E41D1">
              <w:rPr>
                <w:rFonts w:cstheme="minorHAnsi"/>
              </w:rPr>
              <w:t xml:space="preserve">: A definição e a interpretação </w:t>
            </w:r>
            <w:r w:rsidR="009647B2" w:rsidRPr="007E41D1">
              <w:rPr>
                <w:rFonts w:cstheme="minorHAnsi"/>
              </w:rPr>
              <w:t>jurídica</w:t>
            </w:r>
            <w:r w:rsidRPr="007E41D1">
              <w:rPr>
                <w:rFonts w:cstheme="minorHAnsi"/>
              </w:rPr>
              <w:t xml:space="preserve"> do termo "discurso de ódio",</w:t>
            </w:r>
            <w:r w:rsidR="009647B2" w:rsidRPr="007E41D1">
              <w:rPr>
                <w:rFonts w:cstheme="minorHAnsi"/>
              </w:rPr>
              <w:t xml:space="preserve"> </w:t>
            </w:r>
            <w:r w:rsidRPr="007E41D1">
              <w:rPr>
                <w:rFonts w:cstheme="minorHAnsi"/>
              </w:rPr>
              <w:t xml:space="preserve">ou seja, seu conteúdo normativo e hermenêutico de cognoscibilidade, confiabilidade e </w:t>
            </w:r>
            <w:proofErr w:type="spellStart"/>
            <w:r w:rsidRPr="007E41D1">
              <w:rPr>
                <w:rFonts w:cstheme="minorHAnsi"/>
              </w:rPr>
              <w:t>calculabilidade</w:t>
            </w:r>
            <w:proofErr w:type="spellEnd"/>
            <w:r w:rsidRPr="007E41D1">
              <w:rPr>
                <w:rFonts w:cstheme="minorHAnsi"/>
              </w:rPr>
              <w:t>, é adequado, de forma a não ameaçar a segurança jurídica na sua caracterização?</w:t>
            </w:r>
          </w:p>
          <w:p w:rsidR="00747B77" w:rsidRPr="007E41D1" w:rsidRDefault="00747B77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Hipótese</w:t>
            </w:r>
            <w:proofErr w:type="gramStart"/>
            <w:r w:rsidRPr="007E41D1">
              <w:rPr>
                <w:rFonts w:cstheme="minorHAnsi"/>
              </w:rPr>
              <w:t xml:space="preserve">: </w:t>
            </w:r>
            <w:r w:rsidR="00655B1A" w:rsidRPr="007E41D1">
              <w:rPr>
                <w:rFonts w:cstheme="minorHAnsi"/>
              </w:rPr>
              <w:t>??</w:t>
            </w:r>
            <w:proofErr w:type="gramEnd"/>
          </w:p>
          <w:p w:rsidR="00055736" w:rsidRPr="007E41D1" w:rsidRDefault="00055736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Tipo de pesquisa (análise dos procedimentos metodológicos</w:t>
            </w:r>
            <w:r w:rsidRPr="007E41D1">
              <w:rPr>
                <w:rFonts w:cstheme="minorHAnsi"/>
              </w:rPr>
              <w:t>):</w:t>
            </w: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Larissa</w:t>
            </w:r>
            <w:r w:rsidR="005A2EF9" w:rsidRPr="007E41D1">
              <w:rPr>
                <w:rFonts w:cstheme="minorHAnsi"/>
              </w:rPr>
              <w:t xml:space="preserve"> Eiras</w:t>
            </w:r>
          </w:p>
        </w:tc>
        <w:tc>
          <w:tcPr>
            <w:tcW w:w="3515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Responsabilidade civil do Estado por atuação legislativa</w:t>
            </w:r>
          </w:p>
        </w:tc>
        <w:tc>
          <w:tcPr>
            <w:tcW w:w="4139" w:type="dxa"/>
          </w:tcPr>
          <w:p w:rsidR="00827A35" w:rsidRPr="007E41D1" w:rsidRDefault="005A2EF9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Problema</w:t>
            </w:r>
            <w:r w:rsidRPr="007E41D1">
              <w:rPr>
                <w:rFonts w:cstheme="minorHAnsi"/>
              </w:rPr>
              <w:t>: Como responsabilizar o Estado pelo desempenho da função legislativa, função esta que promove a própria criação do Direito, correspondendo, portanto, a uma atividade lícita, segundo a lei e os ordenamentos jurídicos?</w:t>
            </w:r>
          </w:p>
          <w:p w:rsidR="005A2EF9" w:rsidRPr="007E41D1" w:rsidRDefault="005A2EF9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Hipótese</w:t>
            </w:r>
            <w:r w:rsidRPr="007E41D1">
              <w:rPr>
                <w:rFonts w:cstheme="minorHAnsi"/>
              </w:rPr>
              <w:t>: o Estado deve ser responsabilizado por atos legislativos danosos, ao particular, nos termos do art. 37 § 6º, com algumas condicionantes.</w:t>
            </w:r>
          </w:p>
          <w:p w:rsidR="005A2EF9" w:rsidRPr="007E41D1" w:rsidRDefault="005A2EF9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Tipo de pesquisa (análise dos procedimentos metodológicos</w:t>
            </w:r>
            <w:r w:rsidRPr="007E41D1">
              <w:rPr>
                <w:rFonts w:cstheme="minorHAnsi"/>
              </w:rPr>
              <w:t>):</w:t>
            </w: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Laura</w:t>
            </w:r>
            <w:r w:rsidR="00FA2C59" w:rsidRPr="007E41D1">
              <w:rPr>
                <w:rFonts w:cstheme="minorHAnsi"/>
              </w:rPr>
              <w:t xml:space="preserve"> Elias</w:t>
            </w:r>
          </w:p>
        </w:tc>
        <w:tc>
          <w:tcPr>
            <w:tcW w:w="3515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 xml:space="preserve">SIMPLES e alíquotas de ICMS: </w:t>
            </w:r>
            <w:r w:rsidR="00E17D17" w:rsidRPr="007E41D1">
              <w:rPr>
                <w:rFonts w:cstheme="minorHAnsi"/>
              </w:rPr>
              <w:t>analise da constitucionalidade da cobrança antecipada da diferença</w:t>
            </w:r>
            <w:r w:rsidR="00D42712" w:rsidRPr="007E41D1">
              <w:rPr>
                <w:rFonts w:cstheme="minorHAnsi"/>
              </w:rPr>
              <w:t xml:space="preserve"> da alíquota interna e interestadual do ICMS para empresas optantes do SIMPLES nacional. </w:t>
            </w:r>
          </w:p>
        </w:tc>
        <w:tc>
          <w:tcPr>
            <w:tcW w:w="4139" w:type="dxa"/>
          </w:tcPr>
          <w:p w:rsidR="00827A35" w:rsidRPr="007E41D1" w:rsidRDefault="00D42712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Problema</w:t>
            </w:r>
            <w:r w:rsidRPr="007E41D1">
              <w:rPr>
                <w:rFonts w:cstheme="minorHAnsi"/>
              </w:rPr>
              <w:t>: Atenden</w:t>
            </w:r>
            <w:r w:rsidR="00682645" w:rsidRPr="007E41D1">
              <w:rPr>
                <w:rFonts w:cstheme="minorHAnsi"/>
              </w:rPr>
              <w:t>d</w:t>
            </w:r>
            <w:r w:rsidRPr="007E41D1">
              <w:rPr>
                <w:rFonts w:cstheme="minorHAnsi"/>
              </w:rPr>
              <w:t xml:space="preserve">o ao art. 170, IX da CF que determina o tratamento mais favorável a pequenas empresas brasileiras, editou-se a LO 123/2006 o (SIMPLES Nacional) que instituiu o recolhimento unificado de tributos (única guia) e proibiu o sistema débito-crédito. Neste sentido, o seu art. 13, que prevê o recolhimento em guia própria da cobrança antecipada da diferença da alíquota interna e </w:t>
            </w:r>
            <w:proofErr w:type="spellStart"/>
            <w:r w:rsidRPr="007E41D1">
              <w:rPr>
                <w:rFonts w:cstheme="minorHAnsi"/>
              </w:rPr>
              <w:t>insterestadual</w:t>
            </w:r>
            <w:proofErr w:type="spellEnd"/>
            <w:r w:rsidRPr="007E41D1">
              <w:rPr>
                <w:rFonts w:cstheme="minorHAnsi"/>
              </w:rPr>
              <w:t xml:space="preserve"> sem que haja o credito correspondente pode ser entendido </w:t>
            </w:r>
            <w:r w:rsidRPr="007E41D1">
              <w:rPr>
                <w:rFonts w:cstheme="minorHAnsi"/>
              </w:rPr>
              <w:lastRenderedPageBreak/>
              <w:t>como “uma armadilha legal”?</w:t>
            </w:r>
          </w:p>
          <w:p w:rsidR="00D42712" w:rsidRPr="007E41D1" w:rsidRDefault="00D42712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Hipótese</w:t>
            </w:r>
            <w:r w:rsidRPr="007E41D1">
              <w:rPr>
                <w:rFonts w:cstheme="minorHAnsi"/>
              </w:rPr>
              <w:t xml:space="preserve">: </w:t>
            </w:r>
            <w:r w:rsidR="009C06F3" w:rsidRPr="007E41D1">
              <w:rPr>
                <w:rFonts w:cstheme="minorHAnsi"/>
              </w:rPr>
              <w:t xml:space="preserve">A cobrança da DIFAL para empresas optantes do SIMPLES não é constitucional. </w:t>
            </w:r>
          </w:p>
          <w:p w:rsidR="009C06F3" w:rsidRPr="007E41D1" w:rsidRDefault="009C06F3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Tipo de pesquisa (análise dos procedimentos metodológicos</w:t>
            </w:r>
            <w:r w:rsidRPr="007E41D1">
              <w:rPr>
                <w:rFonts w:cstheme="minorHAnsi"/>
              </w:rPr>
              <w:t>):</w:t>
            </w: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lastRenderedPageBreak/>
              <w:t>Leda</w:t>
            </w:r>
            <w:r w:rsidR="00495CDB" w:rsidRPr="007E41D1">
              <w:rPr>
                <w:rFonts w:cstheme="minorHAnsi"/>
              </w:rPr>
              <w:t xml:space="preserve"> Andrade </w:t>
            </w:r>
          </w:p>
        </w:tc>
        <w:tc>
          <w:tcPr>
            <w:tcW w:w="3515" w:type="dxa"/>
          </w:tcPr>
          <w:p w:rsidR="00827A35" w:rsidRPr="007E41D1" w:rsidRDefault="003371C4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Precedentes judiciais no novo CPC: seus efeitos são os desejados pela norma?</w:t>
            </w:r>
          </w:p>
        </w:tc>
        <w:tc>
          <w:tcPr>
            <w:tcW w:w="4139" w:type="dxa"/>
          </w:tcPr>
          <w:p w:rsidR="00827A35" w:rsidRPr="007E41D1" w:rsidRDefault="001050F4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Problema</w:t>
            </w:r>
            <w:r w:rsidRPr="007E41D1">
              <w:rPr>
                <w:rFonts w:cstheme="minorHAnsi"/>
              </w:rPr>
              <w:t>: As cortes superiores estão observando as regras trazidas pelo novo CPC para edição de seus precedentes? (A pesquisa fará um recorte e analisará as súmulas do STJ em matéria de direito processual civil e a aplicação do art. 926, § 2º do CPC).</w:t>
            </w:r>
          </w:p>
          <w:p w:rsidR="001050F4" w:rsidRPr="007E41D1" w:rsidRDefault="001050F4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Hipótese</w:t>
            </w:r>
            <w:r w:rsidRPr="007E41D1">
              <w:rPr>
                <w:rFonts w:cstheme="minorHAnsi"/>
              </w:rPr>
              <w:t>: As cortes superiores continuam editando súmulas curtas, gerais e abstratas. Sem nenhuma preocupação em trazer as circunstâncias fáticas que embasaram a formação de seus precedentes. Ao contrário do que prevê a exposição de motivos do novo CPC, os precedentes não foram elaborados para garantir a segurança jurídica e a isonomia, mas sim para tentar barrar o enorme número de processos que chegam às cortes superiores (jurisprudência defensiva).</w:t>
            </w:r>
          </w:p>
          <w:p w:rsidR="001050F4" w:rsidRPr="007E41D1" w:rsidRDefault="001050F4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Tipo de pesquisa (analise dos procedimentos metodológicos):</w:t>
            </w: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Leonardo</w:t>
            </w:r>
            <w:r w:rsidR="004C04CD" w:rsidRPr="007E41D1">
              <w:rPr>
                <w:rFonts w:cstheme="minorHAnsi"/>
              </w:rPr>
              <w:t xml:space="preserve"> Cunha Silva</w:t>
            </w:r>
          </w:p>
        </w:tc>
        <w:tc>
          <w:tcPr>
            <w:tcW w:w="3515" w:type="dxa"/>
          </w:tcPr>
          <w:p w:rsidR="00827A35" w:rsidRPr="007E41D1" w:rsidRDefault="003371C4" w:rsidP="000D668F">
            <w:pPr>
              <w:rPr>
                <w:rFonts w:cstheme="minorHAnsi"/>
              </w:rPr>
            </w:pPr>
            <w:proofErr w:type="spellStart"/>
            <w:r w:rsidRPr="007E41D1">
              <w:rPr>
                <w:rFonts w:cstheme="minorHAnsi"/>
              </w:rPr>
              <w:t>RenovaBio</w:t>
            </w:r>
            <w:proofErr w:type="spellEnd"/>
            <w:r w:rsidRPr="007E41D1">
              <w:rPr>
                <w:rFonts w:cstheme="minorHAnsi"/>
              </w:rPr>
              <w:t xml:space="preserve">, mercado de carbono e </w:t>
            </w:r>
            <w:r w:rsidR="004C04CD" w:rsidRPr="007E41D1">
              <w:rPr>
                <w:rFonts w:cstheme="minorHAnsi"/>
              </w:rPr>
              <w:t xml:space="preserve">biocombustível. Análise do instrumento de mercado instituído pela Lei 13.576/2017. </w:t>
            </w:r>
          </w:p>
        </w:tc>
        <w:tc>
          <w:tcPr>
            <w:tcW w:w="4139" w:type="dxa"/>
          </w:tcPr>
          <w:p w:rsidR="00827A35" w:rsidRPr="007E41D1" w:rsidRDefault="004C04CD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Problema</w:t>
            </w:r>
            <w:r w:rsidRPr="007E41D1">
              <w:rPr>
                <w:rFonts w:cstheme="minorHAnsi"/>
              </w:rPr>
              <w:t xml:space="preserve">: Quais as características comuns e especificas do arranjo jurídico institucional criado pela Lei 13.576/2017 em relação a outros modelos globalmente desenvolvidos? </w:t>
            </w:r>
          </w:p>
          <w:p w:rsidR="004C04CD" w:rsidRPr="007E41D1" w:rsidRDefault="004C04CD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Hipótese</w:t>
            </w:r>
            <w:r w:rsidRPr="007E41D1">
              <w:rPr>
                <w:rFonts w:cstheme="minorHAnsi"/>
              </w:rPr>
              <w:t xml:space="preserve">: O </w:t>
            </w:r>
            <w:proofErr w:type="spellStart"/>
            <w:r w:rsidRPr="007E41D1">
              <w:rPr>
                <w:rFonts w:cstheme="minorHAnsi"/>
              </w:rPr>
              <w:t>RenovaBio</w:t>
            </w:r>
            <w:proofErr w:type="spellEnd"/>
            <w:r w:rsidRPr="007E41D1">
              <w:rPr>
                <w:rFonts w:cstheme="minorHAnsi"/>
              </w:rPr>
              <w:t xml:space="preserve"> se assemelha aos demais ao internalizar as externalidades positivas e negativas nas negociações entre poluidor/pagador e protetor/recebedor e se diferencia em não instituir um teto para a produção da poluição. </w:t>
            </w:r>
          </w:p>
          <w:p w:rsidR="004C04CD" w:rsidRPr="007E41D1" w:rsidRDefault="004C04CD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Tipo de pesquisa (analise dos procedimentos metodológicos):</w:t>
            </w: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Lucas</w:t>
            </w:r>
            <w:r w:rsidR="00D15490" w:rsidRPr="007E41D1">
              <w:rPr>
                <w:rFonts w:cstheme="minorHAnsi"/>
              </w:rPr>
              <w:t xml:space="preserve"> Araújo</w:t>
            </w:r>
          </w:p>
        </w:tc>
        <w:tc>
          <w:tcPr>
            <w:tcW w:w="3515" w:type="dxa"/>
          </w:tcPr>
          <w:p w:rsidR="00827A35" w:rsidRPr="007E41D1" w:rsidRDefault="003371C4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O contraditório na formação do precedente vinculante</w:t>
            </w:r>
          </w:p>
        </w:tc>
        <w:tc>
          <w:tcPr>
            <w:tcW w:w="4139" w:type="dxa"/>
          </w:tcPr>
          <w:p w:rsidR="00827A35" w:rsidRPr="007E41D1" w:rsidRDefault="003557EB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Problema</w:t>
            </w:r>
            <w:r w:rsidRPr="007E41D1">
              <w:rPr>
                <w:rFonts w:cstheme="minorHAnsi"/>
              </w:rPr>
              <w:t xml:space="preserve">: A garantia de um contraditório substancial é respeitada quando da criação do precedente obrigatório? Os sujeitos sociais estão </w:t>
            </w:r>
            <w:r w:rsidRPr="007E41D1">
              <w:rPr>
                <w:rFonts w:cstheme="minorHAnsi"/>
              </w:rPr>
              <w:lastRenderedPageBreak/>
              <w:t xml:space="preserve">fazendo parte da formação da </w:t>
            </w:r>
            <w:proofErr w:type="spellStart"/>
            <w:r w:rsidRPr="007E41D1">
              <w:rPr>
                <w:rFonts w:cstheme="minorHAnsi"/>
                <w:i/>
                <w:iCs/>
              </w:rPr>
              <w:t>ratio</w:t>
            </w:r>
            <w:proofErr w:type="spellEnd"/>
            <w:r w:rsidRPr="007E41D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7E41D1">
              <w:rPr>
                <w:rFonts w:cstheme="minorHAnsi"/>
                <w:i/>
                <w:iCs/>
              </w:rPr>
              <w:t>decidendi</w:t>
            </w:r>
            <w:proofErr w:type="spellEnd"/>
            <w:r w:rsidRPr="007E41D1">
              <w:rPr>
                <w:rFonts w:cstheme="minorHAnsi"/>
                <w:i/>
                <w:iCs/>
              </w:rPr>
              <w:t xml:space="preserve"> </w:t>
            </w:r>
            <w:r w:rsidRPr="007E41D1">
              <w:rPr>
                <w:rFonts w:cstheme="minorHAnsi"/>
              </w:rPr>
              <w:t>através da apresentação de argumentos relevantes à causa?</w:t>
            </w:r>
          </w:p>
          <w:p w:rsidR="003557EB" w:rsidRPr="007E41D1" w:rsidRDefault="003557EB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Hipótese</w:t>
            </w:r>
            <w:r w:rsidRPr="007E41D1">
              <w:rPr>
                <w:rFonts w:cstheme="minorHAnsi"/>
              </w:rPr>
              <w:t>: Nos casos em que há efetiva necessidade de debates aprofundados e uma maior reflexão acerca do assunto pautado, a precariedade participativa na formação do precedente ofende o postulado do contraditório substancial.</w:t>
            </w:r>
          </w:p>
          <w:p w:rsidR="003557EB" w:rsidRPr="007E41D1" w:rsidRDefault="006F720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Tipo de pesquisa (análise dos procedimentos metodológicos</w:t>
            </w:r>
            <w:r w:rsidRPr="007E41D1">
              <w:rPr>
                <w:rFonts w:cstheme="minorHAnsi"/>
              </w:rPr>
              <w:t>):</w:t>
            </w: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lastRenderedPageBreak/>
              <w:t>Maira</w:t>
            </w:r>
            <w:r w:rsidR="004655E4" w:rsidRPr="007E41D1">
              <w:rPr>
                <w:rFonts w:cstheme="minorHAnsi"/>
              </w:rPr>
              <w:t xml:space="preserve"> </w:t>
            </w:r>
            <w:proofErr w:type="spellStart"/>
            <w:r w:rsidR="004655E4" w:rsidRPr="007E41D1">
              <w:rPr>
                <w:rFonts w:cstheme="minorHAnsi"/>
              </w:rPr>
              <w:t>Simonelli</w:t>
            </w:r>
            <w:proofErr w:type="spellEnd"/>
          </w:p>
        </w:tc>
        <w:tc>
          <w:tcPr>
            <w:tcW w:w="3515" w:type="dxa"/>
          </w:tcPr>
          <w:p w:rsidR="004655E4" w:rsidRPr="007E41D1" w:rsidRDefault="00A104A2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Instrumentos jurídicos de fomento a indústria nacional</w:t>
            </w:r>
            <w:r w:rsidR="004655E4" w:rsidRPr="007E41D1">
              <w:rPr>
                <w:rFonts w:cstheme="minorHAnsi"/>
              </w:rPr>
              <w:t>.</w:t>
            </w:r>
          </w:p>
          <w:p w:rsidR="00827A35" w:rsidRPr="007E41D1" w:rsidRDefault="004655E4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(L</w:t>
            </w:r>
            <w:r w:rsidR="00A104A2" w:rsidRPr="007E41D1">
              <w:rPr>
                <w:rFonts w:cstheme="minorHAnsi"/>
              </w:rPr>
              <w:t xml:space="preserve">ei de </w:t>
            </w:r>
            <w:r w:rsidRPr="007E41D1">
              <w:rPr>
                <w:rFonts w:cstheme="minorHAnsi"/>
              </w:rPr>
              <w:t>I</w:t>
            </w:r>
            <w:r w:rsidR="00A104A2" w:rsidRPr="007E41D1">
              <w:rPr>
                <w:rFonts w:cstheme="minorHAnsi"/>
              </w:rPr>
              <w:t>nform</w:t>
            </w:r>
            <w:r w:rsidR="008A3807" w:rsidRPr="007E41D1">
              <w:rPr>
                <w:rFonts w:cstheme="minorHAnsi"/>
              </w:rPr>
              <w:t>á</w:t>
            </w:r>
            <w:r w:rsidR="00A104A2" w:rsidRPr="007E41D1">
              <w:rPr>
                <w:rFonts w:cstheme="minorHAnsi"/>
              </w:rPr>
              <w:t>tica</w:t>
            </w:r>
            <w:r w:rsidRPr="007E41D1">
              <w:rPr>
                <w:rFonts w:cstheme="minorHAnsi"/>
              </w:rPr>
              <w:t>?)</w:t>
            </w:r>
          </w:p>
        </w:tc>
        <w:tc>
          <w:tcPr>
            <w:tcW w:w="4139" w:type="dxa"/>
          </w:tcPr>
          <w:p w:rsidR="00827A35" w:rsidRPr="007E41D1" w:rsidRDefault="004655E4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Problema</w:t>
            </w:r>
            <w:r w:rsidRPr="007E41D1">
              <w:rPr>
                <w:rFonts w:cstheme="minorHAnsi"/>
              </w:rPr>
              <w:t xml:space="preserve">: Instrumentos jurídicos de fomento à indústria nacional são legítimos ou representam posturas anticompetitivas? </w:t>
            </w:r>
          </w:p>
          <w:p w:rsidR="004655E4" w:rsidRPr="007E41D1" w:rsidRDefault="004655E4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Hipótese</w:t>
            </w:r>
            <w:r w:rsidRPr="007E41D1">
              <w:rPr>
                <w:rFonts w:cstheme="minorHAnsi"/>
              </w:rPr>
              <w:t xml:space="preserve">: Os instrumentos de proteção à indústria nacional são </w:t>
            </w:r>
            <w:r w:rsidR="00372A48" w:rsidRPr="007E41D1">
              <w:rPr>
                <w:rFonts w:cstheme="minorHAnsi"/>
              </w:rPr>
              <w:t xml:space="preserve">legítimos sobretudo nos países em que a industrialização (indústria nacional?) é incipiente. </w:t>
            </w:r>
          </w:p>
          <w:p w:rsidR="00372A48" w:rsidRPr="007E41D1" w:rsidRDefault="00372A48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Tipo de pesquisa (análise dos procedimentos metodológicos</w:t>
            </w:r>
            <w:r w:rsidRPr="007E41D1">
              <w:rPr>
                <w:rFonts w:cstheme="minorHAnsi"/>
              </w:rPr>
              <w:t>):</w:t>
            </w: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Marco</w:t>
            </w:r>
          </w:p>
        </w:tc>
        <w:tc>
          <w:tcPr>
            <w:tcW w:w="3515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</w:p>
        </w:tc>
        <w:tc>
          <w:tcPr>
            <w:tcW w:w="4139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Mariana</w:t>
            </w:r>
            <w:r w:rsidR="00763AC9" w:rsidRPr="007E41D1">
              <w:rPr>
                <w:rFonts w:cstheme="minorHAnsi"/>
              </w:rPr>
              <w:t xml:space="preserve"> </w:t>
            </w:r>
            <w:proofErr w:type="spellStart"/>
            <w:r w:rsidR="00763AC9" w:rsidRPr="007E41D1">
              <w:rPr>
                <w:rFonts w:cstheme="minorHAnsi"/>
              </w:rPr>
              <w:t>Faciroli</w:t>
            </w:r>
            <w:proofErr w:type="spellEnd"/>
          </w:p>
        </w:tc>
        <w:tc>
          <w:tcPr>
            <w:tcW w:w="3515" w:type="dxa"/>
          </w:tcPr>
          <w:p w:rsidR="00827A35" w:rsidRPr="007E41D1" w:rsidRDefault="00EC6C17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 xml:space="preserve">Trabalho decente e </w:t>
            </w:r>
            <w:r w:rsidR="005F5EF2" w:rsidRPr="007E41D1">
              <w:rPr>
                <w:rFonts w:cstheme="minorHAnsi"/>
              </w:rPr>
              <w:t xml:space="preserve">metas do </w:t>
            </w:r>
            <w:r w:rsidRPr="007E41D1">
              <w:rPr>
                <w:rFonts w:cstheme="minorHAnsi"/>
              </w:rPr>
              <w:t>desenvolvimento sustent</w:t>
            </w:r>
            <w:r w:rsidR="008A3807" w:rsidRPr="007E41D1">
              <w:rPr>
                <w:rFonts w:cstheme="minorHAnsi"/>
              </w:rPr>
              <w:t>á</w:t>
            </w:r>
            <w:r w:rsidRPr="007E41D1">
              <w:rPr>
                <w:rFonts w:cstheme="minorHAnsi"/>
              </w:rPr>
              <w:t>vel</w:t>
            </w:r>
          </w:p>
        </w:tc>
        <w:tc>
          <w:tcPr>
            <w:tcW w:w="4139" w:type="dxa"/>
          </w:tcPr>
          <w:p w:rsidR="005F5EF2" w:rsidRPr="007E41D1" w:rsidRDefault="005F5EF2" w:rsidP="005F5EF2">
            <w:pPr>
              <w:jc w:val="both"/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Problema</w:t>
            </w:r>
            <w:r w:rsidRPr="007E41D1">
              <w:rPr>
                <w:rFonts w:cstheme="minorHAnsi"/>
              </w:rPr>
              <w:t>: A</w:t>
            </w:r>
            <w:r w:rsidR="00192AEB" w:rsidRPr="007E41D1">
              <w:rPr>
                <w:rFonts w:cstheme="minorHAnsi"/>
              </w:rPr>
              <w:t xml:space="preserve">s políticas públicas e edições normativas relacionadas ao trabalho decente instituídas no Brasil a </w:t>
            </w:r>
            <w:r w:rsidRPr="007E41D1">
              <w:rPr>
                <w:rFonts w:cstheme="minorHAnsi"/>
              </w:rPr>
              <w:t>partir de 2015 têm auxiliado na consecução das metas do desenvolvimento</w:t>
            </w:r>
            <w:r w:rsidR="00192AEB" w:rsidRPr="007E41D1">
              <w:rPr>
                <w:rFonts w:cstheme="minorHAnsi"/>
              </w:rPr>
              <w:t xml:space="preserve"> </w:t>
            </w:r>
            <w:r w:rsidRPr="007E41D1">
              <w:rPr>
                <w:rFonts w:cstheme="minorHAnsi"/>
              </w:rPr>
              <w:t>sustentável estabelecidas na Agenda 2030?</w:t>
            </w:r>
          </w:p>
          <w:p w:rsidR="00192AEB" w:rsidRPr="007E41D1" w:rsidRDefault="00192AEB" w:rsidP="005F5EF2">
            <w:pPr>
              <w:jc w:val="both"/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Hipótese</w:t>
            </w:r>
            <w:r w:rsidRPr="007E41D1">
              <w:rPr>
                <w:rFonts w:cstheme="minorHAnsi"/>
              </w:rPr>
              <w:t>: Não houve um avanço e termos de políticas públicas e edições normativas a partir de 2015 com foco na promoção do trabalho decente para auxiliar nas metas estabelecidas na Agenda 2030.</w:t>
            </w:r>
          </w:p>
          <w:p w:rsidR="00192AEB" w:rsidRPr="007E41D1" w:rsidRDefault="00192AEB" w:rsidP="005F5EF2">
            <w:pPr>
              <w:jc w:val="both"/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Tipo de pesquisa (análise dos procedimentos metodológicos</w:t>
            </w:r>
            <w:r w:rsidRPr="007E41D1">
              <w:rPr>
                <w:rFonts w:cstheme="minorHAnsi"/>
              </w:rPr>
              <w:t>):</w:t>
            </w:r>
          </w:p>
          <w:p w:rsidR="00827A35" w:rsidRPr="007E41D1" w:rsidRDefault="00827A35" w:rsidP="000D668F">
            <w:pPr>
              <w:rPr>
                <w:rFonts w:cstheme="minorHAnsi"/>
              </w:rPr>
            </w:pP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Marina</w:t>
            </w:r>
            <w:r w:rsidR="00382A7D" w:rsidRPr="007E41D1">
              <w:rPr>
                <w:rFonts w:cstheme="minorHAnsi"/>
              </w:rPr>
              <w:t xml:space="preserve"> Servo</w:t>
            </w:r>
          </w:p>
        </w:tc>
        <w:tc>
          <w:tcPr>
            <w:tcW w:w="3515" w:type="dxa"/>
          </w:tcPr>
          <w:p w:rsidR="00827A35" w:rsidRPr="007E41D1" w:rsidRDefault="00EC6C17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Direito Penal do Trabalho: crime</w:t>
            </w:r>
            <w:r w:rsidR="00382A7D" w:rsidRPr="007E41D1">
              <w:rPr>
                <w:rFonts w:cstheme="minorHAnsi"/>
              </w:rPr>
              <w:t>s</w:t>
            </w:r>
            <w:r w:rsidRPr="007E41D1">
              <w:rPr>
                <w:rFonts w:cstheme="minorHAnsi"/>
              </w:rPr>
              <w:t xml:space="preserve"> contra a organização do trabalho</w:t>
            </w:r>
          </w:p>
        </w:tc>
        <w:tc>
          <w:tcPr>
            <w:tcW w:w="4139" w:type="dxa"/>
          </w:tcPr>
          <w:p w:rsidR="00827A35" w:rsidRPr="007E41D1" w:rsidRDefault="00382A7D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Problema</w:t>
            </w:r>
            <w:r w:rsidRPr="007E41D1">
              <w:rPr>
                <w:rFonts w:cstheme="minorHAnsi"/>
              </w:rPr>
              <w:t>: Em tempos de Direito Penal mínimo, deve ser reconhecida a (</w:t>
            </w:r>
            <w:proofErr w:type="spellStart"/>
            <w:r w:rsidRPr="007E41D1">
              <w:rPr>
                <w:rFonts w:cstheme="minorHAnsi"/>
              </w:rPr>
              <w:t>des</w:t>
            </w:r>
            <w:proofErr w:type="spellEnd"/>
            <w:r w:rsidRPr="007E41D1">
              <w:rPr>
                <w:rFonts w:cstheme="minorHAnsi"/>
              </w:rPr>
              <w:t>)necessidade de intervenção do Direito Penal no âmbito das relações de trabalho?</w:t>
            </w:r>
          </w:p>
          <w:p w:rsidR="00382A7D" w:rsidRPr="007E41D1" w:rsidRDefault="00382A7D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Hipótese</w:t>
            </w:r>
            <w:r w:rsidRPr="007E41D1">
              <w:rPr>
                <w:rFonts w:cstheme="minorHAnsi"/>
              </w:rPr>
              <w:t xml:space="preserve">: a tutela dos direitos laborais pelo âmbito penal se faz necessária para proteção do valor humano e social </w:t>
            </w:r>
            <w:r w:rsidRPr="007E41D1">
              <w:rPr>
                <w:rFonts w:cstheme="minorHAnsi"/>
              </w:rPr>
              <w:lastRenderedPageBreak/>
              <w:t>do trabalho, tornando a atividade laboral como um bem jurídico a desafiar e exigir uma proteção especial.</w:t>
            </w:r>
          </w:p>
          <w:p w:rsidR="00382A7D" w:rsidRPr="007E41D1" w:rsidRDefault="00382A7D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Tipo de pesquisa (análise dos procedimentos metodológicos</w:t>
            </w:r>
            <w:r w:rsidRPr="007E41D1">
              <w:rPr>
                <w:rFonts w:cstheme="minorHAnsi"/>
              </w:rPr>
              <w:t>):</w:t>
            </w: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lastRenderedPageBreak/>
              <w:t>Mateus</w:t>
            </w:r>
            <w:r w:rsidR="00F00182" w:rsidRPr="007E41D1">
              <w:rPr>
                <w:rFonts w:cstheme="minorHAnsi"/>
              </w:rPr>
              <w:t xml:space="preserve"> </w:t>
            </w:r>
            <w:proofErr w:type="spellStart"/>
            <w:r w:rsidR="00F00182" w:rsidRPr="007E41D1">
              <w:rPr>
                <w:rFonts w:cstheme="minorHAnsi"/>
              </w:rPr>
              <w:t>Paschoarelli</w:t>
            </w:r>
            <w:proofErr w:type="spellEnd"/>
            <w:r w:rsidR="00F00182" w:rsidRPr="007E41D1">
              <w:rPr>
                <w:rFonts w:cstheme="minorHAnsi"/>
              </w:rPr>
              <w:t xml:space="preserve"> Veiga</w:t>
            </w:r>
          </w:p>
        </w:tc>
        <w:tc>
          <w:tcPr>
            <w:tcW w:w="3515" w:type="dxa"/>
          </w:tcPr>
          <w:p w:rsidR="00827A35" w:rsidRPr="007E41D1" w:rsidRDefault="00EC6C17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Governan</w:t>
            </w:r>
            <w:r w:rsidR="00F00182" w:rsidRPr="007E41D1">
              <w:rPr>
                <w:rFonts w:cstheme="minorHAnsi"/>
              </w:rPr>
              <w:t>ç</w:t>
            </w:r>
            <w:r w:rsidRPr="007E41D1">
              <w:rPr>
                <w:rFonts w:cstheme="minorHAnsi"/>
              </w:rPr>
              <w:t xml:space="preserve">a corporativa: </w:t>
            </w:r>
            <w:r w:rsidR="00F00182" w:rsidRPr="007E41D1">
              <w:rPr>
                <w:rFonts w:cstheme="minorHAnsi"/>
              </w:rPr>
              <w:t>proteção de empresas listadas na Bolsa de Valores (“proteção de empresas de capital aberto?”) contra tomadas hostis</w:t>
            </w:r>
            <w:r w:rsidRPr="007E41D1">
              <w:rPr>
                <w:rFonts w:cstheme="minorHAnsi"/>
              </w:rPr>
              <w:t xml:space="preserve"> de controle</w:t>
            </w:r>
            <w:r w:rsidR="00F00182" w:rsidRPr="007E41D1">
              <w:rPr>
                <w:rFonts w:cstheme="minorHAnsi"/>
              </w:rPr>
              <w:t xml:space="preserve"> por acionistas. </w:t>
            </w:r>
          </w:p>
        </w:tc>
        <w:tc>
          <w:tcPr>
            <w:tcW w:w="4139" w:type="dxa"/>
          </w:tcPr>
          <w:p w:rsidR="00827A35" w:rsidRPr="007E41D1" w:rsidRDefault="008A3807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Problema</w:t>
            </w:r>
            <w:r w:rsidRPr="007E41D1">
              <w:rPr>
                <w:rFonts w:cstheme="minorHAnsi"/>
              </w:rPr>
              <w:t>: Por que empresas que não correm riscos de tomada hostil de controle ostentam em seu Estatuto Social medidas protetivas neste sentido?</w:t>
            </w:r>
          </w:p>
          <w:p w:rsidR="008A3807" w:rsidRPr="007E41D1" w:rsidRDefault="008A3807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Hipótese</w:t>
            </w:r>
            <w:r w:rsidRPr="007E41D1">
              <w:rPr>
                <w:rFonts w:cstheme="minorHAnsi"/>
              </w:rPr>
              <w:t xml:space="preserve">: As cláusulas protetivas são resultado de praticas miméticas, sem que haja necessidade das defesas ali estabelecidas. </w:t>
            </w:r>
          </w:p>
          <w:p w:rsidR="008A3807" w:rsidRPr="007E41D1" w:rsidRDefault="008A3807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Tipo de pesquisa (análise dos procedimentos metodológicos):</w:t>
            </w: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Pamela</w:t>
            </w:r>
            <w:r w:rsidR="00BB5DAF" w:rsidRPr="007E41D1">
              <w:rPr>
                <w:rFonts w:cstheme="minorHAnsi"/>
              </w:rPr>
              <w:t xml:space="preserve"> Pereira</w:t>
            </w:r>
          </w:p>
        </w:tc>
        <w:tc>
          <w:tcPr>
            <w:tcW w:w="3515" w:type="dxa"/>
          </w:tcPr>
          <w:p w:rsidR="00827A35" w:rsidRPr="007E41D1" w:rsidRDefault="0057266B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Viol</w:t>
            </w:r>
            <w:r w:rsidR="00FA2C59" w:rsidRPr="007E41D1">
              <w:rPr>
                <w:rFonts w:cstheme="minorHAnsi"/>
              </w:rPr>
              <w:t>ê</w:t>
            </w:r>
            <w:r w:rsidRPr="007E41D1">
              <w:rPr>
                <w:rFonts w:cstheme="minorHAnsi"/>
              </w:rPr>
              <w:t xml:space="preserve">ncia de gênero no meio corporativo: </w:t>
            </w:r>
            <w:r w:rsidR="00CE2042" w:rsidRPr="007E41D1">
              <w:rPr>
                <w:rFonts w:cstheme="minorHAnsi"/>
              </w:rPr>
              <w:t xml:space="preserve">meios de solução </w:t>
            </w:r>
          </w:p>
        </w:tc>
        <w:tc>
          <w:tcPr>
            <w:tcW w:w="4139" w:type="dxa"/>
          </w:tcPr>
          <w:p w:rsidR="00BB5DAF" w:rsidRPr="007E41D1" w:rsidRDefault="00BB5DAF" w:rsidP="00BB5DAF">
            <w:pPr>
              <w:jc w:val="both"/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Problema</w:t>
            </w:r>
            <w:r w:rsidRPr="007E41D1">
              <w:rPr>
                <w:rFonts w:cstheme="minorHAnsi"/>
              </w:rPr>
              <w:t>: Existe medidas de prevenção ou ferramentas de acolhimento às mulheres vítimas de assédio no ambiente corporativo?</w:t>
            </w:r>
          </w:p>
          <w:p w:rsidR="00BB5DAF" w:rsidRPr="007E41D1" w:rsidRDefault="00BB5DAF" w:rsidP="00BB5DAF">
            <w:pPr>
              <w:jc w:val="both"/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Hipótese</w:t>
            </w:r>
            <w:r w:rsidRPr="007E41D1">
              <w:rPr>
                <w:rFonts w:cstheme="minorHAnsi"/>
              </w:rPr>
              <w:t xml:space="preserve">: As mulheres são as principais vítimas de assédio em ambiente corporativo e </w:t>
            </w:r>
            <w:r w:rsidRPr="007E41D1">
              <w:rPr>
                <w:rFonts w:cstheme="minorHAnsi"/>
                <w:shd w:val="clear" w:color="auto" w:fill="FFFFFF"/>
              </w:rPr>
              <w:t>as corporações não têm adotado práticas capazes de evitar a ocorrência do crime ou, ainda menos, para acolhimento das vítimas quando o caso é denunciado, resultando numa situação de abandono do emprego ou em dificuldade de ascensão profissional.</w:t>
            </w:r>
          </w:p>
          <w:p w:rsidR="00827A35" w:rsidRPr="007E41D1" w:rsidRDefault="00BB5DAF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Tipo de pesquisa (análise dos procedimentos metodológicos):</w:t>
            </w: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Paulo</w:t>
            </w:r>
            <w:r w:rsidR="008551E5" w:rsidRPr="007E41D1">
              <w:rPr>
                <w:rFonts w:cstheme="minorHAnsi"/>
              </w:rPr>
              <w:t xml:space="preserve"> Victor Barbosa</w:t>
            </w:r>
          </w:p>
        </w:tc>
        <w:tc>
          <w:tcPr>
            <w:tcW w:w="3515" w:type="dxa"/>
          </w:tcPr>
          <w:p w:rsidR="00827A35" w:rsidRPr="007E41D1" w:rsidRDefault="00EC6C17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Direito administrativo sancionador: direito concorrencial</w:t>
            </w:r>
          </w:p>
        </w:tc>
        <w:tc>
          <w:tcPr>
            <w:tcW w:w="4139" w:type="dxa"/>
          </w:tcPr>
          <w:p w:rsidR="00827A35" w:rsidRPr="007E41D1" w:rsidRDefault="008551E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Problema</w:t>
            </w:r>
            <w:r w:rsidRPr="007E41D1">
              <w:rPr>
                <w:rFonts w:cstheme="minorHAnsi"/>
              </w:rPr>
              <w:t>:</w:t>
            </w:r>
            <w:r w:rsidR="00F62656" w:rsidRPr="007E41D1">
              <w:rPr>
                <w:rFonts w:cstheme="minorHAnsi"/>
              </w:rPr>
              <w:t xml:space="preserve"> </w:t>
            </w:r>
            <w:r w:rsidR="00F62656" w:rsidRPr="007E41D1">
              <w:rPr>
                <w:rFonts w:cstheme="minorHAnsi"/>
              </w:rPr>
              <w:t>Qual o objetivo e função de uma sanção no âmbito concorrencial?</w:t>
            </w:r>
          </w:p>
          <w:p w:rsidR="00F62656" w:rsidRPr="007E41D1" w:rsidRDefault="00F62656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Hipótese</w:t>
            </w:r>
            <w:r w:rsidRPr="007E41D1">
              <w:rPr>
                <w:rFonts w:cstheme="minorHAnsi"/>
              </w:rPr>
              <w:t>: D</w:t>
            </w:r>
            <w:r w:rsidRPr="007E41D1">
              <w:rPr>
                <w:rFonts w:cstheme="minorHAnsi"/>
              </w:rPr>
              <w:t>e tão gravosas ao</w:t>
            </w:r>
            <w:r w:rsidRPr="007E41D1">
              <w:rPr>
                <w:rFonts w:cstheme="minorHAnsi"/>
              </w:rPr>
              <w:t>s</w:t>
            </w:r>
            <w:r w:rsidRPr="007E41D1">
              <w:rPr>
                <w:rFonts w:cstheme="minorHAnsi"/>
              </w:rPr>
              <w:t xml:space="preserve"> administrados</w:t>
            </w:r>
            <w:r w:rsidRPr="007E41D1">
              <w:rPr>
                <w:rFonts w:cstheme="minorHAnsi"/>
              </w:rPr>
              <w:t>,</w:t>
            </w:r>
            <w:r w:rsidRPr="007E41D1">
              <w:rPr>
                <w:rFonts w:cstheme="minorHAnsi"/>
              </w:rPr>
              <w:t xml:space="preserve"> as sanções antitruste exorbit</w:t>
            </w:r>
            <w:r w:rsidRPr="007E41D1">
              <w:rPr>
                <w:rFonts w:cstheme="minorHAnsi"/>
              </w:rPr>
              <w:t>a</w:t>
            </w:r>
            <w:r w:rsidRPr="007E41D1">
              <w:rPr>
                <w:rFonts w:cstheme="minorHAnsi"/>
              </w:rPr>
              <w:t>m o que é esperado de uma sanção administrativa, assemelha</w:t>
            </w:r>
            <w:r w:rsidRPr="007E41D1">
              <w:rPr>
                <w:rFonts w:cstheme="minorHAnsi"/>
              </w:rPr>
              <w:t>ndo</w:t>
            </w:r>
            <w:r w:rsidRPr="007E41D1">
              <w:rPr>
                <w:rFonts w:cstheme="minorHAnsi"/>
              </w:rPr>
              <w:t xml:space="preserve"> à tutela compatível com o Direito Penal.</w:t>
            </w:r>
          </w:p>
          <w:p w:rsidR="00F62656" w:rsidRPr="007E41D1" w:rsidRDefault="00F62656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Tipo de pesquisa (análise dos procedimentos metodológicos):</w:t>
            </w: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Peter</w:t>
            </w:r>
            <w:r w:rsidR="00292D71" w:rsidRPr="007E41D1">
              <w:rPr>
                <w:rFonts w:cstheme="minorHAnsi"/>
              </w:rPr>
              <w:t xml:space="preserve"> Pires</w:t>
            </w:r>
          </w:p>
        </w:tc>
        <w:tc>
          <w:tcPr>
            <w:tcW w:w="3515" w:type="dxa"/>
          </w:tcPr>
          <w:p w:rsidR="00827A35" w:rsidRPr="007E41D1" w:rsidRDefault="00292D71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Novas tendências para a cobrança forcada dos créditos públicos: p</w:t>
            </w:r>
            <w:r w:rsidR="004C087C" w:rsidRPr="007E41D1">
              <w:rPr>
                <w:rFonts w:cstheme="minorHAnsi"/>
              </w:rPr>
              <w:t>ossibilidade de e</w:t>
            </w:r>
            <w:r w:rsidR="00EC6C17" w:rsidRPr="007E41D1">
              <w:rPr>
                <w:rFonts w:cstheme="minorHAnsi"/>
              </w:rPr>
              <w:t>xecu</w:t>
            </w:r>
            <w:r w:rsidRPr="007E41D1">
              <w:rPr>
                <w:rFonts w:cstheme="minorHAnsi"/>
              </w:rPr>
              <w:t>çã</w:t>
            </w:r>
            <w:r w:rsidR="00EC6C17" w:rsidRPr="007E41D1">
              <w:rPr>
                <w:rFonts w:cstheme="minorHAnsi"/>
              </w:rPr>
              <w:t xml:space="preserve">o fiscal </w:t>
            </w:r>
            <w:r w:rsidR="004C087C" w:rsidRPr="007E41D1">
              <w:rPr>
                <w:rFonts w:cstheme="minorHAnsi"/>
              </w:rPr>
              <w:t xml:space="preserve">administrativa no direito </w:t>
            </w:r>
            <w:r w:rsidRPr="007E41D1">
              <w:rPr>
                <w:rFonts w:cstheme="minorHAnsi"/>
              </w:rPr>
              <w:t>no PL 2.412/2007. (</w:t>
            </w:r>
            <w:r w:rsidR="004C087C" w:rsidRPr="007E41D1">
              <w:rPr>
                <w:rFonts w:cstheme="minorHAnsi"/>
              </w:rPr>
              <w:t xml:space="preserve">aplicação da </w:t>
            </w:r>
            <w:proofErr w:type="spellStart"/>
            <w:r w:rsidR="004C087C" w:rsidRPr="007E41D1">
              <w:rPr>
                <w:rFonts w:cstheme="minorHAnsi"/>
              </w:rPr>
              <w:lastRenderedPageBreak/>
              <w:t>autoexecutoriedade</w:t>
            </w:r>
            <w:proofErr w:type="spellEnd"/>
            <w:r w:rsidRPr="007E41D1">
              <w:rPr>
                <w:rFonts w:cstheme="minorHAnsi"/>
              </w:rPr>
              <w:t xml:space="preserve">). </w:t>
            </w:r>
          </w:p>
        </w:tc>
        <w:tc>
          <w:tcPr>
            <w:tcW w:w="4139" w:type="dxa"/>
          </w:tcPr>
          <w:p w:rsidR="00827A35" w:rsidRPr="007E41D1" w:rsidRDefault="00F00182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lastRenderedPageBreak/>
              <w:t>Problema</w:t>
            </w:r>
            <w:r w:rsidRPr="007E41D1">
              <w:rPr>
                <w:rFonts w:cstheme="minorHAnsi"/>
              </w:rPr>
              <w:t>: A execução realizada pelo próprio fisco, de lege ferenda, são constitucionalmente admissíveis no ordenamento jurídico brasileiro?</w:t>
            </w:r>
          </w:p>
          <w:p w:rsidR="00F00182" w:rsidRPr="007E41D1" w:rsidRDefault="00F00182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Hipótese</w:t>
            </w:r>
            <w:r w:rsidRPr="007E41D1">
              <w:rPr>
                <w:rFonts w:cstheme="minorHAnsi"/>
              </w:rPr>
              <w:t xml:space="preserve">: Com fundamento na teoria da separação de poderes e nos </w:t>
            </w:r>
            <w:r w:rsidRPr="007E41D1">
              <w:rPr>
                <w:rFonts w:cstheme="minorHAnsi"/>
              </w:rPr>
              <w:lastRenderedPageBreak/>
              <w:t xml:space="preserve">atributos do ato administrativo, especificamente a </w:t>
            </w:r>
            <w:proofErr w:type="spellStart"/>
            <w:r w:rsidRPr="007E41D1">
              <w:rPr>
                <w:rFonts w:cstheme="minorHAnsi"/>
              </w:rPr>
              <w:t>autoexecutoriedade</w:t>
            </w:r>
            <w:proofErr w:type="spellEnd"/>
            <w:r w:rsidRPr="007E41D1">
              <w:rPr>
                <w:rFonts w:cstheme="minorHAnsi"/>
              </w:rPr>
              <w:t xml:space="preserve">, estas novas tendências são compatíveis com a CF. </w:t>
            </w:r>
          </w:p>
          <w:p w:rsidR="00F00182" w:rsidRPr="007E41D1" w:rsidRDefault="00F00182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Tipo de pesquisa (análise dos procedimentos metodológicos):</w:t>
            </w: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lastRenderedPageBreak/>
              <w:t>Renata</w:t>
            </w:r>
            <w:r w:rsidR="00E51BAF" w:rsidRPr="007E41D1">
              <w:rPr>
                <w:rFonts w:cstheme="minorHAnsi"/>
              </w:rPr>
              <w:t xml:space="preserve"> Benites</w:t>
            </w:r>
          </w:p>
        </w:tc>
        <w:tc>
          <w:tcPr>
            <w:tcW w:w="3515" w:type="dxa"/>
          </w:tcPr>
          <w:p w:rsidR="00827A35" w:rsidRPr="007E41D1" w:rsidRDefault="0057266B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Seguran</w:t>
            </w:r>
            <w:r w:rsidR="00F00182" w:rsidRPr="007E41D1">
              <w:rPr>
                <w:rFonts w:cstheme="minorHAnsi"/>
              </w:rPr>
              <w:t>ç</w:t>
            </w:r>
            <w:r w:rsidRPr="007E41D1">
              <w:rPr>
                <w:rFonts w:cstheme="minorHAnsi"/>
              </w:rPr>
              <w:t xml:space="preserve">a alimentar: </w:t>
            </w:r>
            <w:r w:rsidR="00E51BAF" w:rsidRPr="007E41D1">
              <w:rPr>
                <w:rFonts w:cstheme="minorHAnsi"/>
              </w:rPr>
              <w:t>políticas</w:t>
            </w:r>
            <w:r w:rsidRPr="007E41D1">
              <w:rPr>
                <w:rFonts w:cstheme="minorHAnsi"/>
              </w:rPr>
              <w:t xml:space="preserve"> p</w:t>
            </w:r>
            <w:r w:rsidR="00E51BAF" w:rsidRPr="007E41D1">
              <w:rPr>
                <w:rFonts w:cstheme="minorHAnsi"/>
              </w:rPr>
              <w:t>ú</w:t>
            </w:r>
            <w:r w:rsidRPr="007E41D1">
              <w:rPr>
                <w:rFonts w:cstheme="minorHAnsi"/>
              </w:rPr>
              <w:t>blicas</w:t>
            </w:r>
          </w:p>
        </w:tc>
        <w:tc>
          <w:tcPr>
            <w:tcW w:w="4139" w:type="dxa"/>
          </w:tcPr>
          <w:p w:rsidR="00827A35" w:rsidRPr="007E41D1" w:rsidRDefault="00E51BAF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Problema</w:t>
            </w:r>
            <w:r w:rsidRPr="007E41D1">
              <w:rPr>
                <w:rFonts w:cstheme="minorHAnsi"/>
              </w:rPr>
              <w:t>: Quais os impactos subjetivos e substantivos dos programas PAA e PNAE para os agricultores familiares do município de São José do Rio Preto?</w:t>
            </w:r>
          </w:p>
          <w:p w:rsidR="00E51BAF" w:rsidRPr="007E41D1" w:rsidRDefault="00E51BAF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Hipótese</w:t>
            </w:r>
            <w:r w:rsidRPr="007E41D1">
              <w:rPr>
                <w:rFonts w:cstheme="minorHAnsi"/>
              </w:rPr>
              <w:t xml:space="preserve">: As políticas públicas, na espécie de políticas sociais são planos de ação que buscam mudanças efetivas na busca do </w:t>
            </w:r>
            <w:proofErr w:type="gramStart"/>
            <w:r w:rsidRPr="007E41D1">
              <w:rPr>
                <w:rFonts w:cstheme="minorHAnsi"/>
              </w:rPr>
              <w:t>bem estar</w:t>
            </w:r>
            <w:proofErr w:type="gramEnd"/>
            <w:r w:rsidRPr="007E41D1">
              <w:rPr>
                <w:rFonts w:cstheme="minorHAnsi"/>
              </w:rPr>
              <w:t xml:space="preserve"> social. Por serem políticas públicas de segurança alimentar com um </w:t>
            </w:r>
            <w:proofErr w:type="gramStart"/>
            <w:r w:rsidRPr="007E41D1">
              <w:rPr>
                <w:rFonts w:cstheme="minorHAnsi"/>
              </w:rPr>
              <w:t>viés  social</w:t>
            </w:r>
            <w:proofErr w:type="gramEnd"/>
            <w:r w:rsidRPr="007E41D1">
              <w:rPr>
                <w:rFonts w:cstheme="minorHAnsi"/>
              </w:rPr>
              <w:t>, os programas PAA e PNAE almejam melhora das condições dos agricultores familiares participantes. Assim, a hipótese é que os impactos positivos se verifiquem na implementação desses programas.</w:t>
            </w:r>
          </w:p>
          <w:p w:rsidR="00E51BAF" w:rsidRPr="007E41D1" w:rsidRDefault="00E51BAF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Tipo de pesquisa (análise dos procedimentos metodológicos):</w:t>
            </w: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proofErr w:type="spellStart"/>
            <w:r w:rsidRPr="007E41D1">
              <w:rPr>
                <w:rFonts w:cstheme="minorHAnsi"/>
              </w:rPr>
              <w:t>Rhasmye</w:t>
            </w:r>
            <w:proofErr w:type="spellEnd"/>
            <w:r w:rsidR="002E29F8" w:rsidRPr="007E41D1">
              <w:rPr>
                <w:rFonts w:cstheme="minorHAnsi"/>
              </w:rPr>
              <w:t xml:space="preserve"> El </w:t>
            </w:r>
            <w:proofErr w:type="spellStart"/>
            <w:r w:rsidR="002E29F8" w:rsidRPr="007E41D1">
              <w:rPr>
                <w:rFonts w:cstheme="minorHAnsi"/>
              </w:rPr>
              <w:t>Rafih</w:t>
            </w:r>
            <w:proofErr w:type="spellEnd"/>
          </w:p>
        </w:tc>
        <w:tc>
          <w:tcPr>
            <w:tcW w:w="3515" w:type="dxa"/>
          </w:tcPr>
          <w:p w:rsidR="00827A35" w:rsidRPr="007E41D1" w:rsidRDefault="0057266B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>Direito antitruste e direito criminal</w:t>
            </w:r>
          </w:p>
        </w:tc>
        <w:tc>
          <w:tcPr>
            <w:tcW w:w="4139" w:type="dxa"/>
          </w:tcPr>
          <w:p w:rsidR="00827A35" w:rsidRPr="007E41D1" w:rsidRDefault="000E025E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</w:rPr>
              <w:t>Problema</w:t>
            </w:r>
            <w:r w:rsidRPr="007E41D1">
              <w:rPr>
                <w:rFonts w:cstheme="minorHAnsi"/>
              </w:rPr>
              <w:t xml:space="preserve">: Quais os desafios iniciais que a inauguração do instituto do </w:t>
            </w:r>
            <w:proofErr w:type="spellStart"/>
            <w:r w:rsidRPr="007E41D1">
              <w:rPr>
                <w:rFonts w:cstheme="minorHAnsi"/>
                <w:i/>
              </w:rPr>
              <w:t>whistleblowing</w:t>
            </w:r>
            <w:proofErr w:type="spellEnd"/>
            <w:r w:rsidRPr="007E41D1">
              <w:rPr>
                <w:rFonts w:cstheme="minorHAnsi"/>
              </w:rPr>
              <w:t xml:space="preserve"> no Brasil, pela Lei nº 13.608/2018, trouxe à esfera da defesa da concorrência para o enfrentamento de crimes e infrações administrativas contra a ordem econômica?</w:t>
            </w:r>
          </w:p>
          <w:p w:rsidR="000E025E" w:rsidRPr="007E41D1" w:rsidRDefault="000E025E" w:rsidP="000D668F">
            <w:pPr>
              <w:rPr>
                <w:rFonts w:cstheme="minorHAnsi"/>
                <w:b/>
                <w:bCs/>
              </w:rPr>
            </w:pPr>
            <w:r w:rsidRPr="007E41D1">
              <w:rPr>
                <w:rFonts w:cstheme="minorHAnsi"/>
                <w:b/>
                <w:bCs/>
              </w:rPr>
              <w:t xml:space="preserve">Hipótese: </w:t>
            </w:r>
            <w:r w:rsidRPr="007E41D1">
              <w:rPr>
                <w:rFonts w:cstheme="minorHAnsi"/>
                <w:bCs/>
              </w:rPr>
              <w:t xml:space="preserve">A implementação do </w:t>
            </w:r>
            <w:proofErr w:type="spellStart"/>
            <w:r w:rsidRPr="007E41D1">
              <w:rPr>
                <w:rFonts w:cstheme="minorHAnsi"/>
                <w:bCs/>
              </w:rPr>
              <w:t>whistleblowing</w:t>
            </w:r>
            <w:proofErr w:type="spellEnd"/>
            <w:r w:rsidRPr="007E41D1">
              <w:rPr>
                <w:rFonts w:cstheme="minorHAnsi"/>
                <w:bCs/>
              </w:rPr>
              <w:t xml:space="preserve"> na defesa da concorrência brasileira terá que superar os seguintes desafios: 1- na ordem da conceituação e da abrangência (necessária distinção em relação aos institutos da colaboração premiada, do acordo de leniência e do termo de compromisso de cessação); 2- no plano da tutela dos dados e da</w:t>
            </w:r>
            <w:r w:rsidRPr="007E41D1">
              <w:rPr>
                <w:rFonts w:cstheme="minorHAnsi"/>
                <w:b/>
                <w:bCs/>
              </w:rPr>
              <w:t xml:space="preserve"> identidade do </w:t>
            </w:r>
            <w:proofErr w:type="spellStart"/>
            <w:r w:rsidRPr="007E41D1">
              <w:rPr>
                <w:rFonts w:cstheme="minorHAnsi"/>
                <w:bCs/>
              </w:rPr>
              <w:t>whistleblower</w:t>
            </w:r>
            <w:proofErr w:type="spellEnd"/>
            <w:r w:rsidRPr="007E41D1">
              <w:rPr>
                <w:rFonts w:cstheme="minorHAnsi"/>
                <w:bCs/>
              </w:rPr>
              <w:t>; 3- na adoção de uma política de recompensas.</w:t>
            </w:r>
          </w:p>
          <w:p w:rsidR="000E025E" w:rsidRPr="007E41D1" w:rsidRDefault="000E025E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  <w:b/>
                <w:bCs/>
              </w:rPr>
              <w:t>Tipo de pesquisa (análise dos procedimentos metodológicos):</w:t>
            </w:r>
          </w:p>
        </w:tc>
      </w:tr>
      <w:tr w:rsidR="00827A35" w:rsidTr="00827A35">
        <w:tc>
          <w:tcPr>
            <w:tcW w:w="1418" w:type="dxa"/>
          </w:tcPr>
          <w:p w:rsidR="00827A35" w:rsidRPr="007E41D1" w:rsidRDefault="00827A35" w:rsidP="000D668F">
            <w:pPr>
              <w:rPr>
                <w:rFonts w:cstheme="minorHAnsi"/>
              </w:rPr>
            </w:pPr>
            <w:proofErr w:type="spellStart"/>
            <w:r w:rsidRPr="007E41D1">
              <w:rPr>
                <w:rFonts w:cstheme="minorHAnsi"/>
              </w:rPr>
              <w:t>Taisa</w:t>
            </w:r>
            <w:proofErr w:type="spellEnd"/>
            <w:r w:rsidR="00481813" w:rsidRPr="007E41D1">
              <w:rPr>
                <w:rFonts w:cstheme="minorHAnsi"/>
              </w:rPr>
              <w:t xml:space="preserve"> Magro</w:t>
            </w:r>
          </w:p>
        </w:tc>
        <w:tc>
          <w:tcPr>
            <w:tcW w:w="3515" w:type="dxa"/>
          </w:tcPr>
          <w:p w:rsidR="00827A35" w:rsidRPr="007E41D1" w:rsidRDefault="00834F39" w:rsidP="000D668F">
            <w:pPr>
              <w:rPr>
                <w:rFonts w:cstheme="minorHAnsi"/>
              </w:rPr>
            </w:pPr>
            <w:r w:rsidRPr="007E41D1">
              <w:rPr>
                <w:rFonts w:cstheme="minorHAnsi"/>
              </w:rPr>
              <w:t xml:space="preserve">Aspectos extrajurídicos </w:t>
            </w:r>
            <w:r w:rsidR="009E1212" w:rsidRPr="007E41D1">
              <w:rPr>
                <w:rFonts w:cstheme="minorHAnsi"/>
              </w:rPr>
              <w:t xml:space="preserve">nas decisões </w:t>
            </w:r>
            <w:r w:rsidR="00993690" w:rsidRPr="007E41D1">
              <w:rPr>
                <w:rFonts w:cstheme="minorHAnsi"/>
              </w:rPr>
              <w:t xml:space="preserve">sobre prisão </w:t>
            </w:r>
            <w:r w:rsidR="00481813" w:rsidRPr="007E41D1">
              <w:rPr>
                <w:rFonts w:cstheme="minorHAnsi"/>
              </w:rPr>
              <w:t xml:space="preserve">em </w:t>
            </w:r>
            <w:r w:rsidR="00993690" w:rsidRPr="007E41D1">
              <w:rPr>
                <w:rFonts w:cstheme="minorHAnsi"/>
              </w:rPr>
              <w:lastRenderedPageBreak/>
              <w:t>segunda inst</w:t>
            </w:r>
            <w:r w:rsidR="00481813" w:rsidRPr="007E41D1">
              <w:rPr>
                <w:rFonts w:cstheme="minorHAnsi"/>
              </w:rPr>
              <w:t>â</w:t>
            </w:r>
            <w:r w:rsidR="00993690" w:rsidRPr="007E41D1">
              <w:rPr>
                <w:rFonts w:cstheme="minorHAnsi"/>
              </w:rPr>
              <w:t>ncia</w:t>
            </w:r>
            <w:r w:rsidR="00481813" w:rsidRPr="007E41D1">
              <w:rPr>
                <w:rFonts w:cstheme="minorHAnsi"/>
              </w:rPr>
              <w:t>: Ideologia e estratégia no comportamento do Supremo Tribunal Federal.</w:t>
            </w:r>
          </w:p>
        </w:tc>
        <w:tc>
          <w:tcPr>
            <w:tcW w:w="4139" w:type="dxa"/>
          </w:tcPr>
          <w:p w:rsidR="00481813" w:rsidRPr="007E41D1" w:rsidRDefault="00481813" w:rsidP="00481813">
            <w:pPr>
              <w:pStyle w:val="Corpodotexto"/>
              <w:tabs>
                <w:tab w:val="left" w:pos="6660"/>
              </w:tabs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7E41D1">
              <w:rPr>
                <w:rFonts w:asciiTheme="minorHAnsi" w:hAnsiTheme="minorHAnsi" w:cstheme="minorHAnsi"/>
                <w:b/>
              </w:rPr>
              <w:lastRenderedPageBreak/>
              <w:t>Problema:</w:t>
            </w:r>
            <w:r w:rsidRPr="007E41D1">
              <w:rPr>
                <w:rFonts w:asciiTheme="minorHAnsi" w:hAnsiTheme="minorHAnsi" w:cstheme="minorHAnsi"/>
              </w:rPr>
              <w:t xml:space="preserve"> Como as decisões do Supremo Tribunal Federal acerca do </w:t>
            </w:r>
            <w:r w:rsidRPr="007E41D1">
              <w:rPr>
                <w:rFonts w:asciiTheme="minorHAnsi" w:hAnsiTheme="minorHAnsi" w:cstheme="minorHAnsi"/>
              </w:rPr>
              <w:lastRenderedPageBreak/>
              <w:t xml:space="preserve">princípio da presunção de inocência refletem o contexto sociopolítico de sua prolação e a ideologia dos ministros? </w:t>
            </w:r>
          </w:p>
          <w:p w:rsidR="00481813" w:rsidRPr="007E41D1" w:rsidRDefault="00481813" w:rsidP="00481813">
            <w:pPr>
              <w:pStyle w:val="Corpodotexto"/>
              <w:tabs>
                <w:tab w:val="left" w:pos="6660"/>
              </w:tabs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7E41D1">
              <w:rPr>
                <w:rFonts w:asciiTheme="minorHAnsi" w:hAnsiTheme="minorHAnsi" w:cstheme="minorHAnsi"/>
                <w:b/>
              </w:rPr>
              <w:t>Hipótese:</w:t>
            </w:r>
            <w:r w:rsidRPr="007E41D1">
              <w:rPr>
                <w:rFonts w:asciiTheme="minorHAnsi" w:hAnsiTheme="minorHAnsi" w:cstheme="minorHAnsi"/>
              </w:rPr>
              <w:t xml:space="preserve"> As decisões do STF que oscilaram entre proibir e permitir a prisão como efeito da condenação em segunda instância são representativas dos processos decisórios permeados por fatores ideológicos e estratégicos que se desenvolvem no tribunal (ao menos nos “casos difíceis”), e apontam para um cenário jurídico-político instável, em que ausente a segurança jurídica.  </w:t>
            </w:r>
          </w:p>
          <w:p w:rsidR="00481813" w:rsidRPr="007E41D1" w:rsidRDefault="00481813" w:rsidP="00481813">
            <w:pPr>
              <w:pStyle w:val="Corpodotexto"/>
              <w:tabs>
                <w:tab w:val="left" w:pos="6660"/>
              </w:tabs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7E41D1">
              <w:rPr>
                <w:rFonts w:asciiTheme="minorHAnsi" w:hAnsiTheme="minorHAnsi" w:cstheme="minorHAnsi"/>
                <w:b/>
                <w:bCs/>
              </w:rPr>
              <w:t>Tipo de pesquisa (análise dos procedimentos metodológicos):</w:t>
            </w:r>
          </w:p>
          <w:p w:rsidR="00827A35" w:rsidRPr="007E41D1" w:rsidRDefault="00827A35" w:rsidP="000D668F">
            <w:pPr>
              <w:rPr>
                <w:rFonts w:cstheme="minorHAnsi"/>
              </w:rPr>
            </w:pPr>
          </w:p>
        </w:tc>
      </w:tr>
    </w:tbl>
    <w:p w:rsidR="006566BB" w:rsidRDefault="006566BB"/>
    <w:sectPr w:rsidR="006566BB" w:rsidSect="00F406F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314C1"/>
    <w:multiLevelType w:val="multilevel"/>
    <w:tmpl w:val="7A5C9D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4D8"/>
    <w:rsid w:val="00022F11"/>
    <w:rsid w:val="000278AE"/>
    <w:rsid w:val="00055736"/>
    <w:rsid w:val="000D354A"/>
    <w:rsid w:val="000D668F"/>
    <w:rsid w:val="000E025E"/>
    <w:rsid w:val="000F3483"/>
    <w:rsid w:val="001050F4"/>
    <w:rsid w:val="00192AEB"/>
    <w:rsid w:val="002429E8"/>
    <w:rsid w:val="00292D71"/>
    <w:rsid w:val="002A07E4"/>
    <w:rsid w:val="002E29F8"/>
    <w:rsid w:val="003160B2"/>
    <w:rsid w:val="003371C4"/>
    <w:rsid w:val="003557EB"/>
    <w:rsid w:val="00372A48"/>
    <w:rsid w:val="003813A3"/>
    <w:rsid w:val="00382A7D"/>
    <w:rsid w:val="004254B9"/>
    <w:rsid w:val="00425641"/>
    <w:rsid w:val="004655E4"/>
    <w:rsid w:val="00481813"/>
    <w:rsid w:val="00495CDB"/>
    <w:rsid w:val="004C04CD"/>
    <w:rsid w:val="004C087C"/>
    <w:rsid w:val="005555F5"/>
    <w:rsid w:val="00562A65"/>
    <w:rsid w:val="0057266B"/>
    <w:rsid w:val="005A2EF9"/>
    <w:rsid w:val="005D23F3"/>
    <w:rsid w:val="005F5EF2"/>
    <w:rsid w:val="00655B1A"/>
    <w:rsid w:val="006566BB"/>
    <w:rsid w:val="00656A03"/>
    <w:rsid w:val="0067361E"/>
    <w:rsid w:val="00682645"/>
    <w:rsid w:val="006E724F"/>
    <w:rsid w:val="006F7205"/>
    <w:rsid w:val="00701FC0"/>
    <w:rsid w:val="00747B77"/>
    <w:rsid w:val="00763AC9"/>
    <w:rsid w:val="0078059C"/>
    <w:rsid w:val="00791E3E"/>
    <w:rsid w:val="007C7462"/>
    <w:rsid w:val="007E41D1"/>
    <w:rsid w:val="00817087"/>
    <w:rsid w:val="00827A35"/>
    <w:rsid w:val="00834F39"/>
    <w:rsid w:val="00847E96"/>
    <w:rsid w:val="008551E5"/>
    <w:rsid w:val="00870222"/>
    <w:rsid w:val="008A3807"/>
    <w:rsid w:val="008B4BE5"/>
    <w:rsid w:val="008D5D31"/>
    <w:rsid w:val="009479FB"/>
    <w:rsid w:val="009647B2"/>
    <w:rsid w:val="00993690"/>
    <w:rsid w:val="009A1851"/>
    <w:rsid w:val="009C06F3"/>
    <w:rsid w:val="009E1212"/>
    <w:rsid w:val="00A017E6"/>
    <w:rsid w:val="00A104A2"/>
    <w:rsid w:val="00A1303A"/>
    <w:rsid w:val="00B20CF3"/>
    <w:rsid w:val="00B51024"/>
    <w:rsid w:val="00BB5DAF"/>
    <w:rsid w:val="00BD03B3"/>
    <w:rsid w:val="00C65D24"/>
    <w:rsid w:val="00CE2042"/>
    <w:rsid w:val="00D1292C"/>
    <w:rsid w:val="00D15490"/>
    <w:rsid w:val="00D42712"/>
    <w:rsid w:val="00DE6500"/>
    <w:rsid w:val="00DE7BA9"/>
    <w:rsid w:val="00E17D17"/>
    <w:rsid w:val="00E51BAF"/>
    <w:rsid w:val="00E97B1D"/>
    <w:rsid w:val="00EC6C17"/>
    <w:rsid w:val="00F00182"/>
    <w:rsid w:val="00F304D8"/>
    <w:rsid w:val="00F406FC"/>
    <w:rsid w:val="00F62656"/>
    <w:rsid w:val="00FA2C59"/>
    <w:rsid w:val="00FC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5267"/>
  <w15:docId w15:val="{437A3CFA-6CDD-884A-8EE3-0A1CAFE9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30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62A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Standard">
    <w:name w:val="Standard"/>
    <w:rsid w:val="00763AC9"/>
    <w:pPr>
      <w:widowControl w:val="0"/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sz w:val="22"/>
      <w:szCs w:val="22"/>
      <w:lang w:bidi="hi-IN"/>
    </w:rPr>
  </w:style>
  <w:style w:type="paragraph" w:customStyle="1" w:styleId="Textbody">
    <w:name w:val="Text body"/>
    <w:basedOn w:val="Standard"/>
    <w:rsid w:val="00763AC9"/>
    <w:pPr>
      <w:spacing w:after="120"/>
    </w:pPr>
  </w:style>
  <w:style w:type="paragraph" w:styleId="PargrafodaLista">
    <w:name w:val="List Paragraph"/>
    <w:basedOn w:val="Normal"/>
    <w:uiPriority w:val="34"/>
    <w:qFormat/>
    <w:rsid w:val="00192AE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Corpodotexto">
    <w:name w:val="Corpo do texto"/>
    <w:basedOn w:val="Normal"/>
    <w:qFormat/>
    <w:rsid w:val="00481813"/>
    <w:pPr>
      <w:spacing w:line="360" w:lineRule="auto"/>
      <w:ind w:firstLine="709"/>
      <w:jc w:val="both"/>
    </w:pPr>
    <w:rPr>
      <w:rFonts w:ascii="Cambria" w:eastAsiaTheme="minorHAnsi" w:hAnsi="Cambria"/>
      <w:lang w:eastAsia="en-US"/>
    </w:rPr>
  </w:style>
  <w:style w:type="paragraph" w:styleId="SemEspaamento">
    <w:name w:val="No Spacing"/>
    <w:uiPriority w:val="1"/>
    <w:qFormat/>
    <w:rsid w:val="000D354A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12</Pages>
  <Words>3293</Words>
  <Characters>17785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FDRP</Company>
  <LinksUpToDate>false</LinksUpToDate>
  <CharactersWithSpaces>21036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Soares Carneiro</dc:creator>
  <cp:lastModifiedBy>anonimo</cp:lastModifiedBy>
  <cp:revision>23</cp:revision>
  <dcterms:created xsi:type="dcterms:W3CDTF">2019-03-18T19:09:00Z</dcterms:created>
  <dcterms:modified xsi:type="dcterms:W3CDTF">2019-03-19T17:42:00Z</dcterms:modified>
</cp:coreProperties>
</file>