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F9" w:rsidRDefault="00835D97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 (USP)</w:t>
      </w:r>
    </w:p>
    <w:p w:rsidR="003461F9" w:rsidRDefault="00835D97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de Relações Internacionais (IRI)</w:t>
      </w:r>
    </w:p>
    <w:p w:rsidR="003461F9" w:rsidRDefault="00835D97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835D97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835D97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835D97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3461F9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835D97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835D97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Desafios e Tendências no Mundo em Transformação</w:t>
      </w:r>
    </w:p>
    <w:p w:rsidR="003461F9" w:rsidRDefault="003461F9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3461F9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3461F9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3461F9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835D97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1F9" w:rsidRDefault="003461F9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835D97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</w:t>
      </w:r>
    </w:p>
    <w:p w:rsidR="003461F9" w:rsidRDefault="00835D97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BRI0001: Temas e Práticas de Relações Internacionais</w:t>
      </w:r>
    </w:p>
    <w:p w:rsidR="003461F9" w:rsidRDefault="00835D97">
      <w:pPr>
        <w:pStyle w:val="normal0"/>
        <w:spacing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Júlia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(9760620)</w:t>
      </w:r>
    </w:p>
    <w:p w:rsidR="003461F9" w:rsidRDefault="003461F9">
      <w:pPr>
        <w:pStyle w:val="normal0"/>
        <w:spacing w:after="240"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3461F9">
      <w:pPr>
        <w:pStyle w:val="normal0"/>
        <w:spacing w:after="240" w:line="36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1F9" w:rsidRDefault="00835D97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São Paulo</w:t>
      </w:r>
    </w:p>
    <w:p w:rsidR="003461F9" w:rsidRDefault="00835D97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3461F9" w:rsidRDefault="003461F9">
      <w:pPr>
        <w:pStyle w:val="normal0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744" w:rsidRDefault="006C2744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INTRODUÇÃO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Polarização política, fluxos migratórios, desafios humanitários, tendências tecnológicas inovadoras, incertezas econômicas, novos agentes políticos e impactos ambientais são os principais tópicos do século XXI que o curso de temas e práticas de relações in</w:t>
      </w:r>
      <w:r>
        <w:rPr>
          <w:rFonts w:ascii="Times New Roman" w:eastAsia="Times New Roman" w:hAnsi="Times New Roman" w:cs="Times New Roman"/>
          <w:sz w:val="23"/>
          <w:szCs w:val="23"/>
        </w:rPr>
        <w:t>ternacionais nos oferece para refletir.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Levando em consideração a formação de uma sociedade com uma governança consciente dos riscos e com capacidade para oferecer respostas inovadoras às expectativas da sociedade, o curso nos estimula a questionar nossas </w:t>
      </w:r>
      <w:r>
        <w:rPr>
          <w:rFonts w:ascii="Times New Roman" w:eastAsia="Times New Roman" w:hAnsi="Times New Roman" w:cs="Times New Roman"/>
          <w:sz w:val="23"/>
          <w:szCs w:val="23"/>
        </w:rPr>
        <w:t>atitudes individuais do dia a dia com base nas exposições feita por diversos convidados, os quais apresentaram suas atividades e organizações no campo das relações internacionais.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Logo, este ensaio tem por objetivo apresentar de forma crítica as principais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temáticas, conceitos e questões levantados sobre as tendências e riscos globais nas palestras de cada tópico.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>: O Brasil no futuro do mundo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O professor Jacques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Marcovitch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com o intuito de incentivar os jovens a refletir sobre o seu papel na formaç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ão e no desenvolvimento da sociedade, na primeira aula, introduziu as tendências mundiais e os riscos para as próximas décadas.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Além disso, apresentou uma série de riscos econômicos, políticos, tecnológicos e ambientais que devem ser confrontados como de</w:t>
      </w:r>
      <w:r>
        <w:rPr>
          <w:rFonts w:ascii="Times New Roman" w:eastAsia="Times New Roman" w:hAnsi="Times New Roman" w:cs="Times New Roman"/>
          <w:sz w:val="23"/>
          <w:szCs w:val="23"/>
        </w:rPr>
        <w:t>safios a serem enfrentados e analisados com responsabilidade no âmbito global e nacional. Nessa perspectiva, os riscos englobam tópicos chaves para serem aprofundados durante o curso. São eles: a) a crise de confiança nas lideranças, tanto no ambiente inte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rnacional com a ascensão da direita e bipolarização dos discursos que marcam líderes atuais como 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Trump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quanto nas eleições brasileiras de 2018; b) as discussões e embates promovidos pelo radicalismo religioso e político que promovem o Terrorismo e crime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organizado; c) as doenças endêmicas que não respeitam fronteiras e necessitam da atuação de estratégias coordenadas globalmente; d) os fluxos migratórios que são um desafio para a alocação de recursos e o respeito integral dos direitos humanos; entre outr</w:t>
      </w:r>
      <w:r>
        <w:rPr>
          <w:rFonts w:ascii="Times New Roman" w:eastAsia="Times New Roman" w:hAnsi="Times New Roman" w:cs="Times New Roman"/>
          <w:sz w:val="23"/>
          <w:szCs w:val="23"/>
        </w:rPr>
        <w:t>os.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Nesse contexto, estimulou a reflexão sobre o papel individual do cidadão. O questionamento “Como podemos construir o futuro?” foi essencial para a avaliação da consciência disseminada dos riscos, da busca constante de informações, assim como do contín</w:t>
      </w:r>
      <w:r>
        <w:rPr>
          <w:rFonts w:ascii="Times New Roman" w:eastAsia="Times New Roman" w:hAnsi="Times New Roman" w:cs="Times New Roman"/>
          <w:sz w:val="23"/>
          <w:szCs w:val="23"/>
        </w:rPr>
        <w:t>uo reposicionamento das organizações, do desenvolvimento das capacidades de inovação e do aprimoramento do Estado estratégico.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Baseando-se nisso, para causar um impacto no Brasil, é necessária uma avaliação prévia das principais rupturas e desafios da atu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alidade. A educação brasileira, assim como políticas públicas de saneamento, de segurança alimentar e de desmatamento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precisam de serem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repensadas e aprimoradas. Além disso, desafios como a transição para baixa emissão de CO2 e o enfoque nos estudos da neu</w:t>
      </w:r>
      <w:r>
        <w:rPr>
          <w:rFonts w:ascii="Times New Roman" w:eastAsia="Times New Roman" w:hAnsi="Times New Roman" w:cs="Times New Roman"/>
          <w:sz w:val="23"/>
          <w:szCs w:val="23"/>
        </w:rPr>
        <w:t>rociência, apesar de não constarem como prioridades, necessitam de serem abordadas, discutidas e estudadas para que esses temas possam contribuir com o processo de crescimento da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qualidade de vida da sociedade.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Com os compromissos acordados pelo Brasil n</w:t>
      </w:r>
      <w:r>
        <w:rPr>
          <w:rFonts w:ascii="Times New Roman" w:eastAsia="Times New Roman" w:hAnsi="Times New Roman" w:cs="Times New Roman"/>
          <w:sz w:val="23"/>
          <w:szCs w:val="23"/>
        </w:rPr>
        <w:t>a Agenda 2030, percebe-se que o país está preparado para assumir maiores responsabilidades, próprias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de grandes nações. Todavia, é importante se perguntar, “mas quem constrói o futuro?” Seria uma nação tomando iniciativas de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forma individualista e sem a 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onstante ligação com o desejo de uma população ávida pelo desenvolvimento ou a própria sociedade em suas ambições, dividindo-se pelos setores privados e públicos para se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fazer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ouvida? 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: Origens e características das Organizações Internacionais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Na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primeira aula apresentada pelo professor Pedro Dallari, ele tratou das organizações internacionais e de como elas funcionam, que de certa forma representa uma parte mais conceitual e essencial para o tema de Relações Internacionais. Com o advento da globa</w:t>
      </w:r>
      <w:r>
        <w:rPr>
          <w:rFonts w:ascii="Times New Roman" w:eastAsia="Times New Roman" w:hAnsi="Times New Roman" w:cs="Times New Roman"/>
          <w:sz w:val="23"/>
          <w:szCs w:val="23"/>
        </w:rPr>
        <w:t>lização, a interconexão de ideias, dos serviços, das informações e das pessoas, fez com que, de fato, fosse imprescindível uma constante uniformização de regras, costumes e princípios, de modo a promover maior harmonização entre as diferentes particularida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des de cada sociedade.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Nessa perspectiva, com as organizações internacionais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) é possível propiciar espaço de debate no qual as decisões podem ser alinhadas globalmente. As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são caracterizadas por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3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principais fatores: formada por estados ou outra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; instituída por um tratado; e possui personalidade jurídica internacional.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Além disso, a OI pode ser caracterizada pelo seu funcionamento, de formato centrado em uma área geográfica específica ou um tópico específico; pela estrutura interna com base </w:t>
      </w:r>
      <w:r>
        <w:rPr>
          <w:rFonts w:ascii="Times New Roman" w:eastAsia="Times New Roman" w:hAnsi="Times New Roman" w:cs="Times New Roman"/>
          <w:sz w:val="23"/>
          <w:szCs w:val="23"/>
        </w:rPr>
        <w:t>na organização interna e órgãos que a compõe; e por suas atividades e poderes.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Todavia, apesar do ideal de unificação global ser um aspecto admirável,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possuem o desafio de gerência internacional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ao mesmo tempo que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precisam respeitar a soberania estata</w:t>
      </w:r>
      <w:r>
        <w:rPr>
          <w:rFonts w:ascii="Times New Roman" w:eastAsia="Times New Roman" w:hAnsi="Times New Roman" w:cs="Times New Roman"/>
          <w:sz w:val="23"/>
          <w:szCs w:val="23"/>
        </w:rPr>
        <w:t>l. Referindo-se às tendências globais percebe-se, especialmente nas aulas subsequentes, que o mundo atingiu um ponto de integração no qual a decisão de um país influencia praticamente todos os países de forma direta e indireta, gerando responsabilidade mun</w:t>
      </w:r>
      <w:r>
        <w:rPr>
          <w:rFonts w:ascii="Times New Roman" w:eastAsia="Times New Roman" w:hAnsi="Times New Roman" w:cs="Times New Roman"/>
          <w:sz w:val="23"/>
          <w:szCs w:val="23"/>
        </w:rPr>
        <w:t>dial pelas decisões individuais.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Dessa forma, as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passam a ser o ambiente em que interesses individuais são transparecidos para todos e debatidos com o objetivo de alcançar uma decisão harmoniosa que deve ser respeitada por todos os países participante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e adotados como compromisso de implantação.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Por conseguinte, apesar de existir uma constante tensão em assimetrias de poder e posições globais, as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cumprem o papel, ao mínimo, de consulta, já que exerce também o papel de mediar e observar a necessid</w:t>
      </w:r>
      <w:r>
        <w:rPr>
          <w:rFonts w:ascii="Times New Roman" w:eastAsia="Times New Roman" w:hAnsi="Times New Roman" w:cs="Times New Roman"/>
          <w:sz w:val="23"/>
          <w:szCs w:val="23"/>
        </w:rPr>
        <w:t>ade de tomada de decisão em conjunto para que se atinjam os impactos pretendidos quando as situações, normalmente, cruzam fronteiras. Por exemplo, quando gerenciam crises migratórias, situações de guerra e problemáticas relacionadas ao meio ambiente.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>: Geopolítica: tendências e perspectivas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Quando o assunto de tendências e riscos globais é levantado, é natural que uma das principais temáticas abordadas seja o posicionamento estratégico dos Estados no Sistema Internacional. Dessa forma, na primei</w:t>
      </w:r>
      <w:r>
        <w:rPr>
          <w:rFonts w:ascii="Times New Roman" w:eastAsia="Times New Roman" w:hAnsi="Times New Roman" w:cs="Times New Roman"/>
          <w:sz w:val="23"/>
          <w:szCs w:val="23"/>
        </w:rPr>
        <w:t>ra aula ministrada pelo professor Carlos Eduardo, foi feita uma análise dos principais atores e determinantes da geopolítica mundial.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Ao iniciar a palestra marcando a oposição entre os dias atuais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pós atentado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de 11 de setembro e crise de 2008) e o perío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da Guerra Fria (auge do Consenso de Washington), Carlos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Eduardo destacou o declínio constante, porém vagaroso da hegemonia americana e a consequente abertura no âmbito das Relações Internacionais para a ascensão de novos atores.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Após eleição de Donald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rump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observa-se de forma mais clara como a potência americana vem se posicionando de forma indefinida no sistema internacional. Conhecido como Tigre de Papel (“assusta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mas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não faz nada”), o presidente Donald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Trump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apresenta um perfil que o afasta diplomat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icamente de muitos líderes políticos devido a suas declarações incisivas sobre Coréia do Norte, União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Européia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China e acordos mundiais.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Dessa forma, atitudes como a saída dos EUA de algumas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OIs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assim como a quebra do TPP, a não participação no Acordo d</w:t>
      </w:r>
      <w:r>
        <w:rPr>
          <w:rFonts w:ascii="Times New Roman" w:eastAsia="Times New Roman" w:hAnsi="Times New Roman" w:cs="Times New Roman"/>
          <w:sz w:val="23"/>
          <w:szCs w:val="23"/>
        </w:rPr>
        <w:t>e Paris, o reconhecimento de Jerusalém como Capital de Israel, a saída do acordo do Irã, a saída dos EUA como vigilante dos Direitos Humanos, entre outros, geraram graves consequências para a tão cultivada imagem e para a confiança na economia norte-americ</w:t>
      </w:r>
      <w:r>
        <w:rPr>
          <w:rFonts w:ascii="Times New Roman" w:eastAsia="Times New Roman" w:hAnsi="Times New Roman" w:cs="Times New Roman"/>
          <w:sz w:val="23"/>
          <w:szCs w:val="23"/>
        </w:rPr>
        <w:t>ana.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Mesmo que o declínio da hegemonia dos EUA já venha sendo sentido antes do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Trump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o estilo do presidente provoca o aumento de riscos e incertezas da atuação do país, e isso abre espaço para outros países ocuparem posições na geopolítica que antes era p</w:t>
      </w:r>
      <w:r>
        <w:rPr>
          <w:rFonts w:ascii="Times New Roman" w:eastAsia="Times New Roman" w:hAnsi="Times New Roman" w:cs="Times New Roman"/>
          <w:sz w:val="23"/>
          <w:szCs w:val="23"/>
        </w:rPr>
        <w:t>reenchido pelos EUA.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 organização global, portanto, passa a apresentar a Rússia (pela atuação na Síria e posição de mediador no Oriente Médio) e China (grande influenciadora e exportadora de tecnologia de informação) como os novos grandes atores mundiais</w:t>
      </w:r>
      <w:r>
        <w:rPr>
          <w:rFonts w:ascii="Times New Roman" w:eastAsia="Times New Roman" w:hAnsi="Times New Roman" w:cs="Times New Roman"/>
          <w:sz w:val="23"/>
          <w:szCs w:val="23"/>
        </w:rPr>
        <w:t>. Além disso, a própria posição do Brasil de se alinhar com a América Latina, de ser membro do BRICS, e de certa forma representar a alternativa de aliança para a União Europeia, pode levá-lo a assumir papel internacionalmente relevante nesse cenário, apes</w:t>
      </w:r>
      <w:r>
        <w:rPr>
          <w:rFonts w:ascii="Times New Roman" w:eastAsia="Times New Roman" w:hAnsi="Times New Roman" w:cs="Times New Roman"/>
          <w:sz w:val="23"/>
          <w:szCs w:val="23"/>
        </w:rPr>
        <w:t>ar de enfrentar um momento interno desfavorável.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: Política e direito: tendências e perspectivas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Segundo o professor Pedro Dallari, palestrante da aula, quando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 assunto é Direito, muitos juristas são adeptos da tese da fragmentação, de maneira que essa fragmentação política reflete-se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no Direito Internacional.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Entretanto, a tese da fragmentação não é justificável no Direito Internacional (DI) devido a constan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 tendência de uniformização ou compatibilização do DI com a valorização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priorização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universal dos Direitos Humanos pós Guerras Mundiais.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Antes do século XX, a unidade de sistema básico era o Estado e o conceito de soberania afirmava que a ordem jurídi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 do Estado não se subordinava a nenhum outro ordenamento. Todavia, com o advento da tecnologia, a formação de campos de concentração na II Guerra Mundial e as explosões no Japão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provocaram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mudança da centralidade do DI do Estado para o indivíduo. Como 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unidade básica no DI deixou de ser o Estado e passou a ser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 indivíduo, essa dinâmica de integração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resultou no desejo legítimo de promoção de valores. Consequentemente, a decorrência natural desse processo de integração promoveu uma evolução política no S</w:t>
      </w:r>
      <w:r>
        <w:rPr>
          <w:rFonts w:ascii="Times New Roman" w:eastAsia="Times New Roman" w:hAnsi="Times New Roman" w:cs="Times New Roman"/>
          <w:sz w:val="23"/>
          <w:szCs w:val="23"/>
        </w:rPr>
        <w:t>istema Internacional (SI).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Além disso, com a crescente integração global, passou-se a questionar como seriam tratados eventos transnacionais, com base em um imperativo lógico de interação. O DI que até então só cuidava de que questões de fronteiras e alia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nças militares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passa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 estabelecer padrões pactuado globalmente também para normas de conduta.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Dessa forma, Dallari afirma que o Direito se globaliza por demanda, assim como o desenvolvimento científico e tecnológico acelera esse processo por questão de c</w:t>
      </w:r>
      <w:r>
        <w:rPr>
          <w:rFonts w:ascii="Times New Roman" w:eastAsia="Times New Roman" w:hAnsi="Times New Roman" w:cs="Times New Roman"/>
          <w:sz w:val="23"/>
          <w:szCs w:val="23"/>
        </w:rPr>
        <w:t>onveniência de se ter uma norma jurídica global.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O DI, então, passou a operar de duas formas, por meio de regras obrigatórias (tratados) e não obrigatórias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soft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law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). Ademais, esse processo de harmonização do Direito se dá pela identificação de ordens ju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rídicas de outros países que servem de influência para a construção das ordens que serão adotadas globalmente.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Nessa perspectiva, países ainda são legítimos e soberanos para aprovação jurídica, mas em vez de ser produtor autárquico, negocia as ordens jurí</w:t>
      </w:r>
      <w:r>
        <w:rPr>
          <w:rFonts w:ascii="Times New Roman" w:eastAsia="Times New Roman" w:hAnsi="Times New Roman" w:cs="Times New Roman"/>
          <w:sz w:val="23"/>
          <w:szCs w:val="23"/>
        </w:rPr>
        <w:t>dicas em sua formação e as incorporam em termos específicos em sua própria jurisdição.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: Fronteiras da Ciência e seus impactos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Na palestra ministrada por Carlos Henrique Cruz (diretor científico da FAPESP) foram abordados vários assuntos dentro da</w:t>
      </w:r>
      <w:r>
        <w:rPr>
          <w:rFonts w:ascii="Times New Roman" w:eastAsia="Times New Roman" w:hAnsi="Times New Roman" w:cs="Times New Roman"/>
          <w:sz w:val="23"/>
          <w:szCs w:val="23"/>
        </w:rPr>
        <w:t>s atuais discussões a respeito da pesquisa científica. Ele discorreu sobre a importância do desenvolvimento de pesquisas tanto das inicialmente projetadas com o objetivo de melhoria da qualidade de vida da população, quanto das pesquisas estimuladas pela 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uriosidade e prazer de obter novos conhecimentos.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Além disso, apresentou o relacionamento entre a sociedade e a transformação digital, mostrando como descobertas renomadas na atualidade foram originadas por pesquisas consideradas improváveis ou até mesmo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desenvolvidas sem maiores ambições, apenas pelo prazer de estudar. Outro ponto importante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, refere-se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ao fator essencial da pesquisa contínua, a qual visa complementar ou dar prosseguimento a pesquisas anteriores sobre o assunto, de maneira a atingir patam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ares profundos do conhecimento e que na maioria das vezes são as responsáveis pelas grandes revoluções tecnológicas.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Apresentou também as tendências na área da pesquisa científica e da inteligência artificial. Falou sobre a edição gênica que pode ser esse</w:t>
      </w:r>
      <w:r>
        <w:rPr>
          <w:rFonts w:ascii="Times New Roman" w:eastAsia="Times New Roman" w:hAnsi="Times New Roman" w:cs="Times New Roman"/>
          <w:sz w:val="23"/>
          <w:szCs w:val="23"/>
        </w:rPr>
        <w:t>ncial para a agricultura, também discutiu sobre a viabilidade do extermínio da fome, assim como levantou a questão sobre a possibilidade de revolucionar a forma como doenças crônicas são tratadas. É interessante ressaltar que todas essas modificações ainda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são recentemente testadas e os resultados ainda não são todos conhecidos, de modo que podem causar resultados inesperados. Entretanto, o constante estudo desse tópico é uma tendência global e o Brasil, com os projetos da EMBRAPA, é considerado um ator de </w:t>
      </w:r>
      <w:r>
        <w:rPr>
          <w:rFonts w:ascii="Times New Roman" w:eastAsia="Times New Roman" w:hAnsi="Times New Roman" w:cs="Times New Roman"/>
          <w:sz w:val="23"/>
          <w:szCs w:val="23"/>
        </w:rPr>
        <w:t>expertise nessa área e, inclusive, exporta conhecimento por meio de cooperação Sul-Sul para países africanos.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Os avanços tecnológicos, além de proporcionar a melhoria da qualidade de vida da população, na maioria dos casos, são impulsionados e impulsionado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res da globalização. 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Colaboram ainda com a integração mundial, aprimorando, aperfeiçoando e refinando o formato e o desenvolvimento de acordos diplomáticos entre instituições, órgãos multilaterais e Estados.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Ao final,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Carlos Cruz ressaltou como as novas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tecnologias podem identificar padrões climáticos e ajudar a entender os efeitos da mudança do clima ao longo dos anos. Nesse contexto, destacou também a possibilidade de melhorar a compreensão sobre a situação atual climática. Destacou ainda a grande impo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rtância das novas tecnologias no processo de desenvolvimento da cooperação global e de compartilhamento de conhecimento científico, já que essa temática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ambiental não respeita fronteiras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físicas e afeta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diretamente todos os países. A solução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portanto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passa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necessariamente por uma abordagem conjunta internacional e estratégica.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: Tendências Demográficas e Migrações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Palestra sobre Imigração e Refúgio ministrada pela representante do ACNUR em São Paulo, Thais Silva Menezes. Ela abordou desde a definiç</w:t>
      </w:r>
      <w:r>
        <w:rPr>
          <w:rFonts w:ascii="Times New Roman" w:eastAsia="Times New Roman" w:hAnsi="Times New Roman" w:cs="Times New Roman"/>
          <w:sz w:val="23"/>
          <w:szCs w:val="23"/>
        </w:rPr>
        <w:t>ão de refugiados adotada nas convenções iniciais, até as questões de migração na atualidade, não deixando de tratar a respeito do fluxo imigratório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Venezuelano.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De acordo com o Estatuto do Refugiado, de 1951, refugiado era definido como indivíduos em sit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uação de extraterritorialidade com fundado temor vinculado a 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</w:rPr>
        <w:t>perseguição devido à sua raça, religião, nacionalidade, associação a determinado grupo social ou opinião política. Todavia,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com o passar do tempo, essa definição foi ampliada e, atualmente, os pr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incípios básicos do refúgio englobam: acesso ao procedimento de asilo;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refoulement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(o não retorno dos indivíduos); direito de buscar e receber asilo; não discriminação; devido processo legal nos procedimentos de elegibilidade; permanência no território</w:t>
      </w:r>
      <w:r>
        <w:rPr>
          <w:rFonts w:ascii="Times New Roman" w:eastAsia="Times New Roman" w:hAnsi="Times New Roman" w:cs="Times New Roman"/>
          <w:sz w:val="23"/>
          <w:szCs w:val="23"/>
        </w:rPr>
        <w:t>; e não penalização pelo ingresso ou presença irregular.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Para abordar a situação mundial da crise de deslocamento forçado de 2017, quando 68 milhões de pessoas no mundo encontravam-se deslocadas, Thais observou que, ao contrário do senso comum, a maior qua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ntidade dessas pessoas estão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deslocadas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internamente, cerca de 40 milhões de pessoas estão dentro do próprio território, sendo que 85% dos refugiados se encontram dentro de países em desenvolvimento e 52% dos refugiados são crianças.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Além disso, ressaltou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que o Brasil incorporou a Declaração 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Cartagena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 legislação brasileira, contribuindo para a expansão do conceito de refugiado no país, assim como os avanços jurídicos, de modo que a legislação do país possibilita aos refugiados: a não detenção; a carte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ira provisória de trabalho (CTPS); as vagas específicas em Universidades; e a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flexibilização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de documentação e isenção de taxas. Todavia, questões como a maior flexibilização de documentos;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revalidação de diplomas; integração local; e dispersão pelo terri</w:t>
      </w:r>
      <w:r>
        <w:rPr>
          <w:rFonts w:ascii="Times New Roman" w:eastAsia="Times New Roman" w:hAnsi="Times New Roman" w:cs="Times New Roman"/>
          <w:sz w:val="23"/>
          <w:szCs w:val="23"/>
        </w:rPr>
        <w:t>tório ainda precisam de ser aperfeiçoadas.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Outro ponto tratado foi a recente questão do ataque a refugiados venezuelanos em Roraima. Apesar de termos uma lei considerada inovadora e abrangente quando comparada a outros países e a fama de nação receptora 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acolhedora, venezuelanos que chegaram ao Brasil sofreram com a violência de uma cidade.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Mesmo que a declaração 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Cartagena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esteja em vigência e os pedidos de refúgio ainda estejam sendo acatados pelo governo, será que o Brasil está realmente preparado p</w:t>
      </w:r>
      <w:r>
        <w:rPr>
          <w:rFonts w:ascii="Times New Roman" w:eastAsia="Times New Roman" w:hAnsi="Times New Roman" w:cs="Times New Roman"/>
          <w:sz w:val="23"/>
          <w:szCs w:val="23"/>
        </w:rPr>
        <w:t>ara receber refugiados na prática e a entender, com base na situação política atual, a necessidade e obrigação jurídica de oferecer abrigo e apoio a essas pessoas?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Aula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: Tendências Econômicas e Investimentos Diretos no Brasil 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>A aula foi ministrada por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Julyana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Yokota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especialista em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da Standard &amp;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Poor’s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 Ela começou explicitando os conceitos e explicando a importância dessa avaliação para um país se tornar alvo de investimentos externos e adquirir melhores condições relacionadas às finanças para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 desenvolvimento interno.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ab/>
        <w:t xml:space="preserve">A palestrante apresentou a avaliação 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divididas em categorias como diferença entre grau de investimento e grau especulativo. Todavia, foi ressaltado que as avaliações de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não conseguem prever fraudes, mas oferece</w:t>
      </w:r>
      <w:r>
        <w:rPr>
          <w:rFonts w:ascii="Times New Roman" w:eastAsia="Times New Roman" w:hAnsi="Times New Roman" w:cs="Times New Roman"/>
          <w:sz w:val="23"/>
          <w:szCs w:val="23"/>
        </w:rPr>
        <w:t>m uma análise mais objetiva e padronizada da capacidade dos países em fazer o repagamento no tempo e a taxas esperadas pelos investidores.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Analisando 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brasileiro ao longo do tempo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percebe-se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algumas características da economia brasileira, como a baixa reputação no quesito fiscal, mas avaliações razoáveis a respeito do grau de independência do banco central, força da moeda, entre outra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que garantem, no conjunto, 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do país.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É importante ressaltar o papel dos investimentos de bancos internos e instituições nacionais no país, já que o grau do investimento pode aumentar ou diminuir 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assim, em tempos de economia desaquecida, políticas governamentais que promovem impacto </w:t>
      </w:r>
      <w:r>
        <w:rPr>
          <w:rFonts w:ascii="Times New Roman" w:eastAsia="Times New Roman" w:hAnsi="Times New Roman" w:cs="Times New Roman"/>
          <w:sz w:val="23"/>
          <w:szCs w:val="23"/>
        </w:rPr>
        <w:t>fiscal são as que conseguem atrair mais investimento e aumentar o fluxo de transações no país.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Também foi abordado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os Green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Bonds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espécie de financiamento para projetos que visam o comprometimento com a sustentabilidade a longo prazo. A análise dos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green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bonds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é calculada com base na agregação de avaliações nos quesitos de transparência, governança, mitigação e adaptação (riscos de adaptação - catástrofes naturais). Para se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ter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uma ideia, não existe projetos sustentáveis o suficiente para a destinação des</w:t>
      </w:r>
      <w:r>
        <w:rPr>
          <w:rFonts w:ascii="Times New Roman" w:eastAsia="Times New Roman" w:hAnsi="Times New Roman" w:cs="Times New Roman"/>
          <w:sz w:val="23"/>
          <w:szCs w:val="23"/>
        </w:rPr>
        <w:t>ses recursos.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Ou seja, a ideia dos Green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bonds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é relacionada aos riscos vindos do custo da inação, visto que o custo de não agir é maior do que da ação. E, assim, promove compromissos com países para estimular a cobertura vegetal, a eficiência energética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o percentual de energia renovável.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No entanto, o que precisa ser levado em conta, é se, de fato, esses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green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bonds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causam um impacto no meio ambiente ou se apenas é uma forma de atrair o chamado marketing verde e encaminhar recursos vindos da responsabi</w:t>
      </w:r>
      <w:r>
        <w:rPr>
          <w:rFonts w:ascii="Times New Roman" w:eastAsia="Times New Roman" w:hAnsi="Times New Roman" w:cs="Times New Roman"/>
          <w:sz w:val="23"/>
          <w:szCs w:val="23"/>
        </w:rPr>
        <w:t>lidade social de empresas. Por exemplo, o BNDES é uma das instituições que consegue esses financiamentos por seus projetos eólicos, mas isso não quer dizer que o impacto dessa atividade será positivo e relevante para sociedade como um todo.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CONSIDERAÇÕES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FINAIS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Ao final do ciclo de palestras, pude perceber o quão importante para mim é estudar relações internacionais e refletir sobre diversos temas com diferentes perspectivas.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As palestras iniciais, primeiro ciclo, apresentaram a importância de nos vermos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como atores no contexto social, político e econômico, além de apresentar as organizações internacionais como formadoras de opinião e meio para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debate construtivistas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É importante notar que no sistema internacional, nada é dado de forma explícita, mas sim </w:t>
      </w:r>
      <w:r>
        <w:rPr>
          <w:rFonts w:ascii="Times New Roman" w:eastAsia="Times New Roman" w:hAnsi="Times New Roman" w:cs="Times New Roman"/>
          <w:sz w:val="23"/>
          <w:szCs w:val="23"/>
        </w:rPr>
        <w:t>construído, com base em posicionamentos que analisam as principais tendências e riscos globais para tomarem uma decisão, inclusive com base no perfil de líderes que estão no poder e na atuação de novos agentes no ambiente político. Nosso papel é, portanto,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como estudante de Relações Internacionais, entender esses mecanismos, para exercer um mínimo de influência sobre as transformações políticas, econômicas, sociais ou climáticas.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 segundo ciclo, primeira palestra, apresentou-se sobre a importância da pes</w:t>
      </w:r>
      <w:r>
        <w:rPr>
          <w:rFonts w:ascii="Times New Roman" w:eastAsia="Times New Roman" w:hAnsi="Times New Roman" w:cs="Times New Roman"/>
          <w:sz w:val="23"/>
          <w:szCs w:val="23"/>
        </w:rPr>
        <w:t>quisa científica para uma sociedade, visto que ela tem o poder de transformar a qualidade de vida e a rotina das pessoas. Essa discussão foi essencial para reforçar a necessidade do governo em constantemente apoiar e dirigir investimento para esse setor, 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lém de aumentar parcerias de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transferência de tecnologia entre os países, pois só a pesquisa vai ser inovadora no desenvolvimento de políticas públicas.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Já as outras conferências, foram mais focadas em falar sobre migração e investimentos. A primeira foi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muito importante para quebrar antigas perspectivas sobre refugiados, como a migração ilegal para países da Europa e entender o que vem acontecendo com a reação brasileira a respeito dos venezuelanos no país, além de conhecer sobre a inovadora e abrangente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legislação brasileira sobre o assunto. Tal apresentação me trouxe muitos questionamentos sobre questões de xenofobia e como os países podem se resguardar com apoio de organismos internacionais para promover a melhor alocação dos refugiados. 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segunda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, foi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esclarecedora, pois foi meu primeiro contato com o tema dos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ratings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 me fez entender a importância da atuação nacional estratégica para promover a manutenção da economia internacional. Além disso, não tinha conhecimento sobre o mercado ávido para projeto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que promovem sustentabilidade e tecnologias limpas, foi interessante saber que a quantidade disponível de financiamento para esse tipo de projeto é superior aos que são de fato criados. Todavia, não conclui que esses investimentos promovem algum impacto </w:t>
      </w:r>
      <w:r>
        <w:rPr>
          <w:rFonts w:ascii="Times New Roman" w:eastAsia="Times New Roman" w:hAnsi="Times New Roman" w:cs="Times New Roman"/>
          <w:sz w:val="23"/>
          <w:szCs w:val="23"/>
        </w:rPr>
        <w:t>na melhora da qualidade de vida da sociedade no geral ou na preservação do meio ambiente, acredito que sejam mais para promover uma boa imagem para empresas internacionais.</w:t>
      </w:r>
    </w:p>
    <w:p w:rsidR="003461F9" w:rsidRDefault="00835D97">
      <w:pPr>
        <w:pStyle w:val="normal0"/>
        <w:spacing w:line="30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Por fim, gostaria de agradecer a participação nas conferências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pude obter cont</w:t>
      </w:r>
      <w:r>
        <w:rPr>
          <w:rFonts w:ascii="Times New Roman" w:eastAsia="Times New Roman" w:hAnsi="Times New Roman" w:cs="Times New Roman"/>
          <w:sz w:val="23"/>
          <w:szCs w:val="23"/>
        </w:rPr>
        <w:t>ato com diversos perfis de pessoas que me permitiram questionar a abrangência da área de Relações Internacionais e da necessidade de integração desse curso nas outras áreas de conhecimento para a promoção de um impacto positivo no futuro.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 B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IBLIOGRÁFICAS</w:t>
      </w: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HERZ, Mônica; HOFFMAN, Andrea R. “Organizações Internacionais: história e práticas”. Rio de Janeiro: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Elsevier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2004.10ª reimpressão. 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MARCOVITCH, Jacques. O Brasil no Futuro do Mundo. Ciclo “Futuro do Presente - O Brasil Imaginado”, 2013.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ALLARI, Pedro.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law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politically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fragmented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world, em Brasil nas ondas do mundo, Álvaro de Vasconcelos (organizador). Imprensa da Universidade de Coimbra e Editora da Universidade Federal de Campina Grande, 2017.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Flexner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Dijkgraaf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, R. (2017).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usefulness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useless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knowledge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. Princeton,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Jersey: Princeton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Press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Protegendo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refugiados perguntas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&amp; respostas.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n.d.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Brasilia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Acnur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</w:t>
      </w:r>
    </w:p>
    <w:p w:rsidR="003461F9" w:rsidRDefault="003461F9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3461F9" w:rsidRDefault="00835D97">
      <w:pPr>
        <w:pStyle w:val="normal0"/>
        <w:spacing w:line="30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Global, S. (2018). </w:t>
      </w:r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Metodologia de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>ratings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highlight w:val="white"/>
        </w:rPr>
        <w:t xml:space="preserve"> de crédito nas escalas nacionais e regionais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 [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ebook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Available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https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://www.standardandpoors.com/en_US/web/guest/home [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Accessed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Oct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. 2018].</w:t>
      </w:r>
    </w:p>
    <w:sectPr w:rsidR="003461F9" w:rsidSect="00346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97" w:rsidRDefault="00835D97" w:rsidP="006C2744">
      <w:pPr>
        <w:spacing w:line="240" w:lineRule="auto"/>
      </w:pPr>
      <w:r>
        <w:separator/>
      </w:r>
    </w:p>
  </w:endnote>
  <w:endnote w:type="continuationSeparator" w:id="0">
    <w:p w:rsidR="00835D97" w:rsidRDefault="00835D97" w:rsidP="006C2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97" w:rsidRDefault="00835D97" w:rsidP="006C2744">
      <w:pPr>
        <w:spacing w:line="240" w:lineRule="auto"/>
      </w:pPr>
      <w:r>
        <w:separator/>
      </w:r>
    </w:p>
  </w:footnote>
  <w:footnote w:type="continuationSeparator" w:id="0">
    <w:p w:rsidR="00835D97" w:rsidRDefault="00835D97" w:rsidP="006C27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44" w:rsidRDefault="006C27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1F9"/>
    <w:rsid w:val="003461F9"/>
    <w:rsid w:val="006C2744"/>
    <w:rsid w:val="0083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461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461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461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461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461F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461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461F9"/>
  </w:style>
  <w:style w:type="table" w:customStyle="1" w:styleId="TableNormal">
    <w:name w:val="Table Normal"/>
    <w:rsid w:val="00346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461F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461F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6C27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744"/>
  </w:style>
  <w:style w:type="paragraph" w:styleId="Rodap">
    <w:name w:val="footer"/>
    <w:basedOn w:val="Normal"/>
    <w:link w:val="RodapChar"/>
    <w:uiPriority w:val="99"/>
    <w:semiHidden/>
    <w:unhideWhenUsed/>
    <w:rsid w:val="006C27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7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3551</Words>
  <Characters>19181</Characters>
  <Application>Microsoft Office Word</Application>
  <DocSecurity>0</DocSecurity>
  <Lines>159</Lines>
  <Paragraphs>45</Paragraphs>
  <ScaleCrop>false</ScaleCrop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BancadaSuperior</cp:lastModifiedBy>
  <cp:revision>2</cp:revision>
  <dcterms:created xsi:type="dcterms:W3CDTF">2018-10-04T22:01:00Z</dcterms:created>
  <dcterms:modified xsi:type="dcterms:W3CDTF">2018-10-04T22:01:00Z</dcterms:modified>
</cp:coreProperties>
</file>