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C6D46" w:rsidRPr="00EC2744" w:rsidTr="00355176">
        <w:trPr>
          <w:trHeight w:val="1965"/>
          <w:jc w:val="center"/>
        </w:trPr>
        <w:tc>
          <w:tcPr>
            <w:tcW w:w="10080" w:type="dxa"/>
            <w:tcBorders>
              <w:bottom w:val="single" w:sz="4" w:space="0" w:color="auto"/>
            </w:tcBorders>
            <w:shd w:val="clear" w:color="auto" w:fill="auto"/>
          </w:tcPr>
          <w:p w:rsidR="00AC6D46" w:rsidRPr="00EC2744" w:rsidRDefault="00AC6D46" w:rsidP="00355176">
            <w:pPr>
              <w:spacing w:line="240" w:lineRule="auto"/>
              <w:jc w:val="center"/>
              <w:rPr>
                <w:rFonts w:ascii="Georgia" w:hAnsi="Georgia" w:cs="Shruti"/>
                <w:b/>
                <w:caps/>
                <w:color w:val="003300"/>
                <w:sz w:val="20"/>
                <w:szCs w:val="20"/>
                <w:lang w:val="af-ZA"/>
              </w:rPr>
            </w:pPr>
            <w:r w:rsidRPr="00EC2744">
              <w:rPr>
                <w:rFonts w:ascii="Georgia" w:hAnsi="Georgia" w:cs="Shruti"/>
                <w:b/>
                <w:caps/>
                <w:color w:val="003300"/>
                <w:sz w:val="20"/>
                <w:szCs w:val="20"/>
                <w:lang w:val="af-ZA"/>
              </w:rPr>
              <w:t>FFLCH - USP</w:t>
            </w:r>
          </w:p>
          <w:p w:rsidR="00AC6D46" w:rsidRDefault="00AC6D46" w:rsidP="00355176">
            <w:pPr>
              <w:spacing w:line="240" w:lineRule="auto"/>
              <w:jc w:val="center"/>
            </w:pPr>
            <w:r w:rsidRPr="00EC2744">
              <w:rPr>
                <w:rFonts w:ascii="Georgia" w:hAnsi="Georgia" w:cs="Shruti"/>
                <w:b/>
                <w:caps/>
                <w:color w:val="003300"/>
                <w:sz w:val="20"/>
                <w:szCs w:val="20"/>
                <w:lang w:val="af-ZA"/>
              </w:rPr>
              <w:t>Atividades de estágio de francês</w:t>
            </w:r>
          </w:p>
          <w:p w:rsidR="00AC6D46" w:rsidRPr="00AC6D46" w:rsidRDefault="00AC6D46" w:rsidP="00355176">
            <w:pPr>
              <w:spacing w:line="240" w:lineRule="auto"/>
              <w:jc w:val="center"/>
              <w:rPr>
                <w:rFonts w:ascii="Georgia" w:hAnsi="Georgia" w:cs="Shruti"/>
                <w:b/>
                <w:caps/>
                <w:sz w:val="20"/>
                <w:szCs w:val="20"/>
                <w:lang w:val="af-ZA"/>
              </w:rPr>
            </w:pPr>
            <w:bookmarkStart w:id="0" w:name="_GoBack"/>
            <w:r w:rsidRPr="00AC6D46">
              <w:rPr>
                <w:rFonts w:ascii="Georgia" w:hAnsi="Georgia" w:cs="Shruti"/>
                <w:b/>
                <w:caps/>
                <w:sz w:val="20"/>
                <w:szCs w:val="20"/>
                <w:lang w:val="af-ZA"/>
              </w:rPr>
              <w:t>Qu’est-ce que c’est um journal d’apprentissage?</w:t>
            </w:r>
          </w:p>
          <w:bookmarkEnd w:id="0"/>
          <w:p w:rsidR="00AC6D46" w:rsidRDefault="00AC6D46" w:rsidP="00355176">
            <w:pPr>
              <w:spacing w:line="240" w:lineRule="auto"/>
              <w:jc w:val="center"/>
              <w:rPr>
                <w:rFonts w:ascii="Georgia" w:hAnsi="Georgia" w:cs="Shruti"/>
                <w:b/>
                <w:color w:val="003300"/>
                <w:sz w:val="20"/>
                <w:szCs w:val="20"/>
                <w:lang w:val="af-ZA"/>
              </w:rPr>
            </w:pPr>
            <w:r>
              <w:rPr>
                <w:rFonts w:ascii="Georgia" w:hAnsi="Georgia" w:cs="Shruti"/>
                <w:b/>
                <w:color w:val="003300"/>
                <w:sz w:val="20"/>
                <w:szCs w:val="20"/>
                <w:lang w:val="af-ZA"/>
              </w:rPr>
              <w:t>Estagiária: Sandra Coeli Barbosa dos Santos</w:t>
            </w:r>
          </w:p>
          <w:p w:rsidR="00AC6D46" w:rsidRPr="00AC6D46" w:rsidRDefault="00AC6D46" w:rsidP="00355176">
            <w:pPr>
              <w:spacing w:line="240" w:lineRule="auto"/>
              <w:jc w:val="center"/>
              <w:rPr>
                <w:rFonts w:ascii="Georgia" w:hAnsi="Georgia" w:cs="Shruti"/>
                <w:b/>
                <w:caps/>
                <w:color w:val="003300"/>
                <w:sz w:val="20"/>
                <w:szCs w:val="20"/>
                <w:lang w:val="af-ZA"/>
              </w:rPr>
            </w:pPr>
            <w:r>
              <w:rPr>
                <w:rFonts w:ascii="Georgia" w:hAnsi="Georgia" w:cs="Shruti"/>
                <w:b/>
                <w:color w:val="003300"/>
                <w:sz w:val="20"/>
                <w:szCs w:val="20"/>
                <w:lang w:val="af-ZA"/>
              </w:rPr>
              <w:t>setembro</w:t>
            </w:r>
            <w:r w:rsidRPr="00EC2744">
              <w:rPr>
                <w:rFonts w:ascii="Georgia" w:hAnsi="Georgia" w:cs="Shruti"/>
                <w:b/>
                <w:color w:val="003300"/>
                <w:sz w:val="20"/>
                <w:szCs w:val="20"/>
                <w:lang w:val="af-ZA"/>
              </w:rPr>
              <w:t xml:space="preserve"> 201</w:t>
            </w:r>
            <w:r>
              <w:rPr>
                <w:rFonts w:ascii="Georgia" w:hAnsi="Georgia" w:cs="Shruti"/>
                <w:b/>
                <w:color w:val="003300"/>
                <w:sz w:val="20"/>
                <w:szCs w:val="20"/>
                <w:lang w:val="af-ZA"/>
              </w:rPr>
              <w:t>8</w:t>
            </w:r>
          </w:p>
        </w:tc>
      </w:tr>
    </w:tbl>
    <w:p w:rsidR="00AC6D46" w:rsidRPr="00AC6D46" w:rsidRDefault="00AC6D46">
      <w:pPr>
        <w:rPr>
          <w:b/>
          <w:sz w:val="28"/>
          <w:szCs w:val="28"/>
        </w:rPr>
      </w:pPr>
    </w:p>
    <w:p w:rsidR="00AC6D46" w:rsidRPr="00E6254A" w:rsidRDefault="00AC6D46" w:rsidP="00E6254A">
      <w:pPr>
        <w:jc w:val="both"/>
        <w:rPr>
          <w:rFonts w:ascii="Times New Roman" w:hAnsi="Times New Roman" w:cs="Times New Roman"/>
          <w:b/>
          <w:sz w:val="24"/>
          <w:szCs w:val="24"/>
        </w:rPr>
      </w:pPr>
      <w:proofErr w:type="spellStart"/>
      <w:r w:rsidRPr="00E6254A">
        <w:rPr>
          <w:rFonts w:ascii="Times New Roman" w:hAnsi="Times New Roman" w:cs="Times New Roman"/>
          <w:b/>
          <w:sz w:val="24"/>
          <w:szCs w:val="24"/>
        </w:rPr>
        <w:t>Description</w:t>
      </w:r>
      <w:proofErr w:type="spellEnd"/>
    </w:p>
    <w:p w:rsidR="00AC6D46" w:rsidRPr="00E6254A" w:rsidRDefault="00AC6D46" w:rsidP="00E6254A">
      <w:pPr>
        <w:jc w:val="both"/>
        <w:rPr>
          <w:rFonts w:ascii="Times New Roman" w:hAnsi="Times New Roman" w:cs="Times New Roman"/>
          <w:sz w:val="24"/>
          <w:szCs w:val="24"/>
        </w:rPr>
      </w:pPr>
      <w:r w:rsidRPr="00E6254A">
        <w:rPr>
          <w:rFonts w:ascii="Times New Roman" w:hAnsi="Times New Roman" w:cs="Times New Roman"/>
          <w:sz w:val="24"/>
          <w:szCs w:val="24"/>
          <w:lang w:val="fr-FR"/>
        </w:rPr>
        <w:t>Les origines de cette microstratégie</w:t>
      </w:r>
      <w:r w:rsidR="00373868" w:rsidRPr="00E6254A">
        <w:rPr>
          <w:rStyle w:val="Refdenotaderodap"/>
          <w:rFonts w:ascii="Times New Roman" w:hAnsi="Times New Roman" w:cs="Times New Roman"/>
          <w:sz w:val="24"/>
          <w:szCs w:val="24"/>
          <w:lang w:val="fr-FR"/>
        </w:rPr>
        <w:footnoteReference w:id="1"/>
      </w:r>
      <w:r w:rsidR="00373868" w:rsidRPr="00E6254A">
        <w:rPr>
          <w:rFonts w:ascii="Times New Roman" w:hAnsi="Times New Roman" w:cs="Times New Roman"/>
          <w:sz w:val="24"/>
          <w:szCs w:val="24"/>
          <w:lang w:val="fr-FR"/>
        </w:rPr>
        <w:t xml:space="preserve"> </w:t>
      </w:r>
      <w:r w:rsidRPr="00E6254A">
        <w:rPr>
          <w:rFonts w:ascii="Times New Roman" w:hAnsi="Times New Roman" w:cs="Times New Roman"/>
          <w:sz w:val="24"/>
          <w:szCs w:val="24"/>
          <w:lang w:val="fr-FR"/>
        </w:rPr>
        <w:t xml:space="preserve"> remontent au début des années 80 en milieu universitaire, dans le cadre de la recherche en didactique, plus spécifiquement, dans les cours d’apprentissage d’une langue seconde (Cadet, 2007). Plus précisément, les apprentis professeurs (futurs professeurs de langue française seconde langue) sont invités à redevenir élèves en apprenant une langue qui leur est totalement inconnue. À travers le journal d’apprentissage, ils rédigent leurs observations sur leurs apprentissages. Berchoud (2002) spécifie que « l’objectif de cette expérience, formalisée en un texte et guidée par des questions spécifiques, est que l'apprenti professeur se connaisse mieux, comprenne mieux les diverses stratégies d'apprentissage et aussi, l'échec, la crainte ainsi que les attitudes de blocage, d'agressivité ou de repli ». </w:t>
      </w:r>
      <w:proofErr w:type="spellStart"/>
      <w:r w:rsidRPr="00E6254A">
        <w:rPr>
          <w:rFonts w:ascii="Times New Roman" w:hAnsi="Times New Roman" w:cs="Times New Roman"/>
          <w:sz w:val="24"/>
          <w:szCs w:val="24"/>
        </w:rPr>
        <w:t>Depuis</w:t>
      </w:r>
      <w:proofErr w:type="spellEnd"/>
      <w:r w:rsidRPr="00E6254A">
        <w:rPr>
          <w:rFonts w:ascii="Times New Roman" w:hAnsi="Times New Roman" w:cs="Times New Roman"/>
          <w:sz w:val="24"/>
          <w:szCs w:val="24"/>
        </w:rPr>
        <w:t xml:space="preserve">, </w:t>
      </w:r>
      <w:proofErr w:type="spellStart"/>
      <w:r w:rsidRPr="00E6254A">
        <w:rPr>
          <w:rFonts w:ascii="Times New Roman" w:hAnsi="Times New Roman" w:cs="Times New Roman"/>
          <w:sz w:val="24"/>
          <w:szCs w:val="24"/>
        </w:rPr>
        <w:t>cette</w:t>
      </w:r>
      <w:proofErr w:type="spellEnd"/>
      <w:r w:rsidRPr="00E6254A">
        <w:rPr>
          <w:rFonts w:ascii="Times New Roman" w:hAnsi="Times New Roman" w:cs="Times New Roman"/>
          <w:sz w:val="24"/>
          <w:szCs w:val="24"/>
        </w:rPr>
        <w:t xml:space="preserve"> pratique </w:t>
      </w:r>
      <w:proofErr w:type="spellStart"/>
      <w:r w:rsidRPr="00E6254A">
        <w:rPr>
          <w:rFonts w:ascii="Times New Roman" w:hAnsi="Times New Roman" w:cs="Times New Roman"/>
          <w:sz w:val="24"/>
          <w:szCs w:val="24"/>
        </w:rPr>
        <w:t>s’est</w:t>
      </w:r>
      <w:proofErr w:type="spellEnd"/>
      <w:r w:rsidRPr="00E6254A">
        <w:rPr>
          <w:rFonts w:ascii="Times New Roman" w:hAnsi="Times New Roman" w:cs="Times New Roman"/>
          <w:sz w:val="24"/>
          <w:szCs w:val="24"/>
        </w:rPr>
        <w:t xml:space="preserve"> </w:t>
      </w:r>
      <w:proofErr w:type="spellStart"/>
      <w:r w:rsidRPr="00E6254A">
        <w:rPr>
          <w:rFonts w:ascii="Times New Roman" w:hAnsi="Times New Roman" w:cs="Times New Roman"/>
          <w:sz w:val="24"/>
          <w:szCs w:val="24"/>
        </w:rPr>
        <w:t>répandue</w:t>
      </w:r>
      <w:proofErr w:type="spellEnd"/>
      <w:r w:rsidRPr="00E6254A">
        <w:rPr>
          <w:rFonts w:ascii="Times New Roman" w:hAnsi="Times New Roman" w:cs="Times New Roman"/>
          <w:sz w:val="24"/>
          <w:szCs w:val="24"/>
        </w:rPr>
        <w:t xml:space="preserve"> </w:t>
      </w:r>
      <w:proofErr w:type="spellStart"/>
      <w:r w:rsidRPr="00E6254A">
        <w:rPr>
          <w:rFonts w:ascii="Times New Roman" w:hAnsi="Times New Roman" w:cs="Times New Roman"/>
          <w:sz w:val="24"/>
          <w:szCs w:val="24"/>
        </w:rPr>
        <w:t>dans</w:t>
      </w:r>
      <w:proofErr w:type="spellEnd"/>
      <w:r w:rsidRPr="00E6254A">
        <w:rPr>
          <w:rFonts w:ascii="Times New Roman" w:hAnsi="Times New Roman" w:cs="Times New Roman"/>
          <w:sz w:val="24"/>
          <w:szCs w:val="24"/>
        </w:rPr>
        <w:t xml:space="preserve"> d’</w:t>
      </w:r>
      <w:proofErr w:type="spellStart"/>
      <w:r w:rsidRPr="00E6254A">
        <w:rPr>
          <w:rFonts w:ascii="Times New Roman" w:hAnsi="Times New Roman" w:cs="Times New Roman"/>
          <w:sz w:val="24"/>
          <w:szCs w:val="24"/>
        </w:rPr>
        <w:t>autres</w:t>
      </w:r>
      <w:proofErr w:type="spellEnd"/>
      <w:r w:rsidRPr="00E6254A">
        <w:rPr>
          <w:rFonts w:ascii="Times New Roman" w:hAnsi="Times New Roman" w:cs="Times New Roman"/>
          <w:sz w:val="24"/>
          <w:szCs w:val="24"/>
        </w:rPr>
        <w:t xml:space="preserve"> </w:t>
      </w:r>
      <w:proofErr w:type="spellStart"/>
      <w:r w:rsidRPr="00E6254A">
        <w:rPr>
          <w:rFonts w:ascii="Times New Roman" w:hAnsi="Times New Roman" w:cs="Times New Roman"/>
          <w:sz w:val="24"/>
          <w:szCs w:val="24"/>
        </w:rPr>
        <w:t>domaines</w:t>
      </w:r>
      <w:proofErr w:type="spellEnd"/>
      <w:r w:rsidRPr="00E6254A">
        <w:rPr>
          <w:rFonts w:ascii="Times New Roman" w:hAnsi="Times New Roman" w:cs="Times New Roman"/>
          <w:sz w:val="24"/>
          <w:szCs w:val="24"/>
        </w:rPr>
        <w:t xml:space="preserve"> </w:t>
      </w:r>
      <w:proofErr w:type="spellStart"/>
      <w:r w:rsidRPr="00E6254A">
        <w:rPr>
          <w:rFonts w:ascii="Times New Roman" w:hAnsi="Times New Roman" w:cs="Times New Roman"/>
          <w:sz w:val="24"/>
          <w:szCs w:val="24"/>
        </w:rPr>
        <w:t>académiques</w:t>
      </w:r>
      <w:proofErr w:type="spellEnd"/>
      <w:r w:rsidRPr="00E6254A">
        <w:rPr>
          <w:rFonts w:ascii="Times New Roman" w:hAnsi="Times New Roman" w:cs="Times New Roman"/>
          <w:sz w:val="24"/>
          <w:szCs w:val="24"/>
        </w:rPr>
        <w:t>.</w:t>
      </w:r>
    </w:p>
    <w:p w:rsidR="00AC6D46" w:rsidRPr="00E6254A" w:rsidRDefault="00AC6D46" w:rsidP="00E6254A">
      <w:pPr>
        <w:pStyle w:val="NormalWeb"/>
        <w:shd w:val="clear" w:color="auto" w:fill="FFFFFF"/>
        <w:spacing w:before="96" w:beforeAutospacing="0" w:after="120" w:afterAutospacing="0" w:line="360" w:lineRule="atLeast"/>
        <w:jc w:val="both"/>
        <w:rPr>
          <w:color w:val="000000"/>
        </w:rPr>
      </w:pPr>
      <w:proofErr w:type="spellStart"/>
      <w:r w:rsidRPr="00E6254A">
        <w:rPr>
          <w:b/>
          <w:bCs/>
          <w:color w:val="000000"/>
        </w:rPr>
        <w:t>Stratégie</w:t>
      </w:r>
      <w:proofErr w:type="spellEnd"/>
      <w:r w:rsidRPr="00E6254A">
        <w:rPr>
          <w:b/>
          <w:bCs/>
          <w:color w:val="000000"/>
        </w:rPr>
        <w:t xml:space="preserve"> </w:t>
      </w:r>
      <w:proofErr w:type="spellStart"/>
      <w:r w:rsidRPr="00E6254A">
        <w:rPr>
          <w:b/>
          <w:bCs/>
          <w:color w:val="000000"/>
        </w:rPr>
        <w:t>Cognitive</w:t>
      </w:r>
      <w:proofErr w:type="spellEnd"/>
      <w:r w:rsidRPr="00E6254A">
        <w:rPr>
          <w:b/>
          <w:bCs/>
          <w:color w:val="000000"/>
        </w:rPr>
        <w:t xml:space="preserve"> d’</w:t>
      </w:r>
      <w:proofErr w:type="spellStart"/>
      <w:r w:rsidRPr="00E6254A">
        <w:rPr>
          <w:b/>
          <w:bCs/>
          <w:color w:val="000000"/>
        </w:rPr>
        <w:t>Apprentissage</w:t>
      </w:r>
      <w:proofErr w:type="spellEnd"/>
    </w:p>
    <w:p w:rsidR="00AC6D46" w:rsidRPr="00E6254A" w:rsidRDefault="00AC6D46" w:rsidP="00E6254A">
      <w:pPr>
        <w:pStyle w:val="NormalWeb"/>
        <w:shd w:val="clear" w:color="auto" w:fill="FFFFFF"/>
        <w:spacing w:before="96" w:beforeAutospacing="0" w:after="120" w:afterAutospacing="0" w:line="360" w:lineRule="atLeast"/>
        <w:jc w:val="both"/>
        <w:rPr>
          <w:color w:val="000000"/>
          <w:lang w:val="fr-FR"/>
        </w:rPr>
      </w:pPr>
      <w:r w:rsidRPr="00E6254A">
        <w:rPr>
          <w:color w:val="000000"/>
          <w:lang w:val="fr-FR"/>
        </w:rPr>
        <w:t xml:space="preserve">Le journal d’apprentissage consiste à rédiger la synthèse d’une expérience personnelle d’apprentissage dans le but de susciter une réflexion sur cette dernière et lui donner un sens. L’expression de cette réflexion se fait par l’entremise de la rédaction du journal d’apprentissage. </w:t>
      </w:r>
      <w:proofErr w:type="spellStart"/>
      <w:r w:rsidRPr="00E6254A">
        <w:rPr>
          <w:color w:val="000000"/>
          <w:lang w:val="en-US"/>
        </w:rPr>
        <w:t>Effectivement</w:t>
      </w:r>
      <w:proofErr w:type="spellEnd"/>
      <w:r w:rsidRPr="00E6254A">
        <w:rPr>
          <w:color w:val="000000"/>
          <w:lang w:val="en-US"/>
        </w:rPr>
        <w:t xml:space="preserve">, </w:t>
      </w:r>
      <w:proofErr w:type="spellStart"/>
      <w:r w:rsidRPr="00E6254A">
        <w:rPr>
          <w:color w:val="000000"/>
          <w:lang w:val="en-US"/>
        </w:rPr>
        <w:t>Cazan</w:t>
      </w:r>
      <w:proofErr w:type="spellEnd"/>
      <w:r w:rsidRPr="00E6254A">
        <w:rPr>
          <w:color w:val="000000"/>
          <w:lang w:val="en-US"/>
        </w:rPr>
        <w:t xml:space="preserve"> (2012) </w:t>
      </w:r>
      <w:proofErr w:type="spellStart"/>
      <w:r w:rsidRPr="00E6254A">
        <w:rPr>
          <w:color w:val="000000"/>
          <w:lang w:val="en-US"/>
        </w:rPr>
        <w:t>explique</w:t>
      </w:r>
      <w:proofErr w:type="spellEnd"/>
      <w:r w:rsidRPr="00E6254A">
        <w:rPr>
          <w:color w:val="000000"/>
          <w:lang w:val="en-US"/>
        </w:rPr>
        <w:t xml:space="preserve"> </w:t>
      </w:r>
      <w:proofErr w:type="spellStart"/>
      <w:proofErr w:type="gramStart"/>
      <w:r w:rsidRPr="00E6254A">
        <w:rPr>
          <w:color w:val="000000"/>
          <w:lang w:val="en-US"/>
        </w:rPr>
        <w:t>que</w:t>
      </w:r>
      <w:proofErr w:type="spellEnd"/>
      <w:r w:rsidRPr="00E6254A">
        <w:rPr>
          <w:color w:val="000000"/>
          <w:lang w:val="en-US"/>
        </w:rPr>
        <w:t> :</w:t>
      </w:r>
      <w:proofErr w:type="gramEnd"/>
      <w:r w:rsidRPr="00E6254A">
        <w:rPr>
          <w:color w:val="000000"/>
          <w:lang w:val="en-US"/>
        </w:rPr>
        <w:t xml:space="preserve"> « </w:t>
      </w:r>
      <w:r w:rsidRPr="00E6254A">
        <w:rPr>
          <w:i/>
          <w:iCs/>
          <w:color w:val="000000"/>
          <w:lang w:val="en-US"/>
        </w:rPr>
        <w:t>By writing learning journals, students attempt to organize the previously presented information into a coherent whole and to integrate it into their prior knowledge</w:t>
      </w:r>
      <w:r w:rsidRPr="00E6254A">
        <w:rPr>
          <w:color w:val="000000"/>
          <w:lang w:val="en-US"/>
        </w:rPr>
        <w:t xml:space="preserve"> ». </w:t>
      </w:r>
      <w:r w:rsidRPr="00E6254A">
        <w:rPr>
          <w:color w:val="000000"/>
          <w:lang w:val="fr-FR"/>
        </w:rPr>
        <w:t>En somme, le journal d’apprentissage est une stratégie utile pour l’organisation de nouvelles connaissances en les intégrant aux connaissances existantes.</w:t>
      </w:r>
    </w:p>
    <w:p w:rsidR="00AC6D46" w:rsidRPr="00E6254A" w:rsidRDefault="00AC6D46" w:rsidP="00E6254A">
      <w:pPr>
        <w:pStyle w:val="NormalWeb"/>
        <w:shd w:val="clear" w:color="auto" w:fill="FFFFFF"/>
        <w:spacing w:before="96" w:beforeAutospacing="0" w:after="120" w:afterAutospacing="0" w:line="360" w:lineRule="atLeast"/>
        <w:jc w:val="both"/>
        <w:rPr>
          <w:color w:val="000000"/>
          <w:lang w:val="fr-FR"/>
        </w:rPr>
      </w:pPr>
      <w:r w:rsidRPr="00E6254A">
        <w:rPr>
          <w:color w:val="000000"/>
          <w:lang w:val="en-US"/>
        </w:rPr>
        <w:br/>
        <w:t xml:space="preserve">En </w:t>
      </w:r>
      <w:proofErr w:type="spellStart"/>
      <w:r w:rsidRPr="00E6254A">
        <w:rPr>
          <w:color w:val="000000"/>
          <w:lang w:val="en-US"/>
        </w:rPr>
        <w:t>effet</w:t>
      </w:r>
      <w:proofErr w:type="spellEnd"/>
      <w:r w:rsidRPr="00E6254A">
        <w:rPr>
          <w:color w:val="000000"/>
          <w:lang w:val="en-US"/>
        </w:rPr>
        <w:t xml:space="preserve">, </w:t>
      </w:r>
      <w:proofErr w:type="spellStart"/>
      <w:r w:rsidRPr="00E6254A">
        <w:rPr>
          <w:color w:val="000000"/>
          <w:lang w:val="en-US"/>
        </w:rPr>
        <w:t>tel</w:t>
      </w:r>
      <w:proofErr w:type="spellEnd"/>
      <w:r w:rsidRPr="00E6254A">
        <w:rPr>
          <w:color w:val="000000"/>
          <w:lang w:val="en-US"/>
        </w:rPr>
        <w:t xml:space="preserve"> </w:t>
      </w:r>
      <w:proofErr w:type="spellStart"/>
      <w:r w:rsidRPr="00E6254A">
        <w:rPr>
          <w:color w:val="000000"/>
          <w:lang w:val="en-US"/>
        </w:rPr>
        <w:t>que</w:t>
      </w:r>
      <w:proofErr w:type="spellEnd"/>
      <w:r w:rsidRPr="00E6254A">
        <w:rPr>
          <w:color w:val="000000"/>
          <w:lang w:val="en-US"/>
        </w:rPr>
        <w:t xml:space="preserve"> </w:t>
      </w:r>
      <w:proofErr w:type="spellStart"/>
      <w:r w:rsidRPr="00E6254A">
        <w:rPr>
          <w:color w:val="000000"/>
          <w:lang w:val="en-US"/>
        </w:rPr>
        <w:t>spécifié</w:t>
      </w:r>
      <w:proofErr w:type="spellEnd"/>
      <w:r w:rsidRPr="00E6254A">
        <w:rPr>
          <w:color w:val="000000"/>
          <w:lang w:val="en-US"/>
        </w:rPr>
        <w:t xml:space="preserve"> par Moon (2006): « </w:t>
      </w:r>
      <w:r w:rsidRPr="00E6254A">
        <w:rPr>
          <w:i/>
          <w:iCs/>
          <w:color w:val="000000"/>
          <w:lang w:val="en-US"/>
        </w:rPr>
        <w:t>Writing a journal enables learners to go back over material that they had learned and expand the ideas or the linkages between ideas in relation to the original learning, explore internal experience</w:t>
      </w:r>
      <w:r w:rsidRPr="00E6254A">
        <w:rPr>
          <w:color w:val="000000"/>
          <w:lang w:val="en-US"/>
        </w:rPr>
        <w:t xml:space="preserve"> ». </w:t>
      </w:r>
      <w:r w:rsidRPr="00E6254A">
        <w:rPr>
          <w:color w:val="000000"/>
          <w:lang w:val="fr-FR"/>
        </w:rPr>
        <w:t xml:space="preserve">On peut </w:t>
      </w:r>
      <w:r w:rsidRPr="00E6254A">
        <w:rPr>
          <w:color w:val="000000"/>
          <w:lang w:val="fr-FR"/>
        </w:rPr>
        <w:lastRenderedPageBreak/>
        <w:t>assimiler cela à la construction de nouveaux schémas de connaissances tel qu’expliqué dans la théorie de la science cognitive (Chanquoy, Tricot et Sweller, 2007). Pour Roelle et al. (2012), la rédaction d’un journal d’apprentissage encourage</w:t>
      </w:r>
      <w:r w:rsidR="00E6254A">
        <w:rPr>
          <w:color w:val="000000"/>
          <w:lang w:val="fr-FR"/>
        </w:rPr>
        <w:t xml:space="preserve"> </w:t>
      </w:r>
      <w:r w:rsidRPr="00E6254A">
        <w:rPr>
          <w:color w:val="000000"/>
          <w:lang w:val="fr-FR"/>
        </w:rPr>
        <w:t>l’usage de la stratégie cognitive d’apprentissage chez l’apprenant. Cette dernière permet d’une part d’organiser les nouvelles connaissances pour leur donner un sens en identifiant les grandes lignes. D’une autre part, elle permet d’élaborer sur ses nouvelles connaissances en générant ses propres exemples.</w:t>
      </w:r>
    </w:p>
    <w:p w:rsidR="00AC6D46" w:rsidRPr="00E6254A" w:rsidRDefault="00AC6D46" w:rsidP="00E6254A">
      <w:pPr>
        <w:pStyle w:val="NormalWeb"/>
        <w:shd w:val="clear" w:color="auto" w:fill="FFFFFF"/>
        <w:spacing w:before="96" w:beforeAutospacing="0" w:after="120" w:afterAutospacing="0" w:line="360" w:lineRule="atLeast"/>
        <w:jc w:val="both"/>
        <w:rPr>
          <w:color w:val="000000"/>
          <w:lang w:val="fr-FR"/>
        </w:rPr>
      </w:pPr>
      <w:r w:rsidRPr="00E6254A">
        <w:rPr>
          <w:color w:val="000000"/>
          <w:lang w:val="fr-FR"/>
        </w:rPr>
        <w:br/>
      </w:r>
      <w:r w:rsidRPr="00E6254A">
        <w:rPr>
          <w:b/>
          <w:bCs/>
          <w:color w:val="000000"/>
          <w:lang w:val="fr-FR"/>
        </w:rPr>
        <w:t>Stratégie Métacognitive d’Apprentissage</w:t>
      </w:r>
    </w:p>
    <w:p w:rsidR="00E6254A" w:rsidRPr="00E6254A" w:rsidRDefault="00AC6D46" w:rsidP="00E6254A">
      <w:pPr>
        <w:pStyle w:val="NormalWeb"/>
        <w:shd w:val="clear" w:color="auto" w:fill="FFFFFF"/>
        <w:spacing w:before="96" w:beforeAutospacing="0" w:after="120" w:afterAutospacing="0" w:line="360" w:lineRule="atLeast"/>
        <w:jc w:val="both"/>
        <w:rPr>
          <w:color w:val="000000"/>
          <w:lang w:val="fr-FR"/>
        </w:rPr>
      </w:pPr>
      <w:r w:rsidRPr="00E6254A">
        <w:rPr>
          <w:color w:val="000000"/>
          <w:lang w:val="fr-FR"/>
        </w:rPr>
        <w:t>Roelle et al. (2012) explique que l’emploi d’un journal d’apprentissage favorise l’utilisation chez l’apprenant d’une stratégie métacognitive d’apprentissage (suivre de près sa propre compréhension pour identifier ses lacunes et, en conséquence, planifier des activités pour les combler).</w:t>
      </w:r>
    </w:p>
    <w:p w:rsidR="00E6254A" w:rsidRPr="00E6254A" w:rsidRDefault="00E6254A" w:rsidP="00E6254A">
      <w:pPr>
        <w:pStyle w:val="NormalWeb"/>
        <w:shd w:val="clear" w:color="auto" w:fill="FFFFFF"/>
        <w:spacing w:before="96" w:beforeAutospacing="0" w:after="120" w:afterAutospacing="0" w:line="360" w:lineRule="atLeast"/>
        <w:jc w:val="both"/>
        <w:rPr>
          <w:color w:val="000000"/>
          <w:lang w:val="fr-FR"/>
        </w:rPr>
      </w:pPr>
      <w:r w:rsidRPr="00E6254A">
        <w:rPr>
          <w:color w:val="000000"/>
          <w:lang w:val="fr-FR"/>
        </w:rPr>
        <w:br/>
      </w:r>
      <w:r w:rsidRPr="00E6254A">
        <w:rPr>
          <w:b/>
          <w:bCs/>
          <w:color w:val="000000"/>
          <w:lang w:val="fr-FR"/>
        </w:rPr>
        <w:t>Stratégie d’Enseignement</w:t>
      </w:r>
    </w:p>
    <w:p w:rsidR="00E6254A" w:rsidRPr="00E6254A" w:rsidRDefault="00E6254A" w:rsidP="00E6254A">
      <w:pPr>
        <w:pStyle w:val="NormalWeb"/>
        <w:shd w:val="clear" w:color="auto" w:fill="FFFFFF"/>
        <w:spacing w:before="96" w:beforeAutospacing="0" w:after="120" w:afterAutospacing="0" w:line="360" w:lineRule="atLeast"/>
        <w:rPr>
          <w:color w:val="000000"/>
          <w:lang w:val="fr-FR"/>
        </w:rPr>
      </w:pPr>
      <w:r w:rsidRPr="00E6254A">
        <w:rPr>
          <w:color w:val="000000"/>
          <w:lang w:val="fr-FR"/>
        </w:rPr>
        <w:t>Quant à l’enseignement, il s’agit d’employer des activateurs (questions ou indices) pour stimuler chez l’apprenant les processus cognitifs et métacognitifs qui mènent à la réflexion. Une fois rédigé, le journal d’apprentissage peut être révisé ou non par l’enseignant selon la méthode de suivi que ce dernier compte choisir.</w:t>
      </w:r>
    </w:p>
    <w:p w:rsidR="00355176" w:rsidRPr="00355176" w:rsidRDefault="00355176" w:rsidP="00355176">
      <w:pPr>
        <w:pStyle w:val="NormalWeb"/>
        <w:shd w:val="clear" w:color="auto" w:fill="FFFFFF"/>
        <w:spacing w:before="96" w:after="120" w:line="360" w:lineRule="atLeast"/>
        <w:jc w:val="both"/>
        <w:rPr>
          <w:b/>
          <w:color w:val="000000"/>
          <w:lang w:val="fr-FR"/>
        </w:rPr>
      </w:pPr>
      <w:r w:rsidRPr="00355176">
        <w:rPr>
          <w:b/>
          <w:color w:val="000000"/>
          <w:lang w:val="fr-FR"/>
        </w:rPr>
        <w:t xml:space="preserve">La </w:t>
      </w:r>
      <w:r w:rsidRPr="00355176">
        <w:rPr>
          <w:b/>
          <w:color w:val="000000"/>
          <w:lang w:val="fr-FR"/>
        </w:rPr>
        <w:t>notion d'Influence contextuelle</w:t>
      </w:r>
    </w:p>
    <w:p w:rsidR="00355176" w:rsidRDefault="00355176" w:rsidP="00E6254A">
      <w:pPr>
        <w:pStyle w:val="NormalWeb"/>
        <w:shd w:val="clear" w:color="auto" w:fill="FFFFFF"/>
        <w:spacing w:before="96" w:beforeAutospacing="0" w:after="120" w:afterAutospacing="0" w:line="360" w:lineRule="atLeast"/>
        <w:jc w:val="both"/>
        <w:rPr>
          <w:color w:val="000000"/>
          <w:lang w:val="fr-FR"/>
        </w:rPr>
      </w:pPr>
      <w:r w:rsidRPr="00355176">
        <w:rPr>
          <w:color w:val="000000"/>
          <w:lang w:val="fr-FR"/>
        </w:rPr>
        <w:t>Pour Cadet (2004), contrairement à d’autres genres de rapports écrits (une thèse de maîtrise ou un examen écrit), la rédaction et la structuration d’un journal d’apprentissage ne sont pas régies par des normes d’écritures stables, explicites et socialement partagées puisque le style d’écriture s’apparente plus à un journal personnel. Selon Bronckart (1996), l’apprenant rédige le document d’après son horizon de référence intertextuel. Il s’agit de « l’ensemble des textes auxquelles un individu a été exposé dans une culture donnée et/ou qu’il a pratiquée en contexte académique et/ou personnel et en fonction de la situation de production et de communication dans laquelle il se trouve ». Cadet (2004) explique le même principe commet suit : « Les étudiants puisent des modèles de rédaction dans des genres qu’ils connaissent culturellement et socialement ». Le choix du genre quant à lui, va dépendre du contexte dans lequel l’apprenant doit produire le journal. Les influences sont le lieu, le temps, l’individu qui rédige le journal, les consignes rédactionnelles et thématiques données par l’enseignant. En somme, l’enseignant doit s’attendr</w:t>
      </w:r>
      <w:r>
        <w:rPr>
          <w:color w:val="000000"/>
          <w:lang w:val="fr-FR"/>
        </w:rPr>
        <w:t>e à diverses formes d’écritures.</w:t>
      </w:r>
    </w:p>
    <w:p w:rsidR="00AC6D46" w:rsidRPr="00355176" w:rsidRDefault="00373868" w:rsidP="00355176">
      <w:pPr>
        <w:pStyle w:val="NormalWeb"/>
        <w:shd w:val="clear" w:color="auto" w:fill="FFFFFF"/>
        <w:spacing w:before="96" w:beforeAutospacing="0" w:after="120" w:afterAutospacing="0" w:line="360" w:lineRule="atLeast"/>
        <w:jc w:val="both"/>
        <w:rPr>
          <w:color w:val="000000"/>
          <w:lang w:val="fr-FR"/>
        </w:rPr>
      </w:pPr>
      <w:r w:rsidRPr="00E6254A">
        <w:rPr>
          <w:color w:val="000000"/>
          <w:lang w:val="fr-FR"/>
        </w:rPr>
        <w:t xml:space="preserve">source : </w:t>
      </w:r>
      <w:r w:rsidR="00355176" w:rsidRPr="00355176">
        <w:rPr>
          <w:color w:val="000000"/>
          <w:lang w:val="fr-FR"/>
        </w:rPr>
        <w:t>http://wiki.teluq.ca/TED6210/index.php/Journal_d'apprentissage</w:t>
      </w:r>
      <w:r w:rsidR="00355176">
        <w:rPr>
          <w:color w:val="000000"/>
          <w:lang w:val="fr-FR"/>
        </w:rPr>
        <w:t>.</w:t>
      </w:r>
    </w:p>
    <w:sectPr w:rsidR="00AC6D46" w:rsidRPr="003551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B0" w:rsidRDefault="005B53B0" w:rsidP="00373868">
      <w:pPr>
        <w:spacing w:after="0" w:line="240" w:lineRule="auto"/>
      </w:pPr>
      <w:r>
        <w:separator/>
      </w:r>
    </w:p>
  </w:endnote>
  <w:endnote w:type="continuationSeparator" w:id="0">
    <w:p w:rsidR="005B53B0" w:rsidRDefault="005B53B0" w:rsidP="0037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B0" w:rsidRDefault="005B53B0" w:rsidP="00373868">
      <w:pPr>
        <w:spacing w:after="0" w:line="240" w:lineRule="auto"/>
      </w:pPr>
      <w:r>
        <w:separator/>
      </w:r>
    </w:p>
  </w:footnote>
  <w:footnote w:type="continuationSeparator" w:id="0">
    <w:p w:rsidR="005B53B0" w:rsidRDefault="005B53B0" w:rsidP="00373868">
      <w:pPr>
        <w:spacing w:after="0" w:line="240" w:lineRule="auto"/>
      </w:pPr>
      <w:r>
        <w:continuationSeparator/>
      </w:r>
    </w:p>
  </w:footnote>
  <w:footnote w:id="1">
    <w:p w:rsidR="00373868" w:rsidRPr="00373868" w:rsidRDefault="00373868" w:rsidP="00373868">
      <w:pPr>
        <w:rPr>
          <w:lang w:val="fr-FR"/>
        </w:rPr>
      </w:pPr>
      <w:r>
        <w:rPr>
          <w:rStyle w:val="Refdenotaderodap"/>
        </w:rPr>
        <w:footnoteRef/>
      </w:r>
      <w:r w:rsidRPr="00373868">
        <w:rPr>
          <w:lang w:val="fr-FR"/>
        </w:rPr>
        <w:t xml:space="preserve"> </w:t>
      </w:r>
      <w:r w:rsidRPr="00355176">
        <w:rPr>
          <w:rFonts w:ascii="Times New Roman" w:hAnsi="Times New Roman" w:cs="Times New Roman"/>
          <w:sz w:val="20"/>
          <w:szCs w:val="20"/>
          <w:shd w:val="clear" w:color="auto" w:fill="FFFFFF"/>
          <w:lang w:val="fr-FR"/>
        </w:rPr>
        <w:t>La microstratégie est une sorte de </w:t>
      </w:r>
      <w:hyperlink r:id="rId1" w:tooltip="Types de stratégies" w:history="1">
        <w:r w:rsidRPr="00355176">
          <w:rPr>
            <w:rStyle w:val="Hyperlink"/>
            <w:rFonts w:ascii="Times New Roman" w:hAnsi="Times New Roman" w:cs="Times New Roman"/>
            <w:color w:val="auto"/>
            <w:sz w:val="20"/>
            <w:szCs w:val="20"/>
            <w:u w:val="none"/>
            <w:shd w:val="clear" w:color="auto" w:fill="FFFFFF"/>
            <w:lang w:val="fr-FR"/>
          </w:rPr>
          <w:t>stratégie pédagogique</w:t>
        </w:r>
      </w:hyperlink>
      <w:r w:rsidRPr="00355176">
        <w:rPr>
          <w:rFonts w:ascii="Times New Roman" w:hAnsi="Times New Roman" w:cs="Times New Roman"/>
          <w:sz w:val="20"/>
          <w:szCs w:val="20"/>
          <w:shd w:val="clear" w:color="auto" w:fill="FFFFFF"/>
          <w:lang w:val="fr-FR"/>
        </w:rPr>
        <w:t>. Les microstratégies sont des composantes élémentaires permettant de concevoir les activités d’enseignement-apprentissage. Ce sont des « atomes » qui composent la « molécule » de la </w:t>
      </w:r>
      <w:hyperlink r:id="rId2" w:tooltip="Macrostratégie" w:history="1">
        <w:r w:rsidRPr="00355176">
          <w:rPr>
            <w:rStyle w:val="Hyperlink"/>
            <w:rFonts w:ascii="Times New Roman" w:hAnsi="Times New Roman" w:cs="Times New Roman"/>
            <w:color w:val="auto"/>
            <w:sz w:val="20"/>
            <w:szCs w:val="20"/>
            <w:u w:val="none"/>
            <w:shd w:val="clear" w:color="auto" w:fill="FFFFFF"/>
            <w:lang w:val="fr-FR"/>
          </w:rPr>
          <w:t>macrostratégie</w:t>
        </w:r>
      </w:hyperlink>
      <w:r w:rsidRPr="00355176">
        <w:rPr>
          <w:rFonts w:ascii="Times New Roman" w:hAnsi="Times New Roman" w:cs="Times New Roman"/>
          <w:sz w:val="20"/>
          <w:szCs w:val="20"/>
          <w:shd w:val="clear" w:color="auto" w:fill="FFFFFF"/>
          <w:lang w:val="fr-FR"/>
        </w:rPr>
        <w:t> (Reigeluth et Keller, 2009) et qui doivent être choisies de façon à favoriser la cohérence de la démarche proposée.</w:t>
      </w:r>
      <w:r w:rsidRPr="00373868">
        <w:rPr>
          <w:rFonts w:ascii="Arial" w:hAnsi="Arial" w:cs="Arial"/>
          <w:sz w:val="19"/>
          <w:szCs w:val="19"/>
          <w:shd w:val="clear" w:color="auto" w:fill="FFFFFF"/>
          <w:lang w:val="fr-FR"/>
        </w:rPr>
        <w:t> </w:t>
      </w:r>
    </w:p>
    <w:p w:rsidR="00373868" w:rsidRPr="00373868" w:rsidRDefault="00373868">
      <w:pPr>
        <w:pStyle w:val="Textodenotaderodap"/>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46"/>
    <w:rsid w:val="00355176"/>
    <w:rsid w:val="00373868"/>
    <w:rsid w:val="0046268C"/>
    <w:rsid w:val="005B53B0"/>
    <w:rsid w:val="00AC6D46"/>
    <w:rsid w:val="00BC1F8B"/>
    <w:rsid w:val="00E625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6D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73868"/>
    <w:rPr>
      <w:color w:val="0000FF"/>
      <w:u w:val="single"/>
    </w:rPr>
  </w:style>
  <w:style w:type="paragraph" w:styleId="Textodenotadefim">
    <w:name w:val="endnote text"/>
    <w:basedOn w:val="Normal"/>
    <w:link w:val="TextodenotadefimChar"/>
    <w:uiPriority w:val="99"/>
    <w:semiHidden/>
    <w:unhideWhenUsed/>
    <w:rsid w:val="0037386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73868"/>
    <w:rPr>
      <w:sz w:val="20"/>
      <w:szCs w:val="20"/>
    </w:rPr>
  </w:style>
  <w:style w:type="character" w:styleId="Refdenotadefim">
    <w:name w:val="endnote reference"/>
    <w:basedOn w:val="Fontepargpadro"/>
    <w:uiPriority w:val="99"/>
    <w:semiHidden/>
    <w:unhideWhenUsed/>
    <w:rsid w:val="00373868"/>
    <w:rPr>
      <w:vertAlign w:val="superscript"/>
    </w:rPr>
  </w:style>
  <w:style w:type="paragraph" w:styleId="Textodenotaderodap">
    <w:name w:val="footnote text"/>
    <w:basedOn w:val="Normal"/>
    <w:link w:val="TextodenotaderodapChar"/>
    <w:uiPriority w:val="99"/>
    <w:semiHidden/>
    <w:unhideWhenUsed/>
    <w:rsid w:val="003738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3868"/>
    <w:rPr>
      <w:sz w:val="20"/>
      <w:szCs w:val="20"/>
    </w:rPr>
  </w:style>
  <w:style w:type="character" w:styleId="Refdenotaderodap">
    <w:name w:val="footnote reference"/>
    <w:basedOn w:val="Fontepargpadro"/>
    <w:uiPriority w:val="99"/>
    <w:semiHidden/>
    <w:unhideWhenUsed/>
    <w:rsid w:val="00373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C6D4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373868"/>
    <w:rPr>
      <w:color w:val="0000FF"/>
      <w:u w:val="single"/>
    </w:rPr>
  </w:style>
  <w:style w:type="paragraph" w:styleId="Textodenotadefim">
    <w:name w:val="endnote text"/>
    <w:basedOn w:val="Normal"/>
    <w:link w:val="TextodenotadefimChar"/>
    <w:uiPriority w:val="99"/>
    <w:semiHidden/>
    <w:unhideWhenUsed/>
    <w:rsid w:val="0037386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373868"/>
    <w:rPr>
      <w:sz w:val="20"/>
      <w:szCs w:val="20"/>
    </w:rPr>
  </w:style>
  <w:style w:type="character" w:styleId="Refdenotadefim">
    <w:name w:val="endnote reference"/>
    <w:basedOn w:val="Fontepargpadro"/>
    <w:uiPriority w:val="99"/>
    <w:semiHidden/>
    <w:unhideWhenUsed/>
    <w:rsid w:val="00373868"/>
    <w:rPr>
      <w:vertAlign w:val="superscript"/>
    </w:rPr>
  </w:style>
  <w:style w:type="paragraph" w:styleId="Textodenotaderodap">
    <w:name w:val="footnote text"/>
    <w:basedOn w:val="Normal"/>
    <w:link w:val="TextodenotaderodapChar"/>
    <w:uiPriority w:val="99"/>
    <w:semiHidden/>
    <w:unhideWhenUsed/>
    <w:rsid w:val="003738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373868"/>
    <w:rPr>
      <w:sz w:val="20"/>
      <w:szCs w:val="20"/>
    </w:rPr>
  </w:style>
  <w:style w:type="character" w:styleId="Refdenotaderodap">
    <w:name w:val="footnote reference"/>
    <w:basedOn w:val="Fontepargpadro"/>
    <w:uiPriority w:val="99"/>
    <w:semiHidden/>
    <w:unhideWhenUsed/>
    <w:rsid w:val="00373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7123">
      <w:bodyDiv w:val="1"/>
      <w:marLeft w:val="0"/>
      <w:marRight w:val="0"/>
      <w:marTop w:val="0"/>
      <w:marBottom w:val="0"/>
      <w:divBdr>
        <w:top w:val="none" w:sz="0" w:space="0" w:color="auto"/>
        <w:left w:val="none" w:sz="0" w:space="0" w:color="auto"/>
        <w:bottom w:val="none" w:sz="0" w:space="0" w:color="auto"/>
        <w:right w:val="none" w:sz="0" w:space="0" w:color="auto"/>
      </w:divBdr>
    </w:div>
    <w:div w:id="814447713">
      <w:bodyDiv w:val="1"/>
      <w:marLeft w:val="0"/>
      <w:marRight w:val="0"/>
      <w:marTop w:val="0"/>
      <w:marBottom w:val="0"/>
      <w:divBdr>
        <w:top w:val="none" w:sz="0" w:space="0" w:color="auto"/>
        <w:left w:val="none" w:sz="0" w:space="0" w:color="auto"/>
        <w:bottom w:val="none" w:sz="0" w:space="0" w:color="auto"/>
        <w:right w:val="none" w:sz="0" w:space="0" w:color="auto"/>
      </w:divBdr>
    </w:div>
    <w:div w:id="151272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iki.teluq.ca/wikitedia/index.php/Macrostrat%C3%A9gie" TargetMode="External"/><Relationship Id="rId1" Type="http://schemas.openxmlformats.org/officeDocument/2006/relationships/hyperlink" Target="http://wiki.teluq.ca/wikitedia/index.php/Types_de_strat%C3%A9gie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641F-9007-4C04-9E7D-197981F88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710</Words>
  <Characters>3838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2018-10-02T14:39:00Z</dcterms:created>
  <dcterms:modified xsi:type="dcterms:W3CDTF">2018-10-02T18:11:00Z</dcterms:modified>
</cp:coreProperties>
</file>