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A4" w:rsidRDefault="0048552A">
      <w:pPr>
        <w:rPr>
          <w:color w:val="000000"/>
        </w:rPr>
      </w:pPr>
      <w:r>
        <w:rPr>
          <w:color w:val="000000"/>
        </w:rPr>
        <w:t xml:space="preserve">Considera-se Ambiente Enriquecido (AE), locais cuja criação encontra objetos e/ou estruturas que aumentam os estímulos físicos e sensoriais, segundo Chapillon et al. A metodologia de enriquecimento ambiental pode ser facilmente utilizada em laboratório com a inclusão de materiais de diferentes texturas, túneis, rampas, rodas de exercício, brinquedos, dentre outros, na caixa alojamento dos animais em experimentação (Williams et al., 2001).  (1999), este ambiente promove um aumento da interação social, da atividade motora, no comportamento exploratório, </w:t>
      </w:r>
      <w:r>
        <w:rPr>
          <w:color w:val="000000"/>
        </w:rPr>
        <w:t>além</w:t>
      </w:r>
      <w:r>
        <w:rPr>
          <w:color w:val="000000"/>
        </w:rPr>
        <w:t xml:space="preserve"> de ajudar na regulação do temperamento dos animais, reduzindo a ansiedade e o comportamento do tipo depressivo. Além das mudanças externas, o ambiente enriquecido altera sua fisiologia.</w:t>
      </w:r>
    </w:p>
    <w:p w:rsidR="0048552A" w:rsidRDefault="0048552A">
      <w:pPr>
        <w:rPr>
          <w:color w:val="000000"/>
        </w:rPr>
      </w:pPr>
    </w:p>
    <w:p w:rsidR="0048552A" w:rsidRDefault="0048552A">
      <w:pPr>
        <w:rPr>
          <w:color w:val="000000"/>
        </w:rPr>
      </w:pPr>
      <w:r>
        <w:rPr>
          <w:noProof/>
          <w:lang w:eastAsia="pt-BR"/>
        </w:rPr>
        <w:drawing>
          <wp:inline distT="0" distB="0" distL="0" distR="0" wp14:anchorId="223B1ED1" wp14:editId="511A0A7F">
            <wp:extent cx="4248089" cy="2962275"/>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9280" t="24053" r="26093" b="20839"/>
                    <a:stretch/>
                  </pic:blipFill>
                  <pic:spPr bwMode="auto">
                    <a:xfrm>
                      <a:off x="0" y="0"/>
                      <a:ext cx="4248150" cy="2962317"/>
                    </a:xfrm>
                    <a:prstGeom prst="rect">
                      <a:avLst/>
                    </a:prstGeom>
                    <a:ln>
                      <a:noFill/>
                    </a:ln>
                    <a:extLst>
                      <a:ext uri="{53640926-AAD7-44D8-BBD7-CCE9431645EC}">
                        <a14:shadowObscured xmlns:a14="http://schemas.microsoft.com/office/drawing/2010/main"/>
                      </a:ext>
                    </a:extLst>
                  </pic:spPr>
                </pic:pic>
              </a:graphicData>
            </a:graphic>
          </wp:inline>
        </w:drawing>
      </w:r>
    </w:p>
    <w:p w:rsidR="0048552A" w:rsidRDefault="0048552A">
      <w:pPr>
        <w:rPr>
          <w:color w:val="000000"/>
        </w:rPr>
      </w:pPr>
    </w:p>
    <w:p w:rsidR="0048552A" w:rsidRDefault="0048552A" w:rsidP="0048552A">
      <w:pPr>
        <w:pStyle w:val="NormalWeb"/>
        <w:spacing w:before="0" w:beforeAutospacing="0" w:after="0" w:afterAutospacing="0"/>
        <w:jc w:val="both"/>
      </w:pPr>
      <w:r>
        <w:rPr>
          <w:color w:val="000000"/>
        </w:rPr>
        <w:t xml:space="preserve">Segundo </w:t>
      </w:r>
      <w:proofErr w:type="spellStart"/>
      <w:r>
        <w:rPr>
          <w:color w:val="000000"/>
        </w:rPr>
        <w:t>Baamonde</w:t>
      </w:r>
      <w:proofErr w:type="spellEnd"/>
      <w:r>
        <w:rPr>
          <w:color w:val="000000"/>
        </w:rPr>
        <w:t xml:space="preserve"> et al (2011), aponta-se que o AE é capaz de modular a plasticidade </w:t>
      </w:r>
      <w:proofErr w:type="spellStart"/>
      <w:r>
        <w:rPr>
          <w:color w:val="000000"/>
        </w:rPr>
        <w:t>hipocampal</w:t>
      </w:r>
      <w:proofErr w:type="spellEnd"/>
      <w:r>
        <w:rPr>
          <w:color w:val="000000"/>
        </w:rPr>
        <w:t xml:space="preserve"> e outras regiões corticais de roedores; </w:t>
      </w:r>
      <w:proofErr w:type="spellStart"/>
      <w:r>
        <w:rPr>
          <w:color w:val="000000"/>
        </w:rPr>
        <w:t>Kempermann</w:t>
      </w:r>
      <w:proofErr w:type="spellEnd"/>
      <w:r>
        <w:rPr>
          <w:color w:val="000000"/>
        </w:rPr>
        <w:t xml:space="preserve"> et al (2002), </w:t>
      </w:r>
      <w:proofErr w:type="spellStart"/>
      <w:r>
        <w:rPr>
          <w:color w:val="000000"/>
        </w:rPr>
        <w:t>Ehninger</w:t>
      </w:r>
      <w:proofErr w:type="spellEnd"/>
      <w:r>
        <w:rPr>
          <w:color w:val="000000"/>
        </w:rPr>
        <w:t xml:space="preserve"> e </w:t>
      </w:r>
      <w:proofErr w:type="spellStart"/>
      <w:r>
        <w:rPr>
          <w:color w:val="000000"/>
        </w:rPr>
        <w:t>Kempermann</w:t>
      </w:r>
      <w:proofErr w:type="spellEnd"/>
      <w:r>
        <w:rPr>
          <w:color w:val="000000"/>
        </w:rPr>
        <w:t xml:space="preserve"> (2003), </w:t>
      </w:r>
      <w:proofErr w:type="spellStart"/>
      <w:r>
        <w:rPr>
          <w:color w:val="000000"/>
        </w:rPr>
        <w:t>Violla</w:t>
      </w:r>
      <w:proofErr w:type="spellEnd"/>
      <w:r>
        <w:rPr>
          <w:color w:val="000000"/>
        </w:rPr>
        <w:t xml:space="preserve"> et al (2009) e </w:t>
      </w:r>
      <w:proofErr w:type="spellStart"/>
      <w:r>
        <w:rPr>
          <w:color w:val="000000"/>
        </w:rPr>
        <w:t>During</w:t>
      </w:r>
      <w:proofErr w:type="spellEnd"/>
      <w:r>
        <w:rPr>
          <w:color w:val="000000"/>
        </w:rPr>
        <w:t xml:space="preserve"> e </w:t>
      </w:r>
      <w:proofErr w:type="spellStart"/>
      <w:r>
        <w:rPr>
          <w:color w:val="000000"/>
        </w:rPr>
        <w:t>Cao</w:t>
      </w:r>
      <w:proofErr w:type="spellEnd"/>
      <w:r>
        <w:rPr>
          <w:color w:val="000000"/>
        </w:rPr>
        <w:t xml:space="preserve">, (2006), apontam que não apenas a plasticidade, mas também um efeito </w:t>
      </w:r>
      <w:proofErr w:type="spellStart"/>
      <w:r>
        <w:rPr>
          <w:color w:val="000000"/>
        </w:rPr>
        <w:t>neuroprotetor</w:t>
      </w:r>
      <w:proofErr w:type="spellEnd"/>
      <w:r>
        <w:rPr>
          <w:color w:val="000000"/>
        </w:rPr>
        <w:t xml:space="preserve">, pois animais submetidos a este tipo de criação, também apresentam um aumento da </w:t>
      </w:r>
      <w:proofErr w:type="spellStart"/>
      <w:r>
        <w:rPr>
          <w:color w:val="000000"/>
        </w:rPr>
        <w:t>neurogenese</w:t>
      </w:r>
      <w:proofErr w:type="spellEnd"/>
      <w:r>
        <w:rPr>
          <w:color w:val="000000"/>
        </w:rPr>
        <w:t xml:space="preserve"> e a sobrevivência das células nervosas, aumento da </w:t>
      </w:r>
      <w:proofErr w:type="spellStart"/>
      <w:r>
        <w:rPr>
          <w:color w:val="000000"/>
        </w:rPr>
        <w:t>gliogenese</w:t>
      </w:r>
      <w:proofErr w:type="spellEnd"/>
      <w:r>
        <w:rPr>
          <w:color w:val="000000"/>
        </w:rPr>
        <w:t xml:space="preserve">, alterações nas células da </w:t>
      </w:r>
      <w:proofErr w:type="spellStart"/>
      <w:r>
        <w:rPr>
          <w:color w:val="000000"/>
        </w:rPr>
        <w:t>glia</w:t>
      </w:r>
      <w:proofErr w:type="spellEnd"/>
      <w:r>
        <w:rPr>
          <w:color w:val="000000"/>
        </w:rPr>
        <w:t xml:space="preserve"> e aumento de expressão antigênica e aumento da produção de fatores de crescimento como o BDNF ( </w:t>
      </w:r>
      <w:proofErr w:type="spellStart"/>
      <w:r>
        <w:rPr>
          <w:color w:val="000000"/>
        </w:rPr>
        <w:t>brain-derived</w:t>
      </w:r>
      <w:proofErr w:type="spellEnd"/>
      <w:r>
        <w:rPr>
          <w:color w:val="000000"/>
        </w:rPr>
        <w:t xml:space="preserve"> </w:t>
      </w:r>
      <w:proofErr w:type="spellStart"/>
      <w:r>
        <w:rPr>
          <w:color w:val="000000"/>
        </w:rPr>
        <w:t>neutrofic</w:t>
      </w:r>
      <w:proofErr w:type="spellEnd"/>
      <w:r>
        <w:rPr>
          <w:color w:val="000000"/>
        </w:rPr>
        <w:t xml:space="preserve"> </w:t>
      </w:r>
      <w:proofErr w:type="spellStart"/>
      <w:r>
        <w:rPr>
          <w:color w:val="000000"/>
        </w:rPr>
        <w:t>factor</w:t>
      </w:r>
      <w:proofErr w:type="spellEnd"/>
      <w:r>
        <w:rPr>
          <w:color w:val="000000"/>
        </w:rPr>
        <w:t xml:space="preserve">) e o GDNF ( </w:t>
      </w:r>
      <w:proofErr w:type="spellStart"/>
      <w:r>
        <w:rPr>
          <w:color w:val="000000"/>
        </w:rPr>
        <w:t>glial-derived</w:t>
      </w:r>
      <w:proofErr w:type="spellEnd"/>
      <w:r>
        <w:rPr>
          <w:color w:val="000000"/>
        </w:rPr>
        <w:t xml:space="preserve"> </w:t>
      </w:r>
      <w:proofErr w:type="spellStart"/>
      <w:r>
        <w:rPr>
          <w:color w:val="000000"/>
        </w:rPr>
        <w:t>neutrofic</w:t>
      </w:r>
      <w:proofErr w:type="spellEnd"/>
      <w:r>
        <w:rPr>
          <w:color w:val="000000"/>
        </w:rPr>
        <w:t xml:space="preserve"> </w:t>
      </w:r>
      <w:proofErr w:type="spellStart"/>
      <w:r>
        <w:rPr>
          <w:color w:val="000000"/>
        </w:rPr>
        <w:t>factor</w:t>
      </w:r>
      <w:proofErr w:type="spellEnd"/>
      <w:r>
        <w:rPr>
          <w:color w:val="000000"/>
        </w:rPr>
        <w:t xml:space="preserve"> ).</w:t>
      </w:r>
    </w:p>
    <w:p w:rsidR="0048552A" w:rsidRDefault="0048552A" w:rsidP="0048552A">
      <w:pPr>
        <w:pStyle w:val="NormalWeb"/>
        <w:spacing w:before="0" w:beforeAutospacing="0" w:after="0" w:afterAutospacing="0"/>
        <w:jc w:val="both"/>
      </w:pPr>
      <w:r>
        <w:rPr>
          <w:color w:val="000000"/>
        </w:rPr>
        <w:t xml:space="preserve">No que diz respeito ao eixo HHA, o ambiente enriquecido, promove uma diminuição da produção de cortisona em relação àqueles criados em ambiente normal, além de apresentar um menor ganho de peso, segundo </w:t>
      </w:r>
      <w:proofErr w:type="spellStart"/>
      <w:r>
        <w:rPr>
          <w:color w:val="000000"/>
        </w:rPr>
        <w:t>Mlynarik</w:t>
      </w:r>
      <w:proofErr w:type="spellEnd"/>
      <w:r>
        <w:rPr>
          <w:color w:val="000000"/>
        </w:rPr>
        <w:t xml:space="preserve"> (2004)</w:t>
      </w:r>
      <w:r>
        <w:rPr>
          <w:color w:val="000000"/>
        </w:rPr>
        <w:t>.</w:t>
      </w:r>
    </w:p>
    <w:p w:rsidR="0048552A" w:rsidRDefault="0048552A">
      <w:pPr>
        <w:rPr>
          <w:color w:val="000000"/>
        </w:rPr>
      </w:pPr>
      <w:bookmarkStart w:id="0" w:name="_GoBack"/>
      <w:bookmarkEnd w:id="0"/>
    </w:p>
    <w:p w:rsidR="0048552A" w:rsidRPr="007D6098" w:rsidRDefault="007D6098" w:rsidP="0048552A">
      <w:pPr>
        <w:rPr>
          <w:rFonts w:ascii="Times New Roman" w:hAnsi="Times New Roman" w:cs="Times New Roman"/>
          <w:color w:val="000000"/>
          <w:sz w:val="24"/>
        </w:rPr>
      </w:pPr>
      <w:proofErr w:type="spellStart"/>
      <w:r>
        <w:rPr>
          <w:rFonts w:ascii="Times New Roman" w:hAnsi="Times New Roman" w:cs="Times New Roman"/>
          <w:iCs/>
          <w:color w:val="000000"/>
          <w:sz w:val="24"/>
        </w:rPr>
        <w:t>Segudo</w:t>
      </w:r>
      <w:proofErr w:type="spellEnd"/>
      <w:r>
        <w:rPr>
          <w:rFonts w:ascii="Times New Roman" w:hAnsi="Times New Roman" w:cs="Times New Roman"/>
          <w:iCs/>
          <w:color w:val="000000"/>
          <w:sz w:val="24"/>
        </w:rPr>
        <w:t xml:space="preserve"> </w:t>
      </w:r>
      <w:proofErr w:type="spellStart"/>
      <w:r w:rsidRPr="007D6098">
        <w:rPr>
          <w:rFonts w:ascii="Times New Roman" w:hAnsi="Times New Roman" w:cs="Times New Roman"/>
          <w:iCs/>
          <w:color w:val="000000"/>
          <w:sz w:val="24"/>
        </w:rPr>
        <w:t>Cremaski</w:t>
      </w:r>
      <w:proofErr w:type="spellEnd"/>
      <w:r>
        <w:rPr>
          <w:rFonts w:ascii="Times New Roman" w:hAnsi="Times New Roman" w:cs="Times New Roman"/>
          <w:iCs/>
          <w:color w:val="000000"/>
          <w:sz w:val="24"/>
        </w:rPr>
        <w:t xml:space="preserve"> (2018), e</w:t>
      </w:r>
      <w:r w:rsidR="0048552A" w:rsidRPr="007D6098">
        <w:rPr>
          <w:rFonts w:ascii="Times New Roman" w:hAnsi="Times New Roman" w:cs="Times New Roman"/>
          <w:iCs/>
          <w:color w:val="000000"/>
          <w:sz w:val="24"/>
        </w:rPr>
        <w:t>xistem cinco tipos de enriquecimento:</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b/>
          <w:bCs/>
          <w:color w:val="000000"/>
          <w:sz w:val="24"/>
        </w:rPr>
        <w:t>1. Alimentar</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color w:val="000000"/>
          <w:sz w:val="24"/>
        </w:rPr>
        <w:t>Oportunidade de procura e caça de alimentos de diferentes maneiras, evitando a previsibilidade na hora da alimentação;</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b/>
          <w:bCs/>
          <w:color w:val="000000"/>
          <w:sz w:val="24"/>
        </w:rPr>
        <w:t>2. Sensorial</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color w:val="000000"/>
          <w:sz w:val="24"/>
        </w:rPr>
        <w:lastRenderedPageBreak/>
        <w:t>Oferecer recursos e situações que estimule os cinco sentidos dos animais: sonoro, olfativo, visual, tátil e gustativo;</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b/>
          <w:bCs/>
          <w:color w:val="000000"/>
          <w:sz w:val="24"/>
        </w:rPr>
        <w:t>3. Físico</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color w:val="000000"/>
          <w:sz w:val="24"/>
        </w:rPr>
        <w:t xml:space="preserve">Por meio de objetos simulando o habitat mais natural e adequado para cada espécie, como esconderijos, obstáculos, lugares para subir, descer, esconder, pendurar, entre outras. </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b/>
          <w:bCs/>
          <w:color w:val="000000"/>
          <w:sz w:val="24"/>
        </w:rPr>
        <w:t>4. Cognitivo</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color w:val="000000"/>
          <w:sz w:val="24"/>
        </w:rPr>
        <w:t>Estimula a capacidade intelectual (concentração, coordenação motora, memória e raciocínio) por meio de “quebra-cabeças” que escondem alimentos;</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b/>
          <w:bCs/>
          <w:color w:val="000000"/>
          <w:sz w:val="24"/>
        </w:rPr>
        <w:t>5. Social</w:t>
      </w:r>
    </w:p>
    <w:p w:rsidR="0048552A" w:rsidRPr="0048552A" w:rsidRDefault="0048552A" w:rsidP="0048552A">
      <w:pPr>
        <w:rPr>
          <w:rFonts w:ascii="Times New Roman" w:hAnsi="Times New Roman" w:cs="Times New Roman"/>
          <w:color w:val="000000"/>
          <w:sz w:val="24"/>
        </w:rPr>
      </w:pPr>
      <w:r w:rsidRPr="0048552A">
        <w:rPr>
          <w:rFonts w:ascii="Times New Roman" w:hAnsi="Times New Roman" w:cs="Times New Roman"/>
          <w:color w:val="000000"/>
          <w:sz w:val="24"/>
        </w:rPr>
        <w:t xml:space="preserve">Consiste em interagir com animais da mesma ou de outras </w:t>
      </w:r>
      <w:proofErr w:type="gramStart"/>
      <w:r w:rsidRPr="0048552A">
        <w:rPr>
          <w:rFonts w:ascii="Times New Roman" w:hAnsi="Times New Roman" w:cs="Times New Roman"/>
          <w:color w:val="000000"/>
          <w:sz w:val="24"/>
        </w:rPr>
        <w:t>espécies,  da</w:t>
      </w:r>
      <w:proofErr w:type="gramEnd"/>
      <w:r w:rsidRPr="0048552A">
        <w:rPr>
          <w:rFonts w:ascii="Times New Roman" w:hAnsi="Times New Roman" w:cs="Times New Roman"/>
          <w:color w:val="000000"/>
          <w:sz w:val="24"/>
        </w:rPr>
        <w:t xml:space="preserve"> mesma forma como acontece na natureza.</w:t>
      </w:r>
    </w:p>
    <w:p w:rsidR="0048552A" w:rsidRPr="0048552A" w:rsidRDefault="0048552A">
      <w:pPr>
        <w:rPr>
          <w:rFonts w:ascii="Times New Roman" w:hAnsi="Times New Roman" w:cs="Times New Roman"/>
          <w:color w:val="000000"/>
          <w:sz w:val="24"/>
        </w:rPr>
      </w:pPr>
    </w:p>
    <w:sectPr w:rsidR="0048552A" w:rsidRPr="004855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A4"/>
    <w:rsid w:val="001D00A4"/>
    <w:rsid w:val="0048552A"/>
    <w:rsid w:val="007D60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A7055-0AD2-40BE-99F4-456C20CF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8552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2188">
      <w:bodyDiv w:val="1"/>
      <w:marLeft w:val="0"/>
      <w:marRight w:val="0"/>
      <w:marTop w:val="0"/>
      <w:marBottom w:val="0"/>
      <w:divBdr>
        <w:top w:val="none" w:sz="0" w:space="0" w:color="auto"/>
        <w:left w:val="none" w:sz="0" w:space="0" w:color="auto"/>
        <w:bottom w:val="none" w:sz="0" w:space="0" w:color="auto"/>
        <w:right w:val="none" w:sz="0" w:space="0" w:color="auto"/>
      </w:divBdr>
    </w:div>
    <w:div w:id="1350373627">
      <w:bodyDiv w:val="1"/>
      <w:marLeft w:val="0"/>
      <w:marRight w:val="0"/>
      <w:marTop w:val="0"/>
      <w:marBottom w:val="0"/>
      <w:divBdr>
        <w:top w:val="none" w:sz="0" w:space="0" w:color="auto"/>
        <w:left w:val="none" w:sz="0" w:space="0" w:color="auto"/>
        <w:bottom w:val="none" w:sz="0" w:space="0" w:color="auto"/>
        <w:right w:val="none" w:sz="0" w:space="0" w:color="auto"/>
      </w:divBdr>
    </w:div>
    <w:div w:id="15375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380</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leia2-4</dc:creator>
  <cp:keywords/>
  <dc:description/>
  <cp:lastModifiedBy>leia2-4</cp:lastModifiedBy>
  <cp:revision>2</cp:revision>
  <dcterms:created xsi:type="dcterms:W3CDTF">2018-09-11T18:15:00Z</dcterms:created>
  <dcterms:modified xsi:type="dcterms:W3CDTF">2018-09-11T18:34:00Z</dcterms:modified>
</cp:coreProperties>
</file>