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93" w:rsidRDefault="007A260D">
      <w:pPr>
        <w:pStyle w:val="Corpodotexto"/>
        <w:spacing w:line="360" w:lineRule="auto"/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UNIVERSIDADE DE SÃO PAULO</w:t>
      </w:r>
    </w:p>
    <w:p w:rsidR="00866493" w:rsidRDefault="007A260D">
      <w:pPr>
        <w:pStyle w:val="Corpodotexto"/>
        <w:spacing w:line="360" w:lineRule="auto"/>
        <w:jc w:val="center"/>
        <w:rPr>
          <w:lang w:val="pt-BR"/>
        </w:rPr>
      </w:pPr>
      <w:r>
        <w:rPr>
          <w:lang w:val="pt-BR"/>
        </w:rPr>
        <w:t>ESCOLA DE ENFERMAGEM DE RIBEIRÃO PRETO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Corpodotexto"/>
        <w:spacing w:line="360" w:lineRule="auto"/>
        <w:jc w:val="center"/>
        <w:rPr>
          <w:color w:val="000000"/>
          <w:shd w:val="clear" w:color="auto" w:fill="FFFFFF"/>
          <w:lang w:val="pt-BR"/>
        </w:rPr>
      </w:pPr>
      <w:r>
        <w:rPr>
          <w:w w:val="105"/>
          <w:lang w:val="pt-BR"/>
        </w:rPr>
        <w:t xml:space="preserve">Avaliação de um sistema de pontuação </w:t>
      </w:r>
      <w:r>
        <w:rPr>
          <w:color w:val="000000"/>
          <w:shd w:val="clear" w:color="auto" w:fill="FFFFFF"/>
          <w:lang w:val="pt-BR"/>
        </w:rPr>
        <w:t>quanto à capacidade de identificar a presença de coagulação intravascular disseminada em pacientes diagnosticados com sepse e choque séptico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Corpodotexto"/>
        <w:spacing w:line="360" w:lineRule="auto"/>
        <w:ind w:left="4006" w:right="358"/>
        <w:rPr>
          <w:lang w:val="pt-BR"/>
        </w:rPr>
      </w:pPr>
      <w:r>
        <w:rPr>
          <w:lang w:val="pt-BR"/>
        </w:rPr>
        <w:t>Discente: Igor Alexandre Fernandes Orientadora: Angelita Maria Stabile</w:t>
      </w:r>
    </w:p>
    <w:p w:rsidR="00866493" w:rsidRDefault="007A260D">
      <w:pPr>
        <w:pStyle w:val="Corpodotexto"/>
        <w:tabs>
          <w:tab w:val="left" w:pos="5997"/>
          <w:tab w:val="left" w:pos="6847"/>
          <w:tab w:val="left" w:pos="8603"/>
        </w:tabs>
        <w:spacing w:line="360" w:lineRule="auto"/>
        <w:ind w:left="4006" w:right="114"/>
        <w:jc w:val="both"/>
        <w:rPr>
          <w:lang w:val="pt-BR"/>
        </w:rPr>
      </w:pPr>
      <w:r>
        <w:rPr>
          <w:lang w:val="pt-BR"/>
        </w:rPr>
        <w:t>Linha de pesquisa: Tecnologia e Inovação no Cuidado em Enfermagem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Corpodotexto"/>
        <w:spacing w:line="360" w:lineRule="auto"/>
        <w:ind w:left="3595" w:right="3957"/>
        <w:jc w:val="center"/>
        <w:rPr>
          <w:lang w:val="pt-BR"/>
        </w:rPr>
      </w:pPr>
      <w:r>
        <w:rPr>
          <w:lang w:val="pt-BR"/>
        </w:rPr>
        <w:t>Ribeirão Preto 2018</w:t>
      </w:r>
    </w:p>
    <w:p w:rsidR="00866493" w:rsidRDefault="007A260D">
      <w:pPr>
        <w:pStyle w:val="Corpodotexto"/>
        <w:spacing w:line="360" w:lineRule="auto"/>
        <w:jc w:val="both"/>
        <w:rPr>
          <w:color w:val="000000"/>
          <w:shd w:val="clear" w:color="auto" w:fill="FFFFFF"/>
          <w:lang w:val="pt-BR"/>
        </w:rPr>
      </w:pPr>
      <w:r>
        <w:rPr>
          <w:lang w:val="pt-BR"/>
        </w:rPr>
        <w:t xml:space="preserve">TÍTULO DO TRABALHO: </w:t>
      </w:r>
      <w:r>
        <w:rPr>
          <w:w w:val="105"/>
          <w:lang w:val="pt-BR"/>
        </w:rPr>
        <w:t xml:space="preserve">Avaliação de um sistema de pontuação </w:t>
      </w:r>
      <w:r>
        <w:rPr>
          <w:color w:val="000000"/>
          <w:shd w:val="clear" w:color="auto" w:fill="FFFFFF"/>
          <w:lang w:val="pt-BR"/>
        </w:rPr>
        <w:t xml:space="preserve">quanto à capacidade de </w:t>
      </w:r>
      <w:r>
        <w:rPr>
          <w:color w:val="000000"/>
          <w:shd w:val="clear" w:color="auto" w:fill="FFFFFF"/>
          <w:lang w:val="pt-BR"/>
        </w:rPr>
        <w:t>identificar a presença de coagulação intravascular disseminada em pacientes diagnosticados com sepse e choque séptico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PargrafodaLista"/>
        <w:numPr>
          <w:ilvl w:val="0"/>
          <w:numId w:val="1"/>
        </w:numPr>
        <w:tabs>
          <w:tab w:val="left" w:pos="300"/>
        </w:tabs>
        <w:spacing w:before="0" w:line="360" w:lineRule="auto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 Introdução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trabalho hospitalar exige novas competências dos profissionais, deparando-o com mudanças tecnológicas e exigências da clien</w:t>
      </w:r>
      <w:r>
        <w:rPr>
          <w:sz w:val="24"/>
          <w:szCs w:val="24"/>
          <w:lang w:val="pt-BR"/>
        </w:rPr>
        <w:t>tela, causando em alguns casos transformações no seu processo de trabalho. O enfermeiro que atua em Unidade de Terapia Intensiva (UTI), além da qualificação adequada, deve mobilizar competências profissionais específicas na execução de seu trabalho, permit</w:t>
      </w:r>
      <w:r>
        <w:rPr>
          <w:sz w:val="24"/>
          <w:szCs w:val="24"/>
          <w:lang w:val="pt-BR"/>
        </w:rPr>
        <w:t>indo-lhe desenvolver funções de maneira eficaz, juntamente com conhecimento técnico-científico, domínio da tecnologia, humanização, cuidado individualizado, tendo como resultado, qualidade na assistência prestada (CAMELO, 2012).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trabalho da enfermagem po</w:t>
      </w:r>
      <w:r>
        <w:rPr>
          <w:sz w:val="24"/>
          <w:szCs w:val="24"/>
          <w:lang w:val="pt-BR"/>
        </w:rPr>
        <w:t xml:space="preserve">de ser organizado por meio da </w:t>
      </w:r>
      <w:r>
        <w:rPr>
          <w:rFonts w:cs="Calibri"/>
          <w:sz w:val="24"/>
          <w:szCs w:val="24"/>
        </w:rPr>
        <w:t>Sistematização da Assistência de Enfermagem (SAE), que consiste em um</w:t>
      </w:r>
      <w:r>
        <w:rPr>
          <w:sz w:val="24"/>
          <w:szCs w:val="24"/>
          <w:lang w:val="pt-BR"/>
        </w:rPr>
        <w:t xml:space="preserve"> processo metodológico executado somente por enfermeiros, com intuito de prestar assistência de enfermagem de maneira holística ao paciente, família e comuni</w:t>
      </w:r>
      <w:r>
        <w:rPr>
          <w:sz w:val="24"/>
          <w:szCs w:val="24"/>
          <w:lang w:val="pt-BR"/>
        </w:rPr>
        <w:t>dade, com base no enfoque técnico-científico. O objetivo da SAE é reduzir as complicações durante o tratamento, facilitando a recuperação e adaptação do paciente, família e comunidade, promovendo saúde e bem estar (BRASIL, 2016).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Com o uso da SAE há novas </w:t>
      </w:r>
      <w:r>
        <w:rPr>
          <w:sz w:val="24"/>
          <w:szCs w:val="24"/>
          <w:lang w:val="pt-BR"/>
        </w:rPr>
        <w:t xml:space="preserve">perspectivas em relação à prática do cuidado, pois ela guia e normatiza com mais precisão as ações dos profissionais de enfermagem na direção da </w:t>
      </w:r>
      <w:r>
        <w:rPr>
          <w:sz w:val="24"/>
          <w:szCs w:val="24"/>
          <w:lang w:val="pt-BR"/>
        </w:rPr>
        <w:lastRenderedPageBreak/>
        <w:t>resolução dos problemas dos pacientes. Dessa maneira, caracteriza-se na direção da mitigação dos erros e promoç</w:t>
      </w:r>
      <w:r>
        <w:rPr>
          <w:sz w:val="24"/>
          <w:szCs w:val="24"/>
          <w:lang w:val="pt-BR"/>
        </w:rPr>
        <w:t>ão da segurança do paciente. (CASTRO, et al., 2018). Além disso, cria oportunidades no avanço da qualidade da assistência, proporcionando cuidados individualizados e norteando o processo decisório do enfermeiro em situações de gerenciamento da equipe de en</w:t>
      </w:r>
      <w:r>
        <w:rPr>
          <w:sz w:val="24"/>
          <w:szCs w:val="24"/>
          <w:lang w:val="pt-BR"/>
        </w:rPr>
        <w:t xml:space="preserve">fermagem. 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A Enfermagem como ciência deve buscar continuamente o aprimoramento das técnicas e recursos, não somente o conhecimento científico, mas também a possibilidade de troca de conhecimento e experiências entre os profissionais (MORAES, BASTIANI E SIL</w:t>
      </w:r>
      <w:r>
        <w:rPr>
          <w:lang w:val="pt-BR"/>
        </w:rPr>
        <w:t>VA, 2014).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Os enfermeiros, principalmente aqueles que atuam em UTI, inevitavelmente se depararão com pacientes diagnosticados com sepse. O manejo da sepse continua sendo um grande desafio para a área da saúde no Brasil e no mundo. Sepse, segundo </w:t>
      </w:r>
      <w:r>
        <w:rPr>
          <w:i/>
          <w:sz w:val="24"/>
          <w:szCs w:val="24"/>
          <w:lang w:val="pt-BR"/>
        </w:rPr>
        <w:t>Centers fo</w:t>
      </w:r>
      <w:r>
        <w:rPr>
          <w:i/>
          <w:sz w:val="24"/>
          <w:szCs w:val="24"/>
          <w:lang w:val="pt-BR"/>
        </w:rPr>
        <w:t>r Disease Control and Prevention</w:t>
      </w:r>
      <w:r>
        <w:rPr>
          <w:sz w:val="24"/>
          <w:szCs w:val="24"/>
          <w:lang w:val="pt-BR"/>
        </w:rPr>
        <w:t xml:space="preserve"> (CDC), é uma condição clínica de difícil previsão, diagnóstico e tratamento (ESTADOS UNIDOS DA AMÉRICA, 2015). Pacientes sépticos têm um aumento no risco de complicações e morte, assim como também necessitam de maior assist</w:t>
      </w:r>
      <w:r>
        <w:rPr>
          <w:sz w:val="24"/>
          <w:szCs w:val="24"/>
          <w:lang w:val="pt-BR"/>
        </w:rPr>
        <w:t>ência médica e tratamento mais longo (DELLINGER et al.,2013).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termo sepse é normalmente utilizado de forma genérica, entretanto, ela se apresenta com diferentes níveis de gravidade a depender do tempo decorrido desde as suas primeiras manifestações clíni</w:t>
      </w:r>
      <w:r>
        <w:rPr>
          <w:sz w:val="24"/>
          <w:szCs w:val="24"/>
          <w:lang w:val="pt-BR"/>
        </w:rPr>
        <w:t>cas. Recentemente, Singer et al. (2016) publicaram o “Terceiro Consenso Internacional de Definições de Sepse e Choque Séptico (Sepsis-3)” referente aos novos critérios diagnósticos para sepse e choque séptico. Neste consenso, a sepse foi definida como “pre</w:t>
      </w:r>
      <w:r>
        <w:rPr>
          <w:sz w:val="24"/>
          <w:szCs w:val="24"/>
          <w:lang w:val="pt-BR"/>
        </w:rPr>
        <w:t>sença de disfunção orgânica ameaçadora à vida secundária à resposta do organismo à infecção”. (SINGER et al., 2016). A presença dos critérios da síndrome da resposta inflamatória sistêmica (</w:t>
      </w:r>
      <w:r>
        <w:rPr>
          <w:color w:val="222222"/>
          <w:sz w:val="24"/>
          <w:szCs w:val="24"/>
          <w:shd w:val="clear" w:color="auto" w:fill="FFFFFF"/>
          <w:lang w:val="pt-BR"/>
        </w:rPr>
        <w:t>SRIS</w:t>
      </w:r>
      <w:r>
        <w:rPr>
          <w:sz w:val="24"/>
          <w:szCs w:val="24"/>
          <w:lang w:val="pt-BR"/>
        </w:rPr>
        <w:t xml:space="preserve">) não é mais necessária para a definição. Embora os critérios </w:t>
      </w:r>
      <w:r>
        <w:rPr>
          <w:sz w:val="24"/>
          <w:szCs w:val="24"/>
          <w:lang w:val="pt-BR"/>
        </w:rPr>
        <w:t>para SIRS, particularmente no contexto de programas de melhoria da qualidade, continuem a ser de grande relevância como ferramenta de triagem para pacientes potencialmente infectados, eles não são fundamentais para definir a ocorrência de sepse. Uma das me</w:t>
      </w:r>
      <w:r>
        <w:rPr>
          <w:sz w:val="24"/>
          <w:szCs w:val="24"/>
          <w:lang w:val="pt-BR"/>
        </w:rPr>
        <w:t xml:space="preserve">nsagens principais é a de que todos os casos de sepse devem ser considerados como doença grave, de forma que a definição “sepse grave” foi abolida (SINGER et al., 2016). 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choque séptico passou a ser definido como “um subgrupo de pacientes com sepse que a</w:t>
      </w:r>
      <w:r>
        <w:rPr>
          <w:sz w:val="24"/>
          <w:szCs w:val="24"/>
          <w:lang w:val="pt-BR"/>
        </w:rPr>
        <w:t xml:space="preserve">presentam anormalidades circulatórias, celulares e metabólicas associadas com maior risco de morte do que a sepse isoladamente”. Choque é definido como uma forma </w:t>
      </w:r>
      <w:r>
        <w:rPr>
          <w:sz w:val="24"/>
          <w:szCs w:val="24"/>
          <w:lang w:val="pt-BR"/>
        </w:rPr>
        <w:lastRenderedPageBreak/>
        <w:t>generalizada de falência circulatória aguda ameaçadora à vida, associada à utilização inadequa</w:t>
      </w:r>
      <w:r>
        <w:rPr>
          <w:sz w:val="24"/>
          <w:szCs w:val="24"/>
          <w:lang w:val="pt-BR"/>
        </w:rPr>
        <w:t>da de oxigênio pelas células (CECCONI et al., 2014). Os critérios diagnósticos de choque séptico são a “necessidade de vasopressor para manter uma pressão arterial média acima de 65mmHg após a infusão adequada de fluidos, associada a nível sérico de lactat</w:t>
      </w:r>
      <w:r>
        <w:rPr>
          <w:sz w:val="24"/>
          <w:szCs w:val="24"/>
          <w:lang w:val="pt-BR"/>
        </w:rPr>
        <w:t xml:space="preserve">o superior a 2mmol/L” (SHANKAR-HARI et al., 2016) 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nova definição de choque séptico exige hiperlactatemia como componente obrigatório, diferente dos consensos Sepsis 1 e Sepsis 2, nos quais a simples presença de hipotensão refratária à administração de f</w:t>
      </w:r>
      <w:r>
        <w:rPr>
          <w:sz w:val="24"/>
          <w:szCs w:val="24"/>
          <w:lang w:val="pt-BR"/>
        </w:rPr>
        <w:t>luidos era o critério para definição choque. Os novos critérios assumem que pacientes com hiperlactatemia grave, porém sem hipotensão, não têm risco elevado de óbito.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choque séptico pode culminar na síndrome da disfunção de múltiplos órgãos. Ela é caract</w:t>
      </w:r>
      <w:r>
        <w:rPr>
          <w:sz w:val="24"/>
          <w:szCs w:val="24"/>
          <w:lang w:val="pt-BR"/>
        </w:rPr>
        <w:t>erizada por alterações da função de órgãos, de modo que a homeostase não pode ser mantida sem intervenção terapêutica, podendo ser primária, se consequente à própria injúria (por exemplo, insuficiência respiratória secundária à pneumonia comunitária grave)</w:t>
      </w:r>
      <w:r>
        <w:rPr>
          <w:sz w:val="24"/>
          <w:szCs w:val="24"/>
          <w:lang w:val="pt-BR"/>
        </w:rPr>
        <w:t xml:space="preserve"> e secundária, se oriunda não da injúria, mas da resposta orgânica do hospedeiro à condição mórbida (por exemplo, síndrome do desconforto respiratório agudo em enfermo com pancreatite aguda necrótica).Esta última condição é notavelmente um marcador de mau </w:t>
      </w:r>
      <w:r>
        <w:rPr>
          <w:sz w:val="24"/>
          <w:szCs w:val="24"/>
          <w:lang w:val="pt-BR"/>
        </w:rPr>
        <w:t>prognóstico, interferindo significativamente no desfecho de pacientes com infecção (BLOOS; REINHART, 2014).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Um estudo realizado em unidade de terapia intensiva (UTI) mostrou uma mortalidade global de 46,6% em pacientes sépticos e 65,3% em pacientes com cho</w:t>
      </w:r>
      <w:r>
        <w:rPr>
          <w:sz w:val="24"/>
          <w:szCs w:val="24"/>
          <w:lang w:val="pt-BR"/>
        </w:rPr>
        <w:t>que séptico (JÚNIOR et al., 2006). Segundo dados do sistema de informação DATASUS (BRASIL, 2015) no mês de fevereiro, foram registradas 2.360 internações por sepse no estado de São Paulo, e desses, 1.316 evoluíram para o óbito, ou seja, a mortalidade nos p</w:t>
      </w:r>
      <w:r>
        <w:rPr>
          <w:sz w:val="24"/>
          <w:szCs w:val="24"/>
          <w:lang w:val="pt-BR"/>
        </w:rPr>
        <w:t>acientes com sepse foi de 55,8%. O custo médio diário de cada internação foi de R$3.888,37com média de permanência de 13,5dias, indicando os altos custos que a síndrome representa ao sistema de saúde.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 Estados Unidos a incidência de sepse grave é estima</w:t>
      </w:r>
      <w:r>
        <w:rPr>
          <w:sz w:val="24"/>
          <w:szCs w:val="24"/>
          <w:lang w:val="pt-BR"/>
        </w:rPr>
        <w:t>da em 300 casos para 100.000 habitantes, por ano. Aproximadamente metade desses casos tem início fora da UTI. Além disso, cerca de 25% dos pacientes que desenvolverem sepse morrerá durante a hospitalização, o que representa quase a metade da taxa de mortal</w:t>
      </w:r>
      <w:r>
        <w:rPr>
          <w:sz w:val="24"/>
          <w:szCs w:val="24"/>
          <w:lang w:val="pt-BR"/>
        </w:rPr>
        <w:t xml:space="preserve">idade encontrada no Brasil (ANGUS et al., 2001). 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É importante destacar que mais da metade dos pacientes que desenvolvem sepse tem condições crônicas de saúde. Portadores de doença pulmonar obstrutiva crônica, câncer, doença renal crônica e diabetes possue</w:t>
      </w:r>
      <w:r>
        <w:rPr>
          <w:sz w:val="24"/>
          <w:szCs w:val="24"/>
          <w:lang w:val="pt-BR"/>
        </w:rPr>
        <w:t>m mais chances de desenvolver sepse, fato este que pode estar relacionado as anormalidades da resposta imunológica secundária às doenças crônicas e a idade. Outros fatores de risco para o desenvolvimento de sepse incluem longos períodos na dependência de a</w:t>
      </w:r>
      <w:r>
        <w:rPr>
          <w:sz w:val="24"/>
          <w:szCs w:val="24"/>
          <w:lang w:val="pt-BR"/>
        </w:rPr>
        <w:t xml:space="preserve">parelhos de suporte de vida, má nutrição, uso de medicamentos imunossupressores e uso de próteses (MAYR et al, 2014). 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Portadores de HIV/AIDS representam até 10% dos casos de sepse (ANGUS et al., 2001). Homens aparentemente tem mais risco de desenvolver se</w:t>
      </w:r>
      <w:r>
        <w:rPr>
          <w:sz w:val="24"/>
          <w:szCs w:val="24"/>
          <w:lang w:val="pt-BR"/>
        </w:rPr>
        <w:t>pse que mulheres (SAKR et al., 2013) assim como os negros quando comparados aos brancos (BARNATO et al., 2007).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Na sepse, a inflamação sistêmica, invariavelmente leva a ativação do sistema de coagulação e inibição do mecanismo anticoagulante e de </w:t>
      </w:r>
      <w:r>
        <w:rPr>
          <w:sz w:val="24"/>
          <w:szCs w:val="24"/>
          <w:lang w:val="pt-BR"/>
        </w:rPr>
        <w:t>fibrinólise (SCHOUTEN et al., 2008). Endotoxinas bacterianas ou outros compostos estranhos induzem a ativação dos neutrófilos e a liberação de citocinas pró-inflamatórias. A cascata de coagulação é ativada pela forte adesão dos microrganismos (CUNNEEN; CAR</w:t>
      </w:r>
      <w:r>
        <w:rPr>
          <w:sz w:val="24"/>
          <w:szCs w:val="24"/>
          <w:lang w:val="pt-BR"/>
        </w:rPr>
        <w:t>TWRIGHT, 2004). Essa ativação pode contribuir para formação de tromboembolismo venoso localizado e coagulação intravascular disseminada (CIVD), a qual é caracterizada pela formação de trombina, trombose microvascular difundida, sendo uma das responsáveis p</w:t>
      </w:r>
      <w:r>
        <w:rPr>
          <w:sz w:val="24"/>
          <w:szCs w:val="24"/>
          <w:lang w:val="pt-BR"/>
        </w:rPr>
        <w:t>ela síndrome da disfunção orgânica múltipla e consequente consumo de plaquetas e proteínas de coagulação, causando em casos mais graves, manifestações hemorrágicas (SEMERARO et al., 2010).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hemostasia garante o funcionamento adequado do organismo humano p</w:t>
      </w:r>
      <w:r>
        <w:rPr>
          <w:sz w:val="24"/>
          <w:szCs w:val="24"/>
          <w:lang w:val="pt-BR"/>
        </w:rPr>
        <w:t>elo equilíbrio entre a manutenção do sangue no estado fluído, permitindo que ele flua pela rede circulatória, e a prevenção de perda sanguínea, que ocorre em situações de risco da integridade vascular. Para a normalidade dessas funções é necessário um pote</w:t>
      </w:r>
      <w:r>
        <w:rPr>
          <w:sz w:val="24"/>
          <w:szCs w:val="24"/>
          <w:lang w:val="pt-BR"/>
        </w:rPr>
        <w:t>nte mecanismo pró-coagulante, para a formação de tampões hemostáticos nos locais comprometidos por lesão vascular e um sistema regulatório capaz de limitar a formação de tampões hemostáticos somente para as áreas comprometidas (LE MOIGNE et al., 2002)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Dist</w:t>
      </w:r>
      <w:r>
        <w:rPr>
          <w:sz w:val="24"/>
          <w:szCs w:val="24"/>
          <w:lang w:val="pt-BR"/>
        </w:rPr>
        <w:t>úrbios ocorridos no equilíbrio entre os sistemas pró-coagulantes e anticoagulantes devido a fatores genéticos ou adquiridos podem causar alterações hemorrágicas ou trombóticas (LE MOIGNE, et al. 2002). No estágio inicial do quadro de sepse, células endotel</w:t>
      </w:r>
      <w:r>
        <w:rPr>
          <w:sz w:val="24"/>
          <w:szCs w:val="24"/>
          <w:lang w:val="pt-BR"/>
        </w:rPr>
        <w:t xml:space="preserve">iais e células mononucleares ativadas produzem citocinas pró inflamatórias que ativam os fatores mediadores da coagulação. Além disso, a baixa regulação </w:t>
      </w:r>
      <w:r>
        <w:rPr>
          <w:sz w:val="24"/>
          <w:szCs w:val="24"/>
          <w:lang w:val="pt-BR"/>
        </w:rPr>
        <w:lastRenderedPageBreak/>
        <w:t>fisiológica dos mecanismos anticoagulantes e a inibição de fibrinólise por células endoteliais promovem</w:t>
      </w:r>
      <w:r>
        <w:rPr>
          <w:sz w:val="24"/>
          <w:szCs w:val="24"/>
          <w:lang w:val="pt-BR"/>
        </w:rPr>
        <w:t xml:space="preserve"> mais depósito de fibrina intravascular (LEVI et al., 2004).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 pacientes com sepse bacteriana, a CIVD é bastante recorrente. Numa série de 35 pacientes com critérios para SIRS em quatro dias consecutivos ou mais, CIVD foi encontrada em 29, representando 8</w:t>
      </w:r>
      <w:r>
        <w:rPr>
          <w:sz w:val="24"/>
          <w:szCs w:val="24"/>
          <w:lang w:val="pt-BR"/>
        </w:rPr>
        <w:t>3% dos pacientes (SMITH et al., 1997). A CIVD é uma síndrome adquirida, secundária a uma doença de base. É caracterizada pela ativação sistêmica da coagulação do sangue, com evidência laboratorial de ativação pró-coagulante, ativação fibrinolítica, consumo</w:t>
      </w:r>
      <w:r>
        <w:rPr>
          <w:sz w:val="24"/>
          <w:szCs w:val="24"/>
          <w:lang w:val="pt-BR"/>
        </w:rPr>
        <w:t xml:space="preserve"> dos inibidores de coagulação e evidência bioquímica de falência ou lesão orgânica terminal (HO, KAM, THONG, 2005).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probabilidade de ocorrência da CIVD está relacionada com a gravidade da resposta do sistema imunológico. A produção de citocinas inflamató</w:t>
      </w:r>
      <w:r>
        <w:rPr>
          <w:sz w:val="24"/>
          <w:szCs w:val="24"/>
          <w:lang w:val="pt-BR"/>
        </w:rPr>
        <w:t>rias, como o fator de necrose tumoral alfa (TNF-α) e interleucina-1 (IL-1) causam a produção de grande quantidade de fator tecidual a partir de monócito/macrófagos e do endotélio vascular, levando a ativação dos marcadores de coagulação. Além disso, o lipo</w:t>
      </w:r>
      <w:r>
        <w:rPr>
          <w:sz w:val="24"/>
          <w:szCs w:val="24"/>
          <w:lang w:val="pt-BR"/>
        </w:rPr>
        <w:t>polissacarídeos (LPS) das bactérias Gram-negativas e algumas citocinas inibem a expressão de trombomodulina, assim aumentam a ativação da coagulação. Fibrinolíticos também são ativados na tentativa de dissolver microtrombos que ocorrem como resultado da at</w:t>
      </w:r>
      <w:r>
        <w:rPr>
          <w:sz w:val="24"/>
          <w:szCs w:val="24"/>
          <w:lang w:val="pt-BR"/>
        </w:rPr>
        <w:t xml:space="preserve">ivação da coagulação, mas o inibidor da atividade do plasminogênio (PAI) é superexpressado no endotélio vascular devido à ação do LPS e citocinas e a fibrinólise é suprimida. Portanto há a formação de microtrombos, causando disfunção microvascular levando </w:t>
      </w:r>
      <w:r>
        <w:rPr>
          <w:sz w:val="24"/>
          <w:szCs w:val="24"/>
          <w:lang w:val="pt-BR"/>
        </w:rPr>
        <w:t>a falência orgânica múltipla (ASAKURA H. 2014).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 estudos clínicos experimentais foram encontradas evidências de que a CIVD causa trombose microvascular sistêmica, evoluindo para a falência múltipla de órgãos. Além disso, essa intensa e contínua ativação </w:t>
      </w:r>
      <w:r>
        <w:rPr>
          <w:sz w:val="24"/>
          <w:szCs w:val="24"/>
          <w:lang w:val="pt-BR"/>
        </w:rPr>
        <w:t>de coagulação leva a depleção dos fatores de coagulação e das plaquetas, culminando em sangramentos (LEVI, 2009).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identificação da CIVD pode ser feita usando testes rotineiros de laboratório, marcador algorítmico e tromboelastografia. No entanto, a ident</w:t>
      </w:r>
      <w:r>
        <w:rPr>
          <w:sz w:val="24"/>
          <w:szCs w:val="24"/>
          <w:lang w:val="pt-BR"/>
        </w:rPr>
        <w:t>ificação rápida da CIVD tem sido dificultada pela falta de um teste diagnóstico específico. Nenhum sinal clínico ou teste laboratorial único possui a acurácia necessária para confirmar ou rejeitar a presença de CIVD (LEVI; JONGE; MEIJERS, 2002). No entanto</w:t>
      </w:r>
      <w:r>
        <w:rPr>
          <w:sz w:val="24"/>
          <w:szCs w:val="24"/>
          <w:lang w:val="pt-BR"/>
        </w:rPr>
        <w:t xml:space="preserve">, uma combinação de achados clínicos e laboratoriais, incluindo testes de marcadores moleculares de geração de trombina e de fibrina, pode permitir a identificação adequada da CIVD (BOISCLAIR, IRELAND, LANE, 1990), </w:t>
      </w:r>
      <w:r>
        <w:rPr>
          <w:sz w:val="24"/>
          <w:szCs w:val="24"/>
          <w:lang w:val="pt-BR"/>
        </w:rPr>
        <w:lastRenderedPageBreak/>
        <w:t xml:space="preserve">porém, isso só é possível em um ambiente </w:t>
      </w:r>
      <w:r>
        <w:rPr>
          <w:sz w:val="24"/>
          <w:szCs w:val="24"/>
          <w:lang w:val="pt-BR"/>
        </w:rPr>
        <w:t xml:space="preserve">altamente especializado, como laboratórios de pesquisa, o que não é característico do ambiente de prática assistencial. 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 Japão foi desenvolvido um sistema de pontuação para identificação da CIVD, no entanto, essa estratégia não tem sido amplamente adota</w:t>
      </w:r>
      <w:r>
        <w:rPr>
          <w:sz w:val="24"/>
          <w:szCs w:val="24"/>
          <w:lang w:val="pt-BR"/>
        </w:rPr>
        <w:t xml:space="preserve">da devido a algumas limitações práticas (WADA et al., 2013). Para facilitar a identificação da CIVD na situação clínica, o subcomitê de CIVD do </w:t>
      </w:r>
      <w:r>
        <w:rPr>
          <w:i/>
          <w:sz w:val="24"/>
          <w:szCs w:val="24"/>
          <w:lang w:val="pt-BR"/>
        </w:rPr>
        <w:t>Scientific and Standardization Committee of the International Society of Thrombosis and Haemostasis</w:t>
      </w:r>
      <w:r>
        <w:rPr>
          <w:sz w:val="24"/>
          <w:szCs w:val="24"/>
          <w:lang w:val="pt-BR"/>
        </w:rPr>
        <w:t xml:space="preserve"> (ISTH) propô</w:t>
      </w:r>
      <w:r>
        <w:rPr>
          <w:sz w:val="24"/>
          <w:szCs w:val="24"/>
          <w:lang w:val="pt-BR"/>
        </w:rPr>
        <w:t>s um sistema de pontuação, com base na combinação dos resultados de vários testes laboratoriais (TAYLOR, et al., 2001). Uma das vantagens deste sistema de pontuação é que ele utiliza testes simples e amplamente disponíveis que são utilizados rotineiramente</w:t>
      </w:r>
      <w:r>
        <w:rPr>
          <w:sz w:val="24"/>
          <w:szCs w:val="24"/>
          <w:lang w:val="pt-BR"/>
        </w:rPr>
        <w:t xml:space="preserve"> na avaliação do sistema de coagulação dos pacientes. Esse sistema utiliza um ponto de corte de 5 no mínimo para o diagnóstico de CIVD.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A justificativa para o desenvolvimento deste estudo diz respeito ao fato de que para a identificação precoce e tratament</w:t>
      </w:r>
      <w:r>
        <w:rPr>
          <w:lang w:val="pt-BR"/>
        </w:rPr>
        <w:t>o da sepse são necessários o envolvimento e a capacitação de toda a equipe, principalmente do enfermeiro intensivista. Sua capacitação é fundamental tanto para a identificação dos sinais e sintomas de CIVD, quanto na assistência direta ao paciente, envolve</w:t>
      </w:r>
      <w:r>
        <w:rPr>
          <w:lang w:val="pt-BR"/>
        </w:rPr>
        <w:t>ndo diretamente a SAE. Além disso, a enfermagem é a categoria profissional que mais tempo permanece ao lado do paciente. Dessa forma, as ferramentas adequadas poderão alicerçar a implementação da SAE.</w:t>
      </w:r>
    </w:p>
    <w:p w:rsidR="00866493" w:rsidRDefault="007A260D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Este estudo visa utilizar um sistema de pontuação basea</w:t>
      </w:r>
      <w:r>
        <w:rPr>
          <w:sz w:val="24"/>
          <w:szCs w:val="24"/>
          <w:lang w:val="pt-BR"/>
        </w:rPr>
        <w:t>do em testes clínicos rotineiros para avaliação da prevalência de CIVD em uma das populações hospitalares que mais cresce no país, ou seja, o paciente internado na UTI com diagnóstico de sepsee choque séptico. Espera-se que se esse sistema mostrar-se efeti</w:t>
      </w:r>
      <w:r>
        <w:rPr>
          <w:sz w:val="24"/>
          <w:szCs w:val="24"/>
          <w:lang w:val="pt-BR"/>
        </w:rPr>
        <w:t xml:space="preserve">vo, ele possa ser utilizado na rotina da enfermagem como uma ferramenta para o planejamento da assistência. </w:t>
      </w:r>
    </w:p>
    <w:p w:rsidR="00866493" w:rsidRDefault="00866493">
      <w:pPr>
        <w:pStyle w:val="Corpodotexto"/>
        <w:spacing w:line="360" w:lineRule="auto"/>
        <w:ind w:firstLine="720"/>
        <w:rPr>
          <w:lang w:val="pt-BR"/>
        </w:rPr>
      </w:pPr>
    </w:p>
    <w:p w:rsidR="00866493" w:rsidRDefault="00866493">
      <w:pPr>
        <w:pStyle w:val="Corpodotexto"/>
        <w:spacing w:line="360" w:lineRule="auto"/>
        <w:ind w:right="111" w:firstLine="720"/>
        <w:jc w:val="both"/>
        <w:rPr>
          <w:b/>
          <w:lang w:val="pt-BR"/>
        </w:rPr>
      </w:pPr>
    </w:p>
    <w:p w:rsidR="00866493" w:rsidRDefault="007A260D">
      <w:pPr>
        <w:pStyle w:val="Corpodotexto"/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2. Objetivo</w:t>
      </w:r>
    </w:p>
    <w:p w:rsidR="00866493" w:rsidRDefault="007A260D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4"/>
          <w:szCs w:val="24"/>
          <w:shd w:val="clear" w:color="auto" w:fill="FFFFFF"/>
          <w:lang w:val="pt-BR"/>
        </w:rPr>
      </w:pPr>
      <w:r>
        <w:rPr>
          <w:color w:val="000000"/>
          <w:sz w:val="24"/>
          <w:szCs w:val="24"/>
          <w:shd w:val="clear" w:color="auto" w:fill="FFFFFF"/>
          <w:lang w:val="pt-BR"/>
        </w:rPr>
        <w:t>Analisar a efetividade de um sistema de pontuação quanto à capacidade de identificar a presença de coagulação intravascular dissemina</w:t>
      </w:r>
      <w:r>
        <w:rPr>
          <w:color w:val="000000"/>
          <w:sz w:val="24"/>
          <w:szCs w:val="24"/>
          <w:shd w:val="clear" w:color="auto" w:fill="FFFFFF"/>
          <w:lang w:val="pt-BR"/>
        </w:rPr>
        <w:t>da em pacientes diagnosticados com sepse e choque séptico e verificar a relação da pontuação obtida com a gravidade clínica do paciente.</w:t>
      </w:r>
    </w:p>
    <w:p w:rsidR="00866493" w:rsidRDefault="00866493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4"/>
          <w:szCs w:val="24"/>
          <w:shd w:val="clear" w:color="auto" w:fill="FFFFFF"/>
          <w:lang w:val="pt-BR"/>
        </w:rPr>
      </w:pPr>
    </w:p>
    <w:p w:rsidR="00866493" w:rsidRDefault="007A260D">
      <w:pPr>
        <w:tabs>
          <w:tab w:val="left" w:pos="851"/>
        </w:tabs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3.1 Objetivos Específicos</w:t>
      </w:r>
    </w:p>
    <w:p w:rsidR="00866493" w:rsidRDefault="007A260D">
      <w:pPr>
        <w:pStyle w:val="PargrafodaLista"/>
        <w:numPr>
          <w:ilvl w:val="0"/>
          <w:numId w:val="3"/>
        </w:numPr>
        <w:tabs>
          <w:tab w:val="left" w:pos="0"/>
        </w:tabs>
        <w:spacing w:before="0" w:line="360" w:lineRule="auto"/>
        <w:contextualSpacing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Verificar as características sociodemográficas e clínicas de pacientes diagnosticados com se</w:t>
      </w:r>
      <w:r>
        <w:rPr>
          <w:color w:val="000000"/>
          <w:sz w:val="24"/>
          <w:szCs w:val="24"/>
          <w:lang w:val="pt-BR"/>
        </w:rPr>
        <w:t xml:space="preserve">psee choque séptico internados na UTI; </w:t>
      </w:r>
    </w:p>
    <w:p w:rsidR="00866493" w:rsidRDefault="007A260D">
      <w:pPr>
        <w:pStyle w:val="PargrafodaLista"/>
        <w:numPr>
          <w:ilvl w:val="0"/>
          <w:numId w:val="3"/>
        </w:numPr>
        <w:tabs>
          <w:tab w:val="left" w:pos="0"/>
        </w:tabs>
        <w:spacing w:before="0" w:line="360" w:lineRule="auto"/>
        <w:contextualSpacing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Verificar o grau de disfunção orgânica e morbidade dos pacientes com sepse, e choque séptico internados na UTI por meio do </w:t>
      </w:r>
      <w:r>
        <w:rPr>
          <w:i/>
          <w:color w:val="000000"/>
          <w:sz w:val="24"/>
          <w:szCs w:val="24"/>
          <w:lang w:val="pt-BR"/>
        </w:rPr>
        <w:t>Sequential Organ Failure Assessment Score</w:t>
      </w:r>
      <w:r>
        <w:rPr>
          <w:color w:val="000000"/>
          <w:sz w:val="24"/>
          <w:szCs w:val="24"/>
          <w:lang w:val="pt-BR"/>
        </w:rPr>
        <w:t xml:space="preserve"> (SOFA);</w:t>
      </w:r>
    </w:p>
    <w:p w:rsidR="00866493" w:rsidRDefault="007A260D">
      <w:pPr>
        <w:pStyle w:val="PargrafodaLista"/>
        <w:numPr>
          <w:ilvl w:val="0"/>
          <w:numId w:val="3"/>
        </w:numPr>
        <w:tabs>
          <w:tab w:val="left" w:pos="0"/>
        </w:tabs>
        <w:spacing w:before="0" w:line="360" w:lineRule="auto"/>
        <w:contextualSpacing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Verificar a gravidade dos pacientes com sepse, e choque séptico internados na UTI por meio do </w:t>
      </w:r>
      <w:r>
        <w:rPr>
          <w:i/>
          <w:color w:val="000000"/>
          <w:sz w:val="24"/>
          <w:szCs w:val="24"/>
          <w:lang w:val="pt-BR"/>
        </w:rPr>
        <w:t>Acute Physiology and Chronic Health Disease Classification System II</w:t>
      </w:r>
      <w:r>
        <w:rPr>
          <w:color w:val="000000"/>
          <w:sz w:val="24"/>
          <w:szCs w:val="24"/>
          <w:lang w:val="pt-BR"/>
        </w:rPr>
        <w:t xml:space="preserve"> (APACHE II);</w:t>
      </w:r>
    </w:p>
    <w:p w:rsidR="00866493" w:rsidRDefault="007A260D">
      <w:pPr>
        <w:pStyle w:val="PargrafodaLista"/>
        <w:numPr>
          <w:ilvl w:val="0"/>
          <w:numId w:val="2"/>
        </w:numPr>
        <w:tabs>
          <w:tab w:val="left" w:pos="851"/>
        </w:tabs>
        <w:spacing w:before="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  <w:lang w:val="pt-BR"/>
        </w:rPr>
      </w:pPr>
      <w:r>
        <w:rPr>
          <w:color w:val="000000"/>
          <w:sz w:val="24"/>
          <w:szCs w:val="24"/>
          <w:shd w:val="clear" w:color="auto" w:fill="FFFFFF"/>
          <w:lang w:val="pt-BR"/>
        </w:rPr>
        <w:t>Verificar a pontuação obtida pelos pacientes no sistema de pontuação para avalia</w:t>
      </w:r>
      <w:r>
        <w:rPr>
          <w:color w:val="000000"/>
          <w:sz w:val="24"/>
          <w:szCs w:val="24"/>
          <w:shd w:val="clear" w:color="auto" w:fill="FFFFFF"/>
          <w:lang w:val="pt-BR"/>
        </w:rPr>
        <w:t>ção de CIVD quanto à capacidade de identificar a CIVD;</w:t>
      </w:r>
    </w:p>
    <w:p w:rsidR="00866493" w:rsidRDefault="007A260D">
      <w:pPr>
        <w:pStyle w:val="PargrafodaLista"/>
        <w:numPr>
          <w:ilvl w:val="0"/>
          <w:numId w:val="2"/>
        </w:numPr>
        <w:tabs>
          <w:tab w:val="left" w:pos="851"/>
        </w:tabs>
        <w:spacing w:before="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  <w:lang w:val="pt-BR"/>
        </w:rPr>
      </w:pPr>
      <w:r>
        <w:rPr>
          <w:color w:val="000000"/>
          <w:sz w:val="24"/>
          <w:szCs w:val="24"/>
          <w:shd w:val="clear" w:color="auto" w:fill="FFFFFF"/>
          <w:lang w:val="pt-BR"/>
        </w:rPr>
        <w:t>Verificar a relação entre a pontuação obtida e a presença de diagnóstico de CIVD no prontuário;</w:t>
      </w:r>
    </w:p>
    <w:p w:rsidR="00866493" w:rsidRDefault="007A260D">
      <w:pPr>
        <w:pStyle w:val="PargrafodaLista"/>
        <w:numPr>
          <w:ilvl w:val="0"/>
          <w:numId w:val="2"/>
        </w:numPr>
        <w:tabs>
          <w:tab w:val="left" w:pos="851"/>
        </w:tabs>
        <w:spacing w:before="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  <w:lang w:val="pt-BR"/>
        </w:rPr>
      </w:pPr>
      <w:r>
        <w:rPr>
          <w:color w:val="000000"/>
          <w:sz w:val="24"/>
          <w:szCs w:val="24"/>
          <w:shd w:val="clear" w:color="auto" w:fill="FFFFFF"/>
          <w:lang w:val="pt-BR"/>
        </w:rPr>
        <w:t>Verificar a relação entre a pontuação para a CIVD com o escore APACHE;</w:t>
      </w:r>
    </w:p>
    <w:p w:rsidR="00866493" w:rsidRDefault="007A260D">
      <w:pPr>
        <w:pStyle w:val="PargrafodaLista"/>
        <w:numPr>
          <w:ilvl w:val="0"/>
          <w:numId w:val="2"/>
        </w:numPr>
        <w:tabs>
          <w:tab w:val="left" w:pos="851"/>
        </w:tabs>
        <w:spacing w:before="0" w:line="360" w:lineRule="auto"/>
        <w:contextualSpacing/>
        <w:jc w:val="both"/>
        <w:rPr>
          <w:color w:val="000000"/>
          <w:sz w:val="24"/>
          <w:szCs w:val="24"/>
          <w:shd w:val="clear" w:color="auto" w:fill="FFFFFF"/>
          <w:lang w:val="pt-BR"/>
        </w:rPr>
      </w:pPr>
      <w:r>
        <w:rPr>
          <w:color w:val="000000"/>
          <w:sz w:val="24"/>
          <w:szCs w:val="24"/>
          <w:shd w:val="clear" w:color="auto" w:fill="FFFFFF"/>
          <w:lang w:val="pt-BR"/>
        </w:rPr>
        <w:t>Verificar a relação entre a pontua</w:t>
      </w:r>
      <w:r>
        <w:rPr>
          <w:color w:val="000000"/>
          <w:sz w:val="24"/>
          <w:szCs w:val="24"/>
          <w:shd w:val="clear" w:color="auto" w:fill="FFFFFF"/>
          <w:lang w:val="pt-BR"/>
        </w:rPr>
        <w:t>ção para aCIVD com o escore SOFA;</w:t>
      </w:r>
    </w:p>
    <w:p w:rsidR="00866493" w:rsidRDefault="007A260D">
      <w:pPr>
        <w:pStyle w:val="PargrafodaLista"/>
        <w:numPr>
          <w:ilvl w:val="0"/>
          <w:numId w:val="2"/>
        </w:numPr>
        <w:tabs>
          <w:tab w:val="left" w:pos="0"/>
        </w:tabs>
        <w:spacing w:before="0" w:line="360" w:lineRule="auto"/>
        <w:contextualSpacing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shd w:val="clear" w:color="auto" w:fill="FFFFFF"/>
          <w:lang w:val="pt-BR"/>
        </w:rPr>
        <w:t>Verificar a relação entre a pontuação para a</w:t>
      </w:r>
      <w:r>
        <w:rPr>
          <w:color w:val="000000"/>
          <w:sz w:val="24"/>
          <w:szCs w:val="24"/>
          <w:lang w:val="pt-BR"/>
        </w:rPr>
        <w:t>CIVD com o desfecho da internação (alta ou óbito);</w:t>
      </w:r>
    </w:p>
    <w:p w:rsidR="00866493" w:rsidRDefault="00866493">
      <w:pPr>
        <w:pStyle w:val="Corpodotexto"/>
        <w:spacing w:line="360" w:lineRule="auto"/>
        <w:ind w:left="118" w:right="111" w:firstLine="852"/>
        <w:jc w:val="both"/>
        <w:rPr>
          <w:lang w:val="pt-BR"/>
        </w:rPr>
      </w:pPr>
    </w:p>
    <w:p w:rsidR="00866493" w:rsidRDefault="007A260D">
      <w:pPr>
        <w:pStyle w:val="Corpodotexto"/>
        <w:spacing w:line="360" w:lineRule="auto"/>
        <w:ind w:right="111"/>
        <w:rPr>
          <w:b/>
          <w:lang w:val="pt-BR"/>
        </w:rPr>
      </w:pPr>
      <w:r>
        <w:rPr>
          <w:b/>
          <w:lang w:val="pt-BR"/>
        </w:rPr>
        <w:t>4. Método</w:t>
      </w:r>
    </w:p>
    <w:p w:rsidR="00866493" w:rsidRDefault="007A260D">
      <w:pPr>
        <w:pStyle w:val="Corpodotexto"/>
        <w:spacing w:line="360" w:lineRule="auto"/>
        <w:ind w:firstLine="851"/>
        <w:jc w:val="both"/>
      </w:pPr>
      <w:r>
        <w:t>Trata-se de um estudo retrospectivo, exploratório e descritivo, o qual objetiva proporcionar maior familiaridade com</w:t>
      </w:r>
      <w:r>
        <w:t xml:space="preserve"> o problema, tornando-o mais explícito, com o intuito de esclarecer e modificar conceitos a partir da formulação de hipóteses que poderão ser utilizadas em estudos posteriores (GIL, 2007). A abordagem metodológica adotada será a quantitativa, a qual estuda</w:t>
      </w:r>
      <w:r>
        <w:t xml:space="preserve"> os fenômenos a partir da mensuração e quantificação dos mesmos. (POLIT, 2011).</w:t>
      </w:r>
    </w:p>
    <w:p w:rsidR="00866493" w:rsidRDefault="00866493">
      <w:pPr>
        <w:pStyle w:val="Corpodotexto"/>
        <w:spacing w:line="360" w:lineRule="auto"/>
        <w:ind w:left="118" w:right="139"/>
        <w:rPr>
          <w:u w:val="single"/>
          <w:lang w:val="pt-BR"/>
        </w:rPr>
      </w:pPr>
    </w:p>
    <w:p w:rsidR="00866493" w:rsidRDefault="007A260D">
      <w:pPr>
        <w:pStyle w:val="Corpodotexto"/>
        <w:spacing w:line="360" w:lineRule="auto"/>
        <w:ind w:left="118" w:right="139"/>
        <w:rPr>
          <w:u w:val="single"/>
          <w:lang w:val="pt-BR"/>
        </w:rPr>
      </w:pPr>
      <w:r>
        <w:rPr>
          <w:u w:val="single"/>
          <w:lang w:val="pt-BR"/>
        </w:rPr>
        <w:t>Local do estudo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O estudo será desenvolvido em um hospital público de cuidados de alta complexidade em nível ambulatorial e hospitalar, que compreende cuidados de prevenção, tr</w:t>
      </w:r>
      <w:r>
        <w:rPr>
          <w:lang w:val="pt-BR"/>
        </w:rPr>
        <w:t>atamento e reabilitação, de natureza clínica e/ou cirúrgica, serviços complementares de diagnóstico e tratamento, em diversas especialidades médicas, localizado no interior do estado de São Paulo. A instituição destina-se ao atendimento dos usuários do Sis</w:t>
      </w:r>
      <w:r>
        <w:rPr>
          <w:lang w:val="pt-BR"/>
        </w:rPr>
        <w:t>tema Único de Saúde (SUS) e é vinculada à Faculdade de Medicina de Ribeirão Preto – HCRP – Campus para fins de pesquisa, ensino e prestação de serviços médico-hospitalares e possui aproximadamente 876 leitos (FMUSP, 2014). A UTI do hospital possui nove lei</w:t>
      </w:r>
      <w:r>
        <w:rPr>
          <w:lang w:val="pt-BR"/>
        </w:rPr>
        <w:t>tos para atendimento de pacientes adultos, de ambos os sexos, clínicos ecirúrgicos.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Corpodotexto"/>
        <w:spacing w:line="360" w:lineRule="auto"/>
        <w:ind w:left="118" w:right="139"/>
        <w:rPr>
          <w:u w:val="single"/>
          <w:lang w:val="pt-BR"/>
        </w:rPr>
      </w:pPr>
      <w:r>
        <w:rPr>
          <w:u w:val="single"/>
          <w:lang w:val="pt-BR"/>
        </w:rPr>
        <w:t>População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Serão considerados critérios de inclusão pacientes com idade superior a 18 anos, ambos os sexos, diagnosticados com sepse ou choque séptico, com permanência míni</w:t>
      </w:r>
      <w:r>
        <w:rPr>
          <w:lang w:val="pt-BR"/>
        </w:rPr>
        <w:t>ma de 24 horas na UTI. A seleção será realizada por meio de busca no sistema eletrônico de registros do hospital, utilizando o critério para o código de classificação internacional de doenças (CID) A41 (outras septicemias) A41.9 (septicemia não especificad</w:t>
      </w:r>
      <w:r>
        <w:rPr>
          <w:lang w:val="pt-BR"/>
        </w:rPr>
        <w:t>a). Serão incluídos todos os pacientes que atenderem aos critérios de inclusão, no período de 1 de Janeiro à 31 de Dezembro de 2017.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Corpodotexto"/>
        <w:spacing w:line="360" w:lineRule="auto"/>
        <w:ind w:left="118"/>
        <w:rPr>
          <w:u w:val="single"/>
          <w:lang w:val="pt-BR"/>
        </w:rPr>
      </w:pPr>
      <w:r>
        <w:rPr>
          <w:u w:val="single"/>
          <w:lang w:val="pt-BR"/>
        </w:rPr>
        <w:t>Coleta de dados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Os dados sociodemográficos e clínicos serão coletados diretamente do prontuário do paciente. Quanto aos </w:t>
      </w:r>
      <w:r>
        <w:rPr>
          <w:lang w:val="pt-BR"/>
        </w:rPr>
        <w:t>dados sociodemográficos, serão buscados a data de nascimento e sexo. Em relação às características clínicas, buscar-se-á identificar o histórico de doenças pré- existentes, categoria clínica ou cirúrgica, presença de infecção, foco da infecção, tempo de in</w:t>
      </w:r>
      <w:r>
        <w:rPr>
          <w:lang w:val="pt-BR"/>
        </w:rPr>
        <w:t xml:space="preserve">ternação no UTI e tempo de internação hospitalar. Além disso, serão coletados os registros dos sinais vitais, laboratoriais e a avaliação neurológica (escala de coma de Glasgow) com a finalidade de calcular o SOFA, o qual descreve quantitativamente o grau </w:t>
      </w:r>
      <w:r>
        <w:rPr>
          <w:lang w:val="pt-BR"/>
        </w:rPr>
        <w:t>de disfunção orgânica e morbidade ao longo do tempo de internação e considerado como falha orgânica valores maiores ou iguais a 3 (múltiplo com 2 ou mais órgãos acometidos). O escore SOFA será calculado nas primeiras 24 horas e acada 72 horas até o desfech</w:t>
      </w:r>
      <w:r>
        <w:rPr>
          <w:lang w:val="pt-BR"/>
        </w:rPr>
        <w:t>o da internação (alta ou óbito), utilizando-se o pior valor de cada parâmetro obtido no período (FERREIRA et al., 2001). O escore APACHE II será calculado com base no pior valor de cada parâmetro obtido nas primeiras 24 horas de internação a fim de estimar</w:t>
      </w:r>
      <w:r>
        <w:rPr>
          <w:lang w:val="pt-BR"/>
        </w:rPr>
        <w:t xml:space="preserve"> o prognóstico no momento da internação. Para o cálculo do SOFA e do APACHE II serão coletadas as seguintes informações: idade, temperatura corporal, frequência cardíaca, frequência respiratória, pH arterial, FiO2, PaO2, presença de ventilação mecânica, co</w:t>
      </w:r>
      <w:r>
        <w:rPr>
          <w:lang w:val="pt-BR"/>
        </w:rPr>
        <w:t>ntagem de plaquetas, bilirrubina, valor obtido no escore de coma de Glasgow, pressão arterial média, administração de vasopressores, sódio, potássio, creatinina, volume urinário, hematócrito e contagem de células brancas sanguíneas.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pStyle w:val="Corpodotexto"/>
        <w:spacing w:line="360" w:lineRule="auto"/>
        <w:rPr>
          <w:u w:val="single"/>
          <w:lang w:val="pt-BR"/>
        </w:rPr>
      </w:pPr>
      <w:r>
        <w:rPr>
          <w:u w:val="single"/>
          <w:lang w:val="pt-BR"/>
        </w:rPr>
        <w:t>Sistema de pontuação p</w:t>
      </w:r>
      <w:r>
        <w:rPr>
          <w:u w:val="single"/>
          <w:lang w:val="pt-BR"/>
        </w:rPr>
        <w:t>ara identificação da CIVD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Alguns testes laboratoriais podem ser utilizados para auxiliar na identificação da CIVD, tais como: contagem de plaqueta, tempo de protrombina (TP), tempo de tromboplastina ativado parcial (TTPa), fibrinogênio, níveis plasmáticos </w:t>
      </w:r>
      <w:r>
        <w:rPr>
          <w:lang w:val="pt-BR"/>
        </w:rPr>
        <w:t>de antitrombina (AT) ou de um ou dois fatores de coagulação e produtos de degradação de fibrina (PDF). Contudo TP e TTPa são úteis para averiguar a evolução da CIVD e monitoramento das medidas terapêuticas (LOBO, 2007).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Não existe um padrão ouro ou teste d</w:t>
      </w:r>
      <w:r>
        <w:rPr>
          <w:lang w:val="pt-BR"/>
        </w:rPr>
        <w:t xml:space="preserve">ireto para diagnosticar a CIVD, sendo recomendado o uso de sistemas de pontuação como o mostrado na tabela I. O sistema de pontuação deve correlacionar observações clínicas e resultados, no entanto, é importante repetir os testes para monitorar a dinâmica </w:t>
      </w:r>
      <w:r>
        <w:rPr>
          <w:lang w:val="pt-BR"/>
        </w:rPr>
        <w:t>com base em resultados laboratoriais e observação clínica. (WADA et al. 2013).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Em 2001, a ISTH e SSC apresentaram um trabalho propondo que a CIVD fosse delineada em duas fases: CIVD não ostensiva (com disfunção hemostática sutil) e CIVD ostensiva (fase des</w:t>
      </w:r>
      <w:r>
        <w:rPr>
          <w:lang w:val="pt-BR"/>
        </w:rPr>
        <w:t>compensada), dessa maneira um sistema de pontuação permitiria a identificação rápida da CIVD e poderia ser utilizado amplamente para fins diagnósticos e terapêuticos (TOH, HOOTS, 2006).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Foi proposto para CIVD ostensiva um sistema de pontuação acumulativo, </w:t>
      </w:r>
      <w:r>
        <w:rPr>
          <w:lang w:val="pt-BR"/>
        </w:rPr>
        <w:t xml:space="preserve">no qual são avaliados tempo de protrombina prolongado (PT), número de plaquetas e fibrinogênio e marcadores relacionados à fibrina (Tabela I). </w:t>
      </w:r>
    </w:p>
    <w:p w:rsidR="00866493" w:rsidRDefault="007A260D">
      <w:pPr>
        <w:pStyle w:val="Corpodo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A identificação da CIVD será feita utilizando critérios estabelecidos pela ISTH em 2001, que são: a presença de </w:t>
      </w:r>
      <w:r>
        <w:rPr>
          <w:lang w:val="pt-BR"/>
        </w:rPr>
        <w:t>uma doença basal (neste caso a sepse) combinado a exames laboratoriais de rotina; contagem de plaqueta (&gt;100.000/mm3 = 0; 50.000-100.000/mm3 = 1; &lt;50.000/mm3 = 2 pontos); D-dímero (&lt;1.000 = 0; 1.000 – 2.000 =1;2.001 –3.000 = 2; &gt;3.000 = 3); INR (&lt;1,17 = 0;</w:t>
      </w:r>
      <w:r>
        <w:rPr>
          <w:lang w:val="pt-BR"/>
        </w:rPr>
        <w:t xml:space="preserve"> 1,17 - 1,75 = 1; &gt;1,75 =2); fibrinogênio (≥100mg/dl = 0; &lt;100 mg/dl = 1).</w:t>
      </w:r>
    </w:p>
    <w:p w:rsidR="00866493" w:rsidRDefault="00866493">
      <w:pPr>
        <w:pStyle w:val="Corpodotexto"/>
        <w:spacing w:line="360" w:lineRule="auto"/>
        <w:rPr>
          <w:lang w:val="pt-BR"/>
        </w:rPr>
      </w:pPr>
    </w:p>
    <w:p w:rsidR="00866493" w:rsidRDefault="007A260D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Tabela 1</w:t>
      </w:r>
      <w:r>
        <w:rPr>
          <w:color w:val="000000"/>
          <w:sz w:val="24"/>
          <w:szCs w:val="24"/>
          <w:lang w:val="pt-BR"/>
        </w:rPr>
        <w:t xml:space="preserve"> - Sistema de Pontuação para Diagnóstico de CIVD</w:t>
      </w:r>
    </w:p>
    <w:tbl>
      <w:tblPr>
        <w:tblW w:w="0" w:type="auto"/>
        <w:tblBorders>
          <w:top w:val="single" w:sz="12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000" w:firstRow="0" w:lastRow="0" w:firstColumn="0" w:lastColumn="0" w:noHBand="0" w:noVBand="0"/>
      </w:tblPr>
      <w:tblGrid>
        <w:gridCol w:w="2659"/>
        <w:gridCol w:w="1275"/>
        <w:gridCol w:w="1842"/>
        <w:gridCol w:w="1560"/>
        <w:gridCol w:w="1724"/>
      </w:tblGrid>
      <w:tr w:rsidR="00866493">
        <w:trPr>
          <w:trHeight w:val="20"/>
        </w:trPr>
        <w:tc>
          <w:tcPr>
            <w:tcW w:w="2659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275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724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3</w:t>
            </w:r>
          </w:p>
        </w:tc>
      </w:tr>
      <w:tr w:rsidR="00866493">
        <w:trPr>
          <w:trHeight w:val="20"/>
        </w:trPr>
        <w:tc>
          <w:tcPr>
            <w:tcW w:w="265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Plaquetas (x10</w:t>
            </w:r>
            <w:r>
              <w:rPr>
                <w:color w:val="000000"/>
                <w:sz w:val="24"/>
                <w:szCs w:val="24"/>
                <w:vertAlign w:val="superscript"/>
                <w:lang w:val="pt-BR"/>
              </w:rPr>
              <w:t>3</w:t>
            </w:r>
            <w:r>
              <w:rPr>
                <w:color w:val="000000"/>
                <w:sz w:val="24"/>
                <w:szCs w:val="24"/>
                <w:lang w:val="pt-BR"/>
              </w:rPr>
              <w:t>/µL)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&gt; 100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100 - 50</w:t>
            </w:r>
          </w:p>
        </w:tc>
        <w:tc>
          <w:tcPr>
            <w:tcW w:w="156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&lt;50</w:t>
            </w:r>
          </w:p>
        </w:tc>
        <w:tc>
          <w:tcPr>
            <w:tcW w:w="172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 w:rsidR="00866493">
        <w:trPr>
          <w:trHeight w:val="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D-dímeros (µg/L)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&lt;1000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1000 - 2000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2001 - 3000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&gt; 3000</w:t>
            </w:r>
          </w:p>
        </w:tc>
      </w:tr>
      <w:tr w:rsidR="00866493">
        <w:trPr>
          <w:trHeight w:val="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INR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&lt;1,17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1,17 – 1,75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&gt;1,75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-</w:t>
            </w:r>
          </w:p>
        </w:tc>
      </w:tr>
      <w:tr w:rsidR="00866493">
        <w:trPr>
          <w:trHeight w:val="20"/>
        </w:trPr>
        <w:tc>
          <w:tcPr>
            <w:tcW w:w="2659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Fibrinogênio (g/L)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≥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&lt;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866493" w:rsidRDefault="007A260D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-</w:t>
            </w:r>
          </w:p>
        </w:tc>
      </w:tr>
    </w:tbl>
    <w:p w:rsidR="00866493" w:rsidRDefault="007A260D">
      <w:pPr>
        <w:tabs>
          <w:tab w:val="left" w:pos="851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≥ 5 pontos: CIVD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Fonte: Adaptado de Lobo (2007)</w:t>
      </w:r>
    </w:p>
    <w:p w:rsidR="00866493" w:rsidRDefault="00866493">
      <w:pPr>
        <w:tabs>
          <w:tab w:val="left" w:pos="851"/>
        </w:tabs>
        <w:spacing w:line="360" w:lineRule="auto"/>
        <w:jc w:val="both"/>
        <w:rPr>
          <w:sz w:val="24"/>
          <w:szCs w:val="24"/>
          <w:lang w:val="pt-BR"/>
        </w:rPr>
      </w:pPr>
    </w:p>
    <w:p w:rsidR="00866493" w:rsidRDefault="007A260D">
      <w:pPr>
        <w:pStyle w:val="Corpodotexto"/>
        <w:spacing w:line="360" w:lineRule="auto"/>
        <w:ind w:left="118" w:right="139"/>
        <w:rPr>
          <w:u w:val="single"/>
          <w:lang w:val="pt-BR"/>
        </w:rPr>
      </w:pPr>
      <w:r>
        <w:rPr>
          <w:u w:val="single"/>
          <w:lang w:val="pt-BR"/>
        </w:rPr>
        <w:t>Considerações éticas</w:t>
      </w:r>
    </w:p>
    <w:p w:rsidR="00866493" w:rsidRDefault="007A260D">
      <w:pPr>
        <w:pStyle w:val="Corpodotexto"/>
        <w:spacing w:line="360" w:lineRule="auto"/>
        <w:ind w:left="118" w:right="117" w:firstLine="851"/>
        <w:jc w:val="both"/>
        <w:rPr>
          <w:lang w:val="pt-BR"/>
        </w:rPr>
      </w:pPr>
      <w:r>
        <w:rPr>
          <w:lang w:val="pt-BR"/>
        </w:rPr>
        <w:t xml:space="preserve">Para realização da pesquisa, será solicitada autorização do responsável pelo UTI do Hospital das Clínicas. Este estudo </w:t>
      </w:r>
      <w:r>
        <w:rPr>
          <w:lang w:val="pt-BR"/>
        </w:rPr>
        <w:t>será submetido ao Comitê de Ética em Pesquisa da Escola de Enfermagem de Ribeirão Preto – USP.</w:t>
      </w:r>
    </w:p>
    <w:p w:rsidR="00866493" w:rsidRDefault="007A260D">
      <w:pPr>
        <w:pStyle w:val="Corpodotexto"/>
        <w:spacing w:line="360" w:lineRule="auto"/>
        <w:ind w:left="118" w:firstLine="851"/>
        <w:rPr>
          <w:lang w:val="pt-BR"/>
        </w:rPr>
      </w:pPr>
      <w:r>
        <w:rPr>
          <w:lang w:val="pt-BR"/>
        </w:rPr>
        <w:t>Este projeto foi elaborado de acordo com as diretrizes contidas na Resolução CNS 466/2012 para o desenvolvimento de pesquisa com seres humanos.</w:t>
      </w:r>
    </w:p>
    <w:p w:rsidR="00866493" w:rsidRDefault="00866493">
      <w:pPr>
        <w:pStyle w:val="Corpodotexto"/>
        <w:spacing w:line="360" w:lineRule="auto"/>
        <w:ind w:firstLine="851"/>
        <w:rPr>
          <w:lang w:val="pt-BR"/>
        </w:rPr>
      </w:pPr>
    </w:p>
    <w:p w:rsidR="00866493" w:rsidRDefault="007A260D">
      <w:pPr>
        <w:pStyle w:val="Corpodotexto"/>
        <w:spacing w:line="360" w:lineRule="auto"/>
        <w:ind w:left="118"/>
        <w:rPr>
          <w:u w:val="single"/>
          <w:lang w:val="pt-BR"/>
        </w:rPr>
      </w:pPr>
      <w:r>
        <w:rPr>
          <w:u w:val="single"/>
          <w:lang w:val="pt-BR"/>
        </w:rPr>
        <w:t xml:space="preserve">Análise </w:t>
      </w:r>
      <w:r>
        <w:rPr>
          <w:u w:val="single"/>
          <w:lang w:val="pt-BR"/>
        </w:rPr>
        <w:t>estatística</w:t>
      </w:r>
    </w:p>
    <w:p w:rsidR="00866493" w:rsidRDefault="007A260D">
      <w:pPr>
        <w:pStyle w:val="Corpodotexto"/>
        <w:spacing w:line="360" w:lineRule="auto"/>
        <w:ind w:left="118" w:right="155" w:firstLine="852"/>
        <w:jc w:val="both"/>
        <w:rPr>
          <w:lang w:val="pt-BR"/>
        </w:rPr>
      </w:pPr>
      <w:r>
        <w:rPr>
          <w:lang w:val="pt-BR"/>
        </w:rPr>
        <w:t>Os dados serão digitados com a técnica de dupla digitação no Microsoft Excel para Windows 2010. Após a validação da planilha, os dados serão importados para o Programa Statistical Package for the Social Sciences (SPSS), versão 17.0. Serão reali</w:t>
      </w:r>
      <w:r>
        <w:rPr>
          <w:lang w:val="pt-BR"/>
        </w:rPr>
        <w:t>zadas análises descritivas de freqüência simples para variáveis nominais ou categóricas, e análise de tendência central (média e mediana) e dispersão (desvio-padrão) para as variáveis contínuas.</w:t>
      </w:r>
    </w:p>
    <w:p w:rsidR="00866493" w:rsidRDefault="00866493">
      <w:pPr>
        <w:pStyle w:val="Corpodotexto"/>
        <w:spacing w:line="360" w:lineRule="auto"/>
        <w:ind w:left="118" w:right="155" w:firstLine="852"/>
        <w:jc w:val="both"/>
        <w:rPr>
          <w:lang w:val="pt-BR"/>
        </w:rPr>
      </w:pPr>
    </w:p>
    <w:p w:rsidR="00866493" w:rsidRDefault="007A260D">
      <w:pPr>
        <w:tabs>
          <w:tab w:val="left" w:pos="539"/>
        </w:tabs>
        <w:spacing w:line="360" w:lineRule="auto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>5. Cronograma de Atividades</w:t>
      </w: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925"/>
        <w:gridCol w:w="1273"/>
        <w:gridCol w:w="1276"/>
        <w:gridCol w:w="1277"/>
        <w:gridCol w:w="1320"/>
      </w:tblGrid>
      <w:tr w:rsidR="00866493">
        <w:trPr>
          <w:trHeight w:hRule="exact" w:val="528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left="1384" w:right="140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Atividades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60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semestre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60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semest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60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semestre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79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semestre</w:t>
            </w:r>
          </w:p>
        </w:tc>
      </w:tr>
      <w:tr w:rsidR="00866493">
        <w:trPr>
          <w:trHeight w:hRule="exact" w:val="528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Encaminhar projeto para o CEP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keepNext/>
              <w:keepLines/>
              <w:spacing w:before="480" w:after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keepNext/>
              <w:keepLines/>
              <w:spacing w:before="480"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keepNext/>
              <w:keepLines/>
              <w:spacing w:before="480" w:after="0"/>
              <w:rPr>
                <w:sz w:val="24"/>
                <w:szCs w:val="24"/>
              </w:rPr>
            </w:pPr>
          </w:p>
        </w:tc>
      </w:tr>
      <w:tr w:rsidR="00866493">
        <w:trPr>
          <w:trHeight w:hRule="exact" w:val="530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da literatura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66493">
        <w:trPr>
          <w:trHeight w:hRule="exact" w:val="528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 das disciplinas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keepNext/>
              <w:keepLines/>
              <w:spacing w:before="480" w:after="0"/>
              <w:jc w:val="center"/>
              <w:rPr>
                <w:sz w:val="24"/>
                <w:szCs w:val="24"/>
              </w:rPr>
            </w:pPr>
          </w:p>
        </w:tc>
      </w:tr>
      <w:tr w:rsidR="00866493">
        <w:trPr>
          <w:trHeight w:hRule="exact" w:val="530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Coleta de dados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keepNext/>
              <w:keepLines/>
              <w:spacing w:before="480" w:after="0"/>
              <w:rPr>
                <w:sz w:val="24"/>
                <w:szCs w:val="24"/>
              </w:rPr>
            </w:pPr>
          </w:p>
        </w:tc>
      </w:tr>
      <w:tr w:rsidR="00866493">
        <w:trPr>
          <w:trHeight w:hRule="exact" w:val="528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Processamento e análise dos dados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keepNext/>
              <w:keepLines/>
              <w:spacing w:before="480" w:after="0"/>
              <w:rPr>
                <w:sz w:val="24"/>
                <w:szCs w:val="24"/>
              </w:rPr>
            </w:pPr>
          </w:p>
        </w:tc>
      </w:tr>
      <w:tr w:rsidR="00866493">
        <w:trPr>
          <w:trHeight w:hRule="exact" w:val="528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da dissertação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66493">
        <w:trPr>
          <w:trHeight w:hRule="exact" w:val="530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de um artigo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66493">
        <w:trPr>
          <w:trHeight w:hRule="exact" w:val="528"/>
        </w:trPr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spacing w:before="49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Defesa da dissertação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8664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866493" w:rsidRDefault="007A260D">
            <w:pPr>
              <w:pStyle w:val="TableParagraph"/>
              <w:ind w:righ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866493" w:rsidRDefault="00866493">
      <w:pPr>
        <w:pStyle w:val="Corpodotexto"/>
        <w:spacing w:line="360" w:lineRule="auto"/>
      </w:pPr>
    </w:p>
    <w:p w:rsidR="00866493" w:rsidRDefault="007A260D">
      <w:pPr>
        <w:pStyle w:val="Corpodotexto"/>
        <w:ind w:right="139"/>
        <w:rPr>
          <w:b/>
          <w:w w:val="105"/>
        </w:rPr>
      </w:pPr>
      <w:r>
        <w:rPr>
          <w:b/>
          <w:w w:val="105"/>
        </w:rPr>
        <w:t>Referências</w:t>
      </w:r>
    </w:p>
    <w:p w:rsidR="00866493" w:rsidRDefault="007A260D">
      <w:pPr>
        <w:pStyle w:val="Corpodotexto"/>
        <w:spacing w:after="0"/>
        <w:contextualSpacing/>
        <w:jc w:val="both"/>
      </w:pPr>
      <w:r>
        <w:t xml:space="preserve">ANGUS, D.C. et al. Epidemiology of severe sepsis in the United States: analysis of incidence, outcome, and associated costs of care. </w:t>
      </w:r>
      <w:r>
        <w:rPr>
          <w:b/>
        </w:rPr>
        <w:t>Critical Care Medicine</w:t>
      </w:r>
      <w:r>
        <w:t>, v.29, n.7, p.1303–1310, 2001.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ASAKURA, H. Classifying types of disseminated intravascular coagulation: clinical and animal models. </w:t>
      </w:r>
      <w:r>
        <w:rPr>
          <w:b/>
        </w:rPr>
        <w:t>Journal Intensive Care</w:t>
      </w:r>
      <w:r>
        <w:t>, v.2, n.20, p.1-7, 2014.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BARNATO, A.E. et al. Influence of race on inpatient treatment intensity at the end of life. </w:t>
      </w:r>
      <w:r>
        <w:rPr>
          <w:b/>
        </w:rPr>
        <w:t xml:space="preserve">Journal of </w:t>
      </w:r>
      <w:r>
        <w:rPr>
          <w:b/>
        </w:rPr>
        <w:t>General Internal Medicine</w:t>
      </w:r>
      <w:r>
        <w:t>, v.22, n.3, p.338-345, 2007.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BLOOS, F.; REINHART, K. Rapid diagnosis of sepsis.</w:t>
      </w:r>
      <w:r>
        <w:rPr>
          <w:b/>
        </w:rPr>
        <w:t>Virulence</w:t>
      </w:r>
      <w:r>
        <w:t>, v.5, n.1, p.154-160, 2014.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BOISCLAIR M.D.; IRELAND H.; LANE D.A. Assessment of hypercoagulable states by measurement of activation fragmen</w:t>
      </w:r>
      <w:r>
        <w:t xml:space="preserve">ts and peptides. </w:t>
      </w:r>
      <w:r>
        <w:rPr>
          <w:b/>
        </w:rPr>
        <w:t>Blood Reviews</w:t>
      </w:r>
      <w:r>
        <w:t>, v.4, n.1, p.25– 40, 1990.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BRASIL. Ministério da Saúde. Banco de dados do Sistema Único de Saúde - DATASUS. Disponívelem: &lt;http://datasus.gov.br&gt;. Acessoem: 24 ago. 2015.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BRASIL. Ministério da Saúde. Portaria MS/GM nº816 de</w:t>
      </w:r>
      <w:r>
        <w:t xml:space="preserve"> 31/05/2005. Constitui o Comitê Gestor Nacional de Protocolos de Assistência, Diretrizes Terapêuticas e Incorporação Tecnológica em Saúde, e dá outras providências. Diário Oficial da União, Brasília, nº 104 de 02 jun. 2005. Disponível em:  &lt;http://dtr2001.</w:t>
      </w:r>
      <w:r>
        <w:t>saude.gov.br/sas/PORTARIAS/Port2005/GM/GM-816&gt;.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CAMELO S.H.H.; Competência profissional do enfermeiro para atuar em Unidades de Terapia Intensiva: uma revisão integrativa. </w:t>
      </w:r>
      <w:r>
        <w:rPr>
          <w:b/>
        </w:rPr>
        <w:t>Rev Latino-Am Enfermagem</w:t>
      </w:r>
      <w:r>
        <w:t xml:space="preserve"> 2012; 20 (1): 1-9.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CASTRO, C.S.; PANTOJA, E.M.S.; LUPSELO</w:t>
      </w:r>
      <w:r>
        <w:t xml:space="preserve">, S.R.; ARGENTA, M.I.; HOFFMANN, A.C.; Fatores que influenciam no cuidado seguro de enfermagem ao paciente. </w:t>
      </w:r>
      <w:r>
        <w:rPr>
          <w:b/>
        </w:rPr>
        <w:t>Revista Eletrônica Estácio Saúde.</w:t>
      </w:r>
      <w:r>
        <w:t xml:space="preserve"> v.7, n.1, 2018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CECCONI, M.; DE BACKER, D.; ANTONELLI, M.; BEALE, R.; BAKKER, J.; HOFER,C. et al. Consensus on cir</w:t>
      </w:r>
      <w:r>
        <w:t xml:space="preserve">culatory shock and hemodynamic monitoring. Task force of the European Society of Intensive Care Medicine. </w:t>
      </w:r>
      <w:r>
        <w:rPr>
          <w:b/>
        </w:rPr>
        <w:t>Intensive Care Med</w:t>
      </w:r>
      <w:r>
        <w:t>.2014; 40(12): 1795-815.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CUNNEEN, J.; CARTWRIGHT, M. The puzzle of sepsis: fitting the pieces of the inflammatory response with tre</w:t>
      </w:r>
      <w:r>
        <w:t xml:space="preserve">atment. </w:t>
      </w:r>
      <w:r>
        <w:rPr>
          <w:b/>
        </w:rPr>
        <w:t>AACN Advanced Critical Care</w:t>
      </w:r>
      <w:r>
        <w:t>, v.15, n.1, p.18-44, 2004.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DELLINGER, R.P. et al. Surviving Sepsis Campaign: international guidelines for management of severe sepsis and septic shock: 2013. </w:t>
      </w:r>
      <w:r>
        <w:rPr>
          <w:b/>
        </w:rPr>
        <w:t>Intensive Care Medicine</w:t>
      </w:r>
      <w:r>
        <w:t>, v.39, n.2, p.17-60, 2013.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ESTADOS U</w:t>
      </w:r>
      <w:r>
        <w:t xml:space="preserve">NIDOS DA AMÉRICA, Department of Health and Human Services. Center </w:t>
      </w:r>
      <w:r>
        <w:rPr>
          <w:b/>
        </w:rPr>
        <w:t>for Disease and Control</w:t>
      </w:r>
      <w:r>
        <w:t xml:space="preserve"> – CDC. Disponívelem: &lt;www.cdc.gov.&gt;Acessadoem: 24 set. 2015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FERREIRA, F.L. et al. Serial evaluation of the SOFA score to predict outcome in critically ill patients. </w:t>
      </w:r>
      <w:r>
        <w:rPr>
          <w:b/>
        </w:rPr>
        <w:t>Jama</w:t>
      </w:r>
      <w:r>
        <w:t>, v.286, n.14, p.1754-8, Oct 10 2001. ISSN0098-7484.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GIL, A.C. Como elaborarprojetos de pesquisa. 4. ed. São Paulo: Atlas: 2007 HO, L.W.W.; KAM, P.C.A.; THONG, C.L. Disseminated intravascular coagulation. </w:t>
      </w:r>
      <w:r>
        <w:rPr>
          <w:b/>
        </w:rPr>
        <w:t>Current Anaesthesia&amp; Critical Care</w:t>
      </w:r>
      <w:r>
        <w:t>, v.16, n.3,</w:t>
      </w:r>
      <w:r>
        <w:t xml:space="preserve"> p.151-161, 2005.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JÚNIOR, J.A.L.S., et al. SepseBrasil: estudoepidemiológico da sepseemunidades de terapiaintensivabrasileiras. </w:t>
      </w:r>
      <w:r>
        <w:rPr>
          <w:b/>
        </w:rPr>
        <w:t>RevistaBrasielira de TerapiaIntensiva</w:t>
      </w:r>
      <w:r>
        <w:t>, v.18, n.1, p.9-17, 2006.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LE MOIGNE F. et al. Determination of myoglobin: comparative evaluation of the new automated VIDAS assay with two other immunoassays. </w:t>
      </w:r>
      <w:r>
        <w:rPr>
          <w:b/>
        </w:rPr>
        <w:t>ClinBichem</w:t>
      </w:r>
      <w:r>
        <w:t>, v.35, p.255-62, 2002.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LEVI M.; DE JONGE E.; MEIJERS J.The diagnosis of disseminated intravascular coagulation.</w:t>
      </w:r>
      <w:r>
        <w:t xml:space="preserve"> </w:t>
      </w:r>
      <w:r>
        <w:rPr>
          <w:b/>
        </w:rPr>
        <w:t>Blood Reviews</w:t>
      </w:r>
      <w:r>
        <w:t>, v.16, p.217–223, 2002.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LEVI, M. Current understanding of disseminated intravascular coagulation. </w:t>
      </w:r>
      <w:r>
        <w:rPr>
          <w:b/>
        </w:rPr>
        <w:t>British Journal of Haematology</w:t>
      </w:r>
      <w:r>
        <w:t>, v.124, n.5, p.567-576, 2004.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LEVI, M. et al. Guidelines for the diagnosis and management of disseminated intr</w:t>
      </w:r>
      <w:r>
        <w:t xml:space="preserve">avascular coagulation. </w:t>
      </w:r>
      <w:r>
        <w:rPr>
          <w:b/>
        </w:rPr>
        <w:t>British Journal of Haematology</w:t>
      </w:r>
      <w:r>
        <w:t>, v.145, n.1, p.24-33, 2009.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LOBO, F.R.M. Perfilprognóstico e diagnóstico de marcadores da Coagulação Intravascular Disseminadaempacientes graves internadosemUnidade de TerapiaIntensiva. Tese </w:t>
      </w:r>
      <w:r>
        <w:t>(Doutorado) – FaculdadeMedicina São José do Rio Preto. 2007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MAYR, F.B.; YENDE, S.; ANGUS, D.C. Epidemiology of severe sepsis. </w:t>
      </w:r>
      <w:r>
        <w:rPr>
          <w:b/>
        </w:rPr>
        <w:t>Virulence</w:t>
      </w:r>
      <w:r>
        <w:t>, v.5, n.1, p.4-11, 2014.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MORAES, C.L.K.; BASTIANI, J.; SILVA, B.C.; Reflexões sobre a sistematização da assitência de </w:t>
      </w:r>
      <w:r>
        <w:t>enfermagem e o prontuário eletrônico. Revista Uningá. v.41, n.1, jan. 2018. ISSN 2318 - 0579. Disponível em: &lt;http://revista.uninga.br/index.php/uninga/article/view/1174&gt;. Acesso em: 03 ago. 2018.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POLIT, D.F. </w:t>
      </w:r>
      <w:r>
        <w:rPr>
          <w:b/>
        </w:rPr>
        <w:t>Fundamentos da pesquisaemenfermagem:</w:t>
      </w:r>
      <w:r>
        <w:t>métodos, a</w:t>
      </w:r>
      <w:r>
        <w:t>valiações e utilização. 7. ed. Porto Alegre: Artmed, 2011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SAKR, Y. et al. The influence of gender on the epidemiology of and outcome from severe sepsis. </w:t>
      </w:r>
      <w:r>
        <w:rPr>
          <w:b/>
        </w:rPr>
        <w:t>Critical Care</w:t>
      </w:r>
      <w:r>
        <w:t>. v.17, n.2, R50. 2013.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SCHOUTEN, M. et al..Inflammation, endothelium, and coagulation i</w:t>
      </w:r>
      <w:r>
        <w:t xml:space="preserve">n sepsis. </w:t>
      </w:r>
      <w:r>
        <w:rPr>
          <w:b/>
        </w:rPr>
        <w:t>Journal of Leukocyte Biology</w:t>
      </w:r>
      <w:r>
        <w:t>, v.83, n.3, p.536-545, 2008.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SEMERARO, N. et al. Sepsis-associated disseminated intravascular coagulation and thromboembolic disease. </w:t>
      </w:r>
      <w:r>
        <w:rPr>
          <w:b/>
        </w:rPr>
        <w:t>Mediterranean Journal of Hematology andInfectiousDiseases</w:t>
      </w:r>
      <w:r>
        <w:t xml:space="preserve">. v.2, n.3, p.1590-1593, </w:t>
      </w:r>
      <w:r>
        <w:t>2010.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SHANKAR-HARI M, PHILLIPS, G.S.; LEVY, M.L.; SEYMOUR, C.W.; LIU, V.X.; DEUTSCHMAN, C.S.; ANGUS, D.C.; RUBENFELD, G.D.; SINGER, M. Sepsis Definitions Task Force. Developing a New Definition and Assessing New Clinical Criteria for Septic Shock: For the</w:t>
      </w:r>
      <w:r>
        <w:t xml:space="preserve"> Third International Consensus Definitions for Sepsis and Septic Shock (Sepsis-3). JAMA. 2016; 315(8):775-87.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SINGER, M,.; DEUTSCHMAN, C. S.; SEYMOUR, C.W.; SHANKAR-HARI, M.; ANNANE, D.; BAUER, M. et al. The Third International Consensus Definitions for S</w:t>
      </w:r>
      <w:r>
        <w:t>epsis and Septic Shock (Sepsis-3). JAMA. 2016; 315(8):801-10.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SINGER, Mervyn et al. The third international consensus definitions for sepsis and septic shock (sepsis-3). Jama, </w:t>
      </w:r>
      <w:r>
        <w:rPr>
          <w:b/>
        </w:rPr>
        <w:t>American Medical Association</w:t>
      </w:r>
      <w:r>
        <w:t>, v.315, n.8, p.801–810, 2016.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SMITH O.P. et al. Use of protein-C concentrate, heparin, and haemodiafiltration in meningococcus-induced purpurafulminans. </w:t>
      </w:r>
      <w:r>
        <w:rPr>
          <w:b/>
        </w:rPr>
        <w:t>The Lancet</w:t>
      </w:r>
      <w:r>
        <w:t>, v.350, n.9091, p.1590-1593, 1997.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TAYLOR F.B. et al. Towards a definition, clinical and laboratory criteria, and a scori</w:t>
      </w:r>
      <w:r>
        <w:t xml:space="preserve">ng system for disseminated intravascular coagulation. </w:t>
      </w:r>
      <w:r>
        <w:rPr>
          <w:b/>
        </w:rPr>
        <w:t>Thrombosis and Haemostasis</w:t>
      </w:r>
      <w:r>
        <w:t>, v.86, n.5, p.1327-1330, 2001.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TOH, C.H.; HOOTS, W.K. The scoring system of the Scientific and Standardisation Committee on Disseminated Intravascular Coagulation of the Inte</w:t>
      </w:r>
      <w:r>
        <w:t xml:space="preserve">rnational Society on Thrombosis and Haemostasis: a 5‐year overview1. </w:t>
      </w:r>
      <w:r>
        <w:rPr>
          <w:b/>
        </w:rPr>
        <w:t>Journal of Thrombosis and Haemostasis</w:t>
      </w:r>
      <w:r>
        <w:t>, v.5, n.3, p.604-606, 2007.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 xml:space="preserve">WADA H. et al. Guidance for diagnosis and treatment of disseminated intravascular coagulation from harmonization of the </w:t>
      </w:r>
      <w:r>
        <w:t xml:space="preserve">recommendations from three guidelines. </w:t>
      </w:r>
      <w:r>
        <w:rPr>
          <w:b/>
        </w:rPr>
        <w:t>Journal of Thrombosis and Haemostasis</w:t>
      </w:r>
      <w:r>
        <w:t>, v.11, n.4, p.761–76</w:t>
      </w:r>
    </w:p>
    <w:p w:rsidR="00866493" w:rsidRDefault="00866493">
      <w:pPr>
        <w:pStyle w:val="Corpodotexto"/>
        <w:spacing w:after="0"/>
        <w:contextualSpacing/>
        <w:jc w:val="both"/>
      </w:pPr>
    </w:p>
    <w:p w:rsidR="00866493" w:rsidRDefault="007A260D">
      <w:pPr>
        <w:pStyle w:val="Corpodotexto"/>
        <w:spacing w:after="0"/>
        <w:contextualSpacing/>
        <w:jc w:val="both"/>
      </w:pPr>
      <w:r>
        <w:t>Silva APRM &amp; Souza HV. Sepse: importância da identificaçãoprecocepelaenfermagem. RevistaPró-UniverSUS. 2018 Jan./Jun.; 09 (1): 97-100.</w:t>
      </w:r>
    </w:p>
    <w:p w:rsidR="00866493" w:rsidRDefault="00866493">
      <w:pPr>
        <w:pStyle w:val="Corpodotexto"/>
        <w:jc w:val="both"/>
      </w:pPr>
    </w:p>
    <w:p w:rsidR="00866493" w:rsidRDefault="007A260D">
      <w:pPr>
        <w:pStyle w:val="Corpodotexto"/>
        <w:ind w:right="647"/>
        <w:jc w:val="both"/>
      </w:pPr>
      <w:r>
        <w:t>BRASIL. Conselho Fede</w:t>
      </w:r>
      <w:r>
        <w:t>ral de Enfermagem. Resolução COFEN nº 358, de 15 de outubro de 2009. Dispõesobre a Sistematização da Assistência de Enfermagem e a implementação do Processo de Enfermagememambientes, públicosouprivados, emqueocorre o cuidadoprofissional de Enfermagem, e dá</w:t>
      </w:r>
      <w:r>
        <w:t>outrasprovidências. 2016</w:t>
      </w:r>
    </w:p>
    <w:sectPr w:rsidR="00866493">
      <w:pgSz w:w="11906" w:h="16838"/>
      <w:pgMar w:top="1701" w:right="1134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BA4"/>
    <w:multiLevelType w:val="multilevel"/>
    <w:tmpl w:val="7AC43A22"/>
    <w:lvl w:ilvl="0">
      <w:start w:val="1"/>
      <w:numFmt w:val="decimal"/>
      <w:lvlText w:val="%1."/>
      <w:lvlJc w:val="left"/>
      <w:pPr>
        <w:ind w:left="299" w:hanging="181"/>
      </w:pPr>
      <w:rPr>
        <w:w w:val="1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838" w:hanging="360"/>
      </w:pPr>
      <w:rPr>
        <w:rFonts w:ascii="Times New Roman" w:hAnsi="Times New Roman" w:cs="Times New Roman" w:hint="default"/>
        <w:w w:val="59"/>
        <w:sz w:val="24"/>
        <w:szCs w:val="24"/>
      </w:rPr>
    </w:lvl>
    <w:lvl w:ilvl="3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87" w:hanging="360"/>
      </w:pPr>
      <w:rPr>
        <w:rFonts w:ascii="Symbol" w:hAnsi="Symbol" w:cs="Symbol" w:hint="default"/>
      </w:rPr>
    </w:lvl>
  </w:abstractNum>
  <w:abstractNum w:abstractNumId="1" w15:restartNumberingAfterBreak="0">
    <w:nsid w:val="3EF15E2F"/>
    <w:multiLevelType w:val="multilevel"/>
    <w:tmpl w:val="012AE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9E34032"/>
    <w:multiLevelType w:val="multilevel"/>
    <w:tmpl w:val="F2D0D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F3B57B2"/>
    <w:multiLevelType w:val="multilevel"/>
    <w:tmpl w:val="121C2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93"/>
    <w:rsid w:val="007A260D"/>
    <w:rsid w:val="008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B79C-20AE-4C7F-A157-4B04806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59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spacing w:before="148" w:after="0"/>
      <w:ind w:left="838" w:hanging="360"/>
    </w:pPr>
  </w:style>
  <w:style w:type="paragraph" w:customStyle="1" w:styleId="TableParagraph">
    <w:name w:val="Table Paragraph"/>
    <w:basedOn w:val="Normal"/>
    <w:pPr>
      <w:spacing w:before="54" w:after="0"/>
    </w:p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viso">
    <w:name w:val="Revision"/>
    <w:pPr>
      <w:suppressAutoHyphens/>
    </w:pPr>
    <w:rPr>
      <w:rFonts w:ascii="Times New Roman" w:eastAsia="Times New Roman" w:hAnsi="Times New Roman" w:cs="Times New Roman"/>
      <w:lang w:val="en-US" w:eastAsia="en-US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4533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Projeto IGOR 28 09 2015.docx</vt:lpstr>
    </vt:vector>
  </TitlesOfParts>
  <Company/>
  <LinksUpToDate>false</LinksUpToDate>
  <CharactersWithSpaces>28957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Projeto IGOR 28 09 2015.docx</dc:title>
  <dc:creator>LeandroDonizetiMazar</dc:creator>
  <cp:lastModifiedBy>User</cp:lastModifiedBy>
  <cp:revision>2</cp:revision>
  <dcterms:created xsi:type="dcterms:W3CDTF">2018-08-27T18:03:00Z</dcterms:created>
  <dcterms:modified xsi:type="dcterms:W3CDTF">2018-08-27T18:03:00Z</dcterms:modified>
</cp:coreProperties>
</file>