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A0" w:rsidRPr="00D204A0" w:rsidRDefault="00D204A0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center"/>
        <w:rPr>
          <w:b/>
          <w:sz w:val="22"/>
          <w:szCs w:val="22"/>
          <w:lang w:val="pt-BR"/>
        </w:rPr>
      </w:pPr>
      <w:r w:rsidRPr="00D204A0">
        <w:rPr>
          <w:b/>
          <w:sz w:val="22"/>
          <w:szCs w:val="22"/>
          <w:lang w:val="pt-BR"/>
        </w:rPr>
        <w:t>DISCIPLINA: PODER ECONÔMICO E ÉTICA EMPRESARIAL: INTERFACES ENTRE DEFESA DA CONCORRÊNCIA E COMBATE À CORRUPÇÃO</w:t>
      </w:r>
    </w:p>
    <w:p w:rsidR="00D204A0" w:rsidRPr="00D204A0" w:rsidRDefault="00D204A0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center"/>
        <w:rPr>
          <w:b/>
          <w:sz w:val="22"/>
          <w:szCs w:val="22"/>
          <w:lang w:val="pt-BR"/>
        </w:rPr>
      </w:pPr>
    </w:p>
    <w:p w:rsidR="00D204A0" w:rsidRPr="00D204A0" w:rsidRDefault="00D204A0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center"/>
        <w:rPr>
          <w:b/>
          <w:sz w:val="22"/>
          <w:szCs w:val="22"/>
          <w:lang w:val="pt-BR"/>
        </w:rPr>
      </w:pPr>
      <w:r w:rsidRPr="00D204A0">
        <w:rPr>
          <w:b/>
          <w:sz w:val="22"/>
          <w:szCs w:val="22"/>
          <w:lang w:val="pt-BR"/>
        </w:rPr>
        <w:t>PROFESSOR DOUTOR VINICIUS MARQUES DE CARVALHO</w:t>
      </w:r>
    </w:p>
    <w:p w:rsidR="00D204A0" w:rsidRPr="00D204A0" w:rsidRDefault="00D204A0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center"/>
        <w:rPr>
          <w:b/>
          <w:sz w:val="22"/>
          <w:szCs w:val="22"/>
          <w:lang w:val="pt-BR"/>
        </w:rPr>
      </w:pPr>
      <w:r w:rsidRPr="00D204A0">
        <w:rPr>
          <w:b/>
          <w:sz w:val="22"/>
          <w:szCs w:val="22"/>
          <w:lang w:val="pt-BR"/>
        </w:rPr>
        <w:t>PROFESSOR CONVIDADO CAIO FARAH RODRIGUEZ</w:t>
      </w:r>
    </w:p>
    <w:p w:rsidR="00D204A0" w:rsidRPr="00D204A0" w:rsidRDefault="00D204A0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center"/>
        <w:rPr>
          <w:b/>
          <w:sz w:val="22"/>
          <w:szCs w:val="22"/>
          <w:lang w:val="pt-BR"/>
        </w:rPr>
      </w:pPr>
    </w:p>
    <w:p w:rsidR="00270F03" w:rsidRPr="00D204A0" w:rsidRDefault="00D204A0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center"/>
        <w:rPr>
          <w:b/>
          <w:sz w:val="22"/>
          <w:szCs w:val="22"/>
          <w:lang w:val="pt-BR"/>
        </w:rPr>
      </w:pPr>
      <w:r w:rsidRPr="00D204A0">
        <w:rPr>
          <w:b/>
          <w:sz w:val="22"/>
          <w:szCs w:val="22"/>
          <w:lang w:val="pt-BR"/>
        </w:rPr>
        <w:t>AULA 2 - NOÇÕES TEÓRICAS SOBRE DEFESA DA CONCORRÊNCIA E SEUS OBJETIVOS (20/08)</w:t>
      </w:r>
    </w:p>
    <w:p w:rsidR="00C33C60" w:rsidRPr="00D204A0" w:rsidRDefault="00C33C60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b/>
          <w:bCs/>
          <w:sz w:val="22"/>
          <w:szCs w:val="22"/>
          <w:u w:val="single"/>
          <w:lang w:val="pt-BR"/>
        </w:rPr>
      </w:pPr>
    </w:p>
    <w:p w:rsidR="00D204A0" w:rsidRPr="00D204A0" w:rsidRDefault="00D204A0" w:rsidP="00D204A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b/>
          <w:sz w:val="22"/>
          <w:szCs w:val="22"/>
          <w:lang w:val="pt-BR"/>
        </w:rPr>
      </w:pPr>
      <w:r w:rsidRPr="00D204A0">
        <w:rPr>
          <w:b/>
          <w:sz w:val="22"/>
          <w:szCs w:val="22"/>
          <w:lang w:val="pt-BR"/>
        </w:rPr>
        <w:t>Aluno responsável</w:t>
      </w:r>
      <w:r w:rsidR="00966E7F">
        <w:rPr>
          <w:b/>
          <w:sz w:val="22"/>
          <w:szCs w:val="22"/>
          <w:lang w:val="pt-BR"/>
        </w:rPr>
        <w:t xml:space="preserve"> pelo </w:t>
      </w:r>
      <w:r w:rsidR="008D3B2F">
        <w:rPr>
          <w:b/>
          <w:sz w:val="22"/>
          <w:szCs w:val="22"/>
          <w:lang w:val="pt-BR"/>
        </w:rPr>
        <w:t>artigo de reação</w:t>
      </w:r>
      <w:r w:rsidRPr="00D204A0">
        <w:rPr>
          <w:b/>
          <w:sz w:val="22"/>
          <w:szCs w:val="22"/>
          <w:lang w:val="pt-BR"/>
        </w:rPr>
        <w:t>: Rafael Szmid (</w:t>
      </w:r>
      <w:r w:rsidRPr="00D204A0">
        <w:rPr>
          <w:b/>
          <w:i/>
          <w:sz w:val="22"/>
          <w:szCs w:val="22"/>
          <w:lang w:val="pt-BR"/>
        </w:rPr>
        <w:t>rafael.szmid@gmail.com</w:t>
      </w:r>
      <w:r w:rsidRPr="00D204A0">
        <w:rPr>
          <w:b/>
          <w:sz w:val="22"/>
          <w:szCs w:val="22"/>
          <w:lang w:val="pt-BR"/>
        </w:rPr>
        <w:t>)</w:t>
      </w:r>
    </w:p>
    <w:p w:rsidR="00D204A0" w:rsidRPr="00D204A0" w:rsidRDefault="00D204A0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b/>
          <w:bCs/>
          <w:sz w:val="22"/>
          <w:szCs w:val="22"/>
          <w:u w:val="single"/>
          <w:lang w:val="pt-BR"/>
        </w:rPr>
      </w:pPr>
    </w:p>
    <w:p w:rsidR="008C02CF" w:rsidRPr="00D204A0" w:rsidRDefault="008C02CF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  <w:r w:rsidRPr="00D204A0">
        <w:rPr>
          <w:b/>
          <w:bCs/>
          <w:sz w:val="22"/>
          <w:szCs w:val="22"/>
          <w:u w:val="single"/>
          <w:lang w:val="pt-BR"/>
        </w:rPr>
        <w:t>Leitura Obrigatória</w:t>
      </w:r>
      <w:r w:rsidRPr="00D204A0">
        <w:rPr>
          <w:b/>
          <w:bCs/>
          <w:sz w:val="22"/>
          <w:szCs w:val="22"/>
          <w:lang w:val="pt-BR"/>
        </w:rPr>
        <w:t>:</w:t>
      </w:r>
    </w:p>
    <w:p w:rsidR="008C02CF" w:rsidRPr="00D204A0" w:rsidRDefault="008C02CF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</w:rPr>
      </w:pPr>
      <w:r w:rsidRPr="00D204A0">
        <w:rPr>
          <w:sz w:val="22"/>
          <w:szCs w:val="22"/>
          <w:lang w:val="pt-BR"/>
        </w:rPr>
        <w:t>SALOMÃO FILHO, C. </w:t>
      </w:r>
      <w:r w:rsidRPr="00D204A0">
        <w:rPr>
          <w:i/>
          <w:iCs/>
          <w:sz w:val="22"/>
          <w:szCs w:val="22"/>
          <w:lang w:val="pt-BR"/>
        </w:rPr>
        <w:t>Direito Concorrencial</w:t>
      </w:r>
      <w:r w:rsidRPr="00D204A0">
        <w:rPr>
          <w:sz w:val="22"/>
          <w:szCs w:val="22"/>
          <w:lang w:val="pt-BR"/>
        </w:rPr>
        <w:t xml:space="preserve">. </w:t>
      </w:r>
      <w:r w:rsidRPr="00D204A0">
        <w:rPr>
          <w:sz w:val="22"/>
          <w:szCs w:val="22"/>
        </w:rPr>
        <w:t>São Paulo: Malheiros, 2013, pp. 76-121. </w:t>
      </w:r>
    </w:p>
    <w:p w:rsidR="008C02CF" w:rsidRPr="00D204A0" w:rsidRDefault="008C02CF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</w:rPr>
      </w:pPr>
      <w:r w:rsidRPr="00D204A0">
        <w:rPr>
          <w:sz w:val="22"/>
          <w:szCs w:val="22"/>
        </w:rPr>
        <w:t>PITOFSKY, R. </w:t>
      </w:r>
      <w:r w:rsidRPr="00D204A0">
        <w:rPr>
          <w:i/>
          <w:iCs/>
          <w:sz w:val="22"/>
          <w:szCs w:val="22"/>
        </w:rPr>
        <w:t>The Political Content of Antitrust</w:t>
      </w:r>
      <w:r w:rsidRPr="00D204A0">
        <w:rPr>
          <w:sz w:val="22"/>
          <w:szCs w:val="22"/>
        </w:rPr>
        <w:t>. University of Pennsylvania Law Review, vol. 127, no. 4, April 1979.</w:t>
      </w:r>
    </w:p>
    <w:p w:rsidR="008C02CF" w:rsidRPr="00D204A0" w:rsidRDefault="008C02CF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  <w:r w:rsidRPr="00D204A0">
        <w:rPr>
          <w:sz w:val="22"/>
          <w:szCs w:val="22"/>
        </w:rPr>
        <w:t>WRIGHT, J. &amp; GINSBURG, D. </w:t>
      </w:r>
      <w:r w:rsidRPr="00D204A0">
        <w:rPr>
          <w:i/>
          <w:iCs/>
          <w:sz w:val="22"/>
          <w:szCs w:val="22"/>
        </w:rPr>
        <w:t>The Goals of Antitrust: Welfare Trumps Choice</w:t>
      </w:r>
      <w:r w:rsidRPr="00D204A0">
        <w:rPr>
          <w:sz w:val="22"/>
          <w:szCs w:val="22"/>
        </w:rPr>
        <w:t xml:space="preserve">. </w:t>
      </w:r>
      <w:r w:rsidRPr="00D204A0">
        <w:rPr>
          <w:sz w:val="22"/>
          <w:szCs w:val="22"/>
          <w:lang w:val="pt-BR"/>
        </w:rPr>
        <w:t>Fordham Law Review, vol. 81(5), 2013, pp. 2405-2423. </w:t>
      </w:r>
    </w:p>
    <w:p w:rsidR="008C02CF" w:rsidRPr="00D204A0" w:rsidRDefault="008C02CF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b/>
          <w:sz w:val="22"/>
          <w:szCs w:val="22"/>
          <w:lang w:val="pt-BR"/>
        </w:rPr>
      </w:pPr>
      <w:r w:rsidRPr="00D204A0">
        <w:rPr>
          <w:b/>
          <w:bCs/>
          <w:sz w:val="22"/>
          <w:szCs w:val="22"/>
          <w:u w:val="single"/>
          <w:lang w:val="pt-BR"/>
        </w:rPr>
        <w:t>Leitura Complementar</w:t>
      </w:r>
      <w:r w:rsidRPr="00D204A0">
        <w:rPr>
          <w:b/>
          <w:sz w:val="22"/>
          <w:szCs w:val="22"/>
          <w:lang w:val="pt-BR"/>
        </w:rPr>
        <w:t xml:space="preserve">: </w:t>
      </w:r>
    </w:p>
    <w:p w:rsidR="008C02CF" w:rsidRPr="00D204A0" w:rsidRDefault="008C02CF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  <w:r w:rsidRPr="00D204A0">
        <w:rPr>
          <w:sz w:val="22"/>
          <w:szCs w:val="22"/>
          <w:lang w:val="pt-BR"/>
        </w:rPr>
        <w:t>CARVALHO. Vinícius Marques de. Aspectos históricos da defesa da concorrência. In: CORDOVIL, Leonor et al. Nova Lei de defesa da concorrência comentada: Lei 12.529, de 30 de novembro de 2011. São Paulo: Revista dos Tribunais, 2011, pp. 13-44.</w:t>
      </w:r>
    </w:p>
    <w:p w:rsidR="000C551F" w:rsidRPr="00D204A0" w:rsidRDefault="000C551F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</w:p>
    <w:p w:rsidR="00590CF1" w:rsidRPr="00D204A0" w:rsidRDefault="00590CF1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</w:p>
    <w:p w:rsidR="00D204A0" w:rsidRPr="00D204A0" w:rsidRDefault="00590CF1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center"/>
        <w:rPr>
          <w:sz w:val="22"/>
          <w:szCs w:val="22"/>
          <w:lang w:val="pt-BR"/>
        </w:rPr>
      </w:pPr>
      <w:r w:rsidRPr="00D204A0">
        <w:rPr>
          <w:sz w:val="22"/>
          <w:szCs w:val="22"/>
          <w:lang w:val="pt-BR"/>
        </w:rPr>
        <w:t>*    *    *</w:t>
      </w:r>
    </w:p>
    <w:p w:rsidR="00D204A0" w:rsidRPr="00D204A0" w:rsidRDefault="00D204A0">
      <w:pPr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lang w:val="pt-BR"/>
        </w:rPr>
        <w:br w:type="page"/>
      </w:r>
    </w:p>
    <w:p w:rsidR="008C02CF" w:rsidRPr="00D204A0" w:rsidRDefault="00D204A0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center"/>
        <w:rPr>
          <w:sz w:val="22"/>
          <w:szCs w:val="22"/>
          <w:lang w:val="pt-BR"/>
        </w:rPr>
      </w:pPr>
      <w:r w:rsidRPr="00D204A0">
        <w:rPr>
          <w:b/>
          <w:sz w:val="22"/>
          <w:szCs w:val="22"/>
          <w:u w:val="single"/>
          <w:lang w:val="pt-BR"/>
        </w:rPr>
        <w:lastRenderedPageBreak/>
        <w:t>ARTIGO DE REAÇÃO</w:t>
      </w:r>
      <w:r w:rsidRPr="00D204A0">
        <w:rPr>
          <w:sz w:val="22"/>
          <w:szCs w:val="22"/>
          <w:lang w:val="pt-BR"/>
        </w:rPr>
        <w:t>:</w:t>
      </w:r>
    </w:p>
    <w:p w:rsidR="00D204A0" w:rsidRPr="00D204A0" w:rsidRDefault="00D204A0" w:rsidP="00614C49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</w:p>
    <w:p w:rsidR="001F7282" w:rsidRPr="00D204A0" w:rsidRDefault="00B22695" w:rsidP="00614C49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  <w:r w:rsidRPr="00D204A0">
        <w:rPr>
          <w:sz w:val="22"/>
          <w:szCs w:val="22"/>
          <w:lang w:val="pt-BR"/>
        </w:rPr>
        <w:t>Como foi possível notar</w:t>
      </w:r>
      <w:r w:rsidR="00614C49" w:rsidRPr="00D204A0">
        <w:rPr>
          <w:sz w:val="22"/>
          <w:szCs w:val="22"/>
          <w:lang w:val="pt-BR"/>
        </w:rPr>
        <w:t xml:space="preserve"> dos textos propostos</w:t>
      </w:r>
      <w:r w:rsidRPr="00D204A0">
        <w:rPr>
          <w:sz w:val="22"/>
          <w:szCs w:val="22"/>
          <w:lang w:val="pt-BR"/>
        </w:rPr>
        <w:t>, a</w:t>
      </w:r>
      <w:r w:rsidR="003B5D56" w:rsidRPr="00D204A0">
        <w:rPr>
          <w:sz w:val="22"/>
          <w:szCs w:val="22"/>
          <w:lang w:val="pt-BR"/>
        </w:rPr>
        <w:t xml:space="preserve"> definição teórica </w:t>
      </w:r>
      <w:r w:rsidR="00CF4F55" w:rsidRPr="00D204A0">
        <w:rPr>
          <w:sz w:val="22"/>
          <w:szCs w:val="22"/>
          <w:lang w:val="pt-BR"/>
        </w:rPr>
        <w:t xml:space="preserve">sobre “defesa da concorrência” e quais seriam os seus objetivos varia de forma significativa de jurisdição para jurisdição e de momento histórico para momento histórico. </w:t>
      </w:r>
      <w:r w:rsidR="00192659" w:rsidRPr="00D204A0">
        <w:rPr>
          <w:sz w:val="22"/>
          <w:szCs w:val="22"/>
          <w:lang w:val="pt-BR"/>
        </w:rPr>
        <w:t>Poderíamos, inclusive, falar que a defesa da concorrência pode ser “um dos objetivos”, “o principal objetivo” ou o “único objetivo”</w:t>
      </w:r>
      <w:r w:rsidR="003D6712" w:rsidRPr="00D204A0">
        <w:rPr>
          <w:sz w:val="22"/>
          <w:szCs w:val="22"/>
          <w:lang w:val="pt-BR"/>
        </w:rPr>
        <w:t xml:space="preserve"> do </w:t>
      </w:r>
      <w:r w:rsidR="003748D9" w:rsidRPr="00D204A0">
        <w:rPr>
          <w:sz w:val="22"/>
          <w:szCs w:val="22"/>
          <w:lang w:val="pt-BR"/>
        </w:rPr>
        <w:t>“</w:t>
      </w:r>
      <w:r w:rsidR="003D6712" w:rsidRPr="00D204A0">
        <w:rPr>
          <w:sz w:val="22"/>
          <w:szCs w:val="22"/>
          <w:lang w:val="pt-BR"/>
        </w:rPr>
        <w:t>direito da concorrência</w:t>
      </w:r>
      <w:r w:rsidR="003748D9" w:rsidRPr="00D204A0">
        <w:rPr>
          <w:sz w:val="22"/>
          <w:szCs w:val="22"/>
          <w:lang w:val="pt-BR"/>
        </w:rPr>
        <w:t>”</w:t>
      </w:r>
      <w:r w:rsidR="003D6712" w:rsidRPr="00D204A0">
        <w:rPr>
          <w:sz w:val="22"/>
          <w:szCs w:val="22"/>
          <w:lang w:val="pt-BR"/>
        </w:rPr>
        <w:t xml:space="preserve">. </w:t>
      </w:r>
      <w:r w:rsidR="001F7282" w:rsidRPr="00D204A0">
        <w:rPr>
          <w:sz w:val="22"/>
          <w:szCs w:val="22"/>
          <w:lang w:val="pt-BR"/>
        </w:rPr>
        <w:t>De fato, o</w:t>
      </w:r>
      <w:r w:rsidR="00BB5DE6" w:rsidRPr="00D204A0">
        <w:rPr>
          <w:sz w:val="22"/>
          <w:szCs w:val="22"/>
          <w:lang w:val="pt-BR"/>
        </w:rPr>
        <w:t xml:space="preserve"> objetivo</w:t>
      </w:r>
      <w:r w:rsidR="001F7282" w:rsidRPr="00D204A0">
        <w:rPr>
          <w:sz w:val="22"/>
          <w:szCs w:val="22"/>
          <w:lang w:val="pt-BR"/>
        </w:rPr>
        <w:t xml:space="preserve"> da defesa da concorrência</w:t>
      </w:r>
      <w:r w:rsidR="00BB5DE6" w:rsidRPr="00D204A0">
        <w:rPr>
          <w:sz w:val="22"/>
          <w:szCs w:val="22"/>
          <w:lang w:val="pt-BR"/>
        </w:rPr>
        <w:t xml:space="preserve"> varia a depender do tipo de Estado. </w:t>
      </w:r>
      <w:r w:rsidR="001F7282" w:rsidRPr="00D204A0">
        <w:rPr>
          <w:sz w:val="22"/>
          <w:szCs w:val="22"/>
          <w:lang w:val="pt-BR"/>
        </w:rPr>
        <w:t xml:space="preserve">Pode-se defender a </w:t>
      </w:r>
      <w:r w:rsidR="00051367">
        <w:rPr>
          <w:sz w:val="22"/>
          <w:szCs w:val="22"/>
          <w:lang w:val="pt-BR"/>
        </w:rPr>
        <w:t>concorrência como um fim em si mesmo ou</w:t>
      </w:r>
      <w:r w:rsidR="001F7282" w:rsidRPr="00D204A0">
        <w:rPr>
          <w:sz w:val="22"/>
          <w:szCs w:val="22"/>
          <w:lang w:val="pt-BR"/>
        </w:rPr>
        <w:t xml:space="preserve"> para proteger o consumidor, para proteger as empresas, para proteger a indústria </w:t>
      </w:r>
      <w:r w:rsidR="00051367">
        <w:rPr>
          <w:sz w:val="22"/>
          <w:szCs w:val="22"/>
          <w:lang w:val="pt-BR"/>
        </w:rPr>
        <w:t>nacional</w:t>
      </w:r>
      <w:r w:rsidR="001F7282" w:rsidRPr="00D204A0">
        <w:rPr>
          <w:sz w:val="22"/>
          <w:szCs w:val="22"/>
          <w:lang w:val="pt-BR"/>
        </w:rPr>
        <w:t>, para proteg</w:t>
      </w:r>
      <w:r w:rsidR="00915503">
        <w:rPr>
          <w:sz w:val="22"/>
          <w:szCs w:val="22"/>
          <w:lang w:val="pt-BR"/>
        </w:rPr>
        <w:t>er o pequeno e médio empresário,</w:t>
      </w:r>
      <w:r w:rsidR="001F7282" w:rsidRPr="00D204A0">
        <w:rPr>
          <w:sz w:val="22"/>
          <w:szCs w:val="22"/>
          <w:lang w:val="pt-BR"/>
        </w:rPr>
        <w:t xml:space="preserve"> </w:t>
      </w:r>
      <w:r w:rsidR="00051367">
        <w:rPr>
          <w:sz w:val="22"/>
          <w:szCs w:val="22"/>
          <w:lang w:val="pt-BR"/>
        </w:rPr>
        <w:t xml:space="preserve">para proteger o emprego, </w:t>
      </w:r>
      <w:r w:rsidR="001F7282" w:rsidRPr="00D204A0">
        <w:rPr>
          <w:sz w:val="22"/>
          <w:szCs w:val="22"/>
          <w:lang w:val="pt-BR"/>
        </w:rPr>
        <w:t>etc.</w:t>
      </w:r>
    </w:p>
    <w:p w:rsidR="003748D9" w:rsidRPr="00D204A0" w:rsidRDefault="001F7282" w:rsidP="00C33C60">
      <w:pPr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lang w:val="pt-BR"/>
        </w:rPr>
        <w:t xml:space="preserve">A título de exemplo, a Constituição Federal </w:t>
      </w:r>
      <w:r w:rsidR="00614C49" w:rsidRPr="00D204A0">
        <w:rPr>
          <w:rFonts w:ascii="Times New Roman" w:hAnsi="Times New Roman" w:cs="Times New Roman"/>
          <w:lang w:val="pt-BR"/>
        </w:rPr>
        <w:t xml:space="preserve">do Brasil </w:t>
      </w:r>
      <w:r w:rsidRPr="00D204A0">
        <w:rPr>
          <w:rFonts w:ascii="Times New Roman" w:hAnsi="Times New Roman" w:cs="Times New Roman"/>
          <w:lang w:val="pt-BR"/>
        </w:rPr>
        <w:t>(art. 170) dispõe que a livre concorrência (inc. IV) é um princípio da ordem econômica</w:t>
      </w:r>
      <w:r w:rsidR="00051367">
        <w:rPr>
          <w:rFonts w:ascii="Times New Roman" w:hAnsi="Times New Roman" w:cs="Times New Roman"/>
          <w:lang w:val="pt-BR"/>
        </w:rPr>
        <w:t xml:space="preserve"> (ordem essa </w:t>
      </w:r>
      <w:r w:rsidR="00051367" w:rsidRPr="00051367">
        <w:rPr>
          <w:rFonts w:ascii="Times New Roman" w:hAnsi="Times New Roman" w:cs="Times New Roman"/>
          <w:lang w:val="pt-BR"/>
        </w:rPr>
        <w:t>fundada na valorização do trabalho humano e na livre iniciativ</w:t>
      </w:r>
      <w:r w:rsidR="00051367" w:rsidRPr="00051367">
        <w:rPr>
          <w:rFonts w:ascii="Times New Roman" w:hAnsi="Times New Roman" w:cs="Times New Roman"/>
          <w:lang w:val="pt-BR"/>
        </w:rPr>
        <w:t>a)</w:t>
      </w:r>
      <w:r w:rsidRPr="00D204A0">
        <w:rPr>
          <w:rFonts w:ascii="Times New Roman" w:hAnsi="Times New Roman" w:cs="Times New Roman"/>
          <w:lang w:val="pt-BR"/>
        </w:rPr>
        <w:t xml:space="preserve">, ao lado de uma série de outros princípios, como a função social da propriedade (inc. III), a defesa do consumidor (inc. V), a busca do pleno emprego (inc. VIII) e, inclusive, o tratamento favorecido para as empresas de pequeno porte constituídas sob as leis brasileiras e que tenham sua sede e administração no País (inc. IX). </w:t>
      </w:r>
    </w:p>
    <w:p w:rsidR="001F7282" w:rsidRPr="00D204A0" w:rsidRDefault="001F7282" w:rsidP="00C33C60">
      <w:pPr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lang w:val="pt-BR"/>
        </w:rPr>
        <w:t xml:space="preserve">Ao seu turno, a legislação antitruste (Lei n.º 12.529/11) tem como objetivo a “prevenção e a repressão às infrações contra a ordem econômica, orientada pelos ditames constitucionais de liberdade de iniciativa, livre concorrência, função social da propriedade, defesa dos consumidores e repressão ao abuso do poder econômico”.  Ou seja, no Brasil, não é possível se falar de um objetivo único </w:t>
      </w:r>
      <w:r w:rsidR="00051367">
        <w:rPr>
          <w:rFonts w:ascii="Times New Roman" w:hAnsi="Times New Roman" w:cs="Times New Roman"/>
          <w:lang w:val="pt-BR"/>
        </w:rPr>
        <w:t xml:space="preserve">da defesa da concorrência </w:t>
      </w:r>
      <w:r w:rsidR="003748D9" w:rsidRPr="00D204A0">
        <w:rPr>
          <w:rFonts w:ascii="Times New Roman" w:hAnsi="Times New Roman" w:cs="Times New Roman"/>
          <w:lang w:val="pt-BR"/>
        </w:rPr>
        <w:t xml:space="preserve">e </w:t>
      </w:r>
      <w:r w:rsidR="00614C49" w:rsidRPr="00D204A0">
        <w:rPr>
          <w:rFonts w:ascii="Times New Roman" w:hAnsi="Times New Roman" w:cs="Times New Roman"/>
          <w:lang w:val="pt-BR"/>
        </w:rPr>
        <w:t xml:space="preserve">a </w:t>
      </w:r>
      <w:r w:rsidR="003748D9" w:rsidRPr="00D204A0">
        <w:rPr>
          <w:rFonts w:ascii="Times New Roman" w:hAnsi="Times New Roman" w:cs="Times New Roman"/>
          <w:lang w:val="pt-BR"/>
        </w:rPr>
        <w:t>própria legislação concorrencial elenca outros objetivos que devem ser tutelados</w:t>
      </w:r>
      <w:r w:rsidR="00051367">
        <w:rPr>
          <w:rFonts w:ascii="Times New Roman" w:hAnsi="Times New Roman" w:cs="Times New Roman"/>
          <w:lang w:val="pt-BR"/>
        </w:rPr>
        <w:t>,</w:t>
      </w:r>
      <w:r w:rsidR="00614C49" w:rsidRPr="00D204A0">
        <w:rPr>
          <w:rFonts w:ascii="Times New Roman" w:hAnsi="Times New Roman" w:cs="Times New Roman"/>
          <w:lang w:val="pt-BR"/>
        </w:rPr>
        <w:t xml:space="preserve"> considerados</w:t>
      </w:r>
      <w:r w:rsidR="00051367">
        <w:rPr>
          <w:rFonts w:ascii="Times New Roman" w:hAnsi="Times New Roman" w:cs="Times New Roman"/>
          <w:lang w:val="pt-BR"/>
        </w:rPr>
        <w:t xml:space="preserve"> e sopesados</w:t>
      </w:r>
      <w:r w:rsidRPr="00D204A0">
        <w:rPr>
          <w:rFonts w:ascii="Times New Roman" w:hAnsi="Times New Roman" w:cs="Times New Roman"/>
          <w:lang w:val="pt-BR"/>
        </w:rPr>
        <w:t xml:space="preserve">. Inclusive, </w:t>
      </w:r>
      <w:r w:rsidR="00DD2484" w:rsidRPr="00D204A0">
        <w:rPr>
          <w:rFonts w:ascii="Times New Roman" w:hAnsi="Times New Roman" w:cs="Times New Roman"/>
          <w:lang w:val="pt-BR"/>
        </w:rPr>
        <w:t xml:space="preserve">o Professor Calixto Salomão Filho </w:t>
      </w:r>
      <w:r w:rsidR="003748D9" w:rsidRPr="00D204A0">
        <w:rPr>
          <w:rFonts w:ascii="Times New Roman" w:hAnsi="Times New Roman" w:cs="Times New Roman"/>
          <w:lang w:val="pt-BR"/>
        </w:rPr>
        <w:t>(2013)</w:t>
      </w:r>
      <w:r w:rsidRPr="00D204A0">
        <w:rPr>
          <w:rFonts w:ascii="Times New Roman" w:hAnsi="Times New Roman" w:cs="Times New Roman"/>
          <w:lang w:val="pt-BR"/>
        </w:rPr>
        <w:t xml:space="preserve"> elogia a legislação brasileira</w:t>
      </w:r>
      <w:r w:rsidR="00051367">
        <w:rPr>
          <w:rFonts w:ascii="Times New Roman" w:hAnsi="Times New Roman" w:cs="Times New Roman"/>
          <w:lang w:val="pt-BR"/>
        </w:rPr>
        <w:t xml:space="preserve"> por essa característica</w:t>
      </w:r>
      <w:r w:rsidRPr="00D204A0">
        <w:rPr>
          <w:rFonts w:ascii="Times New Roman" w:hAnsi="Times New Roman" w:cs="Times New Roman"/>
          <w:lang w:val="pt-BR"/>
        </w:rPr>
        <w:t xml:space="preserve">, </w:t>
      </w:r>
      <w:r w:rsidR="00051367">
        <w:rPr>
          <w:rFonts w:ascii="Times New Roman" w:hAnsi="Times New Roman" w:cs="Times New Roman"/>
          <w:lang w:val="pt-BR"/>
        </w:rPr>
        <w:t xml:space="preserve">ao mencionar </w:t>
      </w:r>
      <w:r w:rsidRPr="00D204A0">
        <w:rPr>
          <w:rFonts w:ascii="Times New Roman" w:hAnsi="Times New Roman" w:cs="Times New Roman"/>
          <w:lang w:val="pt-BR"/>
        </w:rPr>
        <w:t xml:space="preserve">que ao tratar de controle das concentrações, </w:t>
      </w:r>
      <w:r w:rsidR="00051367">
        <w:rPr>
          <w:rFonts w:ascii="Times New Roman" w:hAnsi="Times New Roman" w:cs="Times New Roman"/>
          <w:lang w:val="pt-BR"/>
        </w:rPr>
        <w:t xml:space="preserve">a legislação pátria </w:t>
      </w:r>
      <w:r w:rsidRPr="00D204A0">
        <w:rPr>
          <w:rFonts w:ascii="Times New Roman" w:hAnsi="Times New Roman" w:cs="Times New Roman"/>
          <w:lang w:val="pt-BR"/>
        </w:rPr>
        <w:t xml:space="preserve">colocou como requisito de aprovação </w:t>
      </w:r>
      <w:r w:rsidR="00051367">
        <w:rPr>
          <w:rFonts w:ascii="Times New Roman" w:hAnsi="Times New Roman" w:cs="Times New Roman"/>
          <w:lang w:val="pt-BR"/>
        </w:rPr>
        <w:t xml:space="preserve">de operações de concentração econômica </w:t>
      </w:r>
      <w:r w:rsidRPr="00D204A0">
        <w:rPr>
          <w:rFonts w:ascii="Times New Roman" w:hAnsi="Times New Roman" w:cs="Times New Roman"/>
          <w:lang w:val="pt-BR"/>
        </w:rPr>
        <w:t xml:space="preserve">não apenas o ganho de eficiência, mas também o repasse de parte relevante </w:t>
      </w:r>
      <w:r w:rsidR="00614C49" w:rsidRPr="00D204A0">
        <w:rPr>
          <w:rFonts w:ascii="Times New Roman" w:hAnsi="Times New Roman" w:cs="Times New Roman"/>
          <w:lang w:val="pt-BR"/>
        </w:rPr>
        <w:t>aos consumidores (art. 88, § 6,</w:t>
      </w:r>
      <w:r w:rsidRPr="00D204A0">
        <w:rPr>
          <w:rFonts w:ascii="Times New Roman" w:hAnsi="Times New Roman" w:cs="Times New Roman"/>
          <w:lang w:val="pt-BR"/>
        </w:rPr>
        <w:t xml:space="preserve"> “c”, II</w:t>
      </w:r>
      <w:r w:rsidR="00DD2484" w:rsidRPr="00D204A0">
        <w:rPr>
          <w:rFonts w:ascii="Times New Roman" w:hAnsi="Times New Roman" w:cs="Times New Roman"/>
          <w:lang w:val="pt-BR"/>
        </w:rPr>
        <w:t>, da Lei de Defesa da Concorrência</w:t>
      </w:r>
      <w:r w:rsidRPr="00D204A0">
        <w:rPr>
          <w:rFonts w:ascii="Times New Roman" w:hAnsi="Times New Roman" w:cs="Times New Roman"/>
          <w:lang w:val="pt-BR"/>
        </w:rPr>
        <w:t>).</w:t>
      </w:r>
    </w:p>
    <w:p w:rsidR="00BB5DE6" w:rsidRPr="00D204A0" w:rsidRDefault="00DD2484" w:rsidP="00C33C60">
      <w:pPr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lang w:val="pt-BR"/>
        </w:rPr>
        <w:t>O Professor Vinícius Marques de Carvalho (2011) menciona que, segundo a visão propagada pel</w:t>
      </w:r>
      <w:r w:rsidR="00BB5DE6" w:rsidRPr="00D204A0">
        <w:rPr>
          <w:rFonts w:ascii="Times New Roman" w:hAnsi="Times New Roman" w:cs="Times New Roman"/>
          <w:lang w:val="pt-BR"/>
        </w:rPr>
        <w:t xml:space="preserve">o sistema </w:t>
      </w:r>
      <w:r w:rsidR="00B22695" w:rsidRPr="00D204A0">
        <w:rPr>
          <w:rFonts w:ascii="Times New Roman" w:hAnsi="Times New Roman" w:cs="Times New Roman"/>
          <w:lang w:val="pt-BR"/>
        </w:rPr>
        <w:t xml:space="preserve">clássico </w:t>
      </w:r>
      <w:r w:rsidR="00BB5DE6" w:rsidRPr="00D204A0">
        <w:rPr>
          <w:rFonts w:ascii="Times New Roman" w:hAnsi="Times New Roman" w:cs="Times New Roman"/>
          <w:lang w:val="pt-BR"/>
        </w:rPr>
        <w:t xml:space="preserve">de economia política, o Estado deve deixar de intervir para que haja bem-estar social, </w:t>
      </w:r>
      <w:r w:rsidRPr="00D204A0">
        <w:rPr>
          <w:rFonts w:ascii="Times New Roman" w:hAnsi="Times New Roman" w:cs="Times New Roman"/>
          <w:lang w:val="pt-BR"/>
        </w:rPr>
        <w:t>pois o bem</w:t>
      </w:r>
      <w:r w:rsidR="009C756A" w:rsidRPr="00D204A0">
        <w:rPr>
          <w:rFonts w:ascii="Times New Roman" w:hAnsi="Times New Roman" w:cs="Times New Roman"/>
          <w:lang w:val="pt-BR"/>
        </w:rPr>
        <w:t>-</w:t>
      </w:r>
      <w:r w:rsidRPr="00D204A0">
        <w:rPr>
          <w:rFonts w:ascii="Times New Roman" w:hAnsi="Times New Roman" w:cs="Times New Roman"/>
          <w:lang w:val="pt-BR"/>
        </w:rPr>
        <w:t xml:space="preserve">estar iria decorrer </w:t>
      </w:r>
      <w:r w:rsidR="00BB5DE6" w:rsidRPr="00D204A0">
        <w:rPr>
          <w:rFonts w:ascii="Times New Roman" w:hAnsi="Times New Roman" w:cs="Times New Roman"/>
          <w:lang w:val="pt-BR"/>
        </w:rPr>
        <w:t>do livre mercado. Já no Estado pós-liberal, políticas intervencionistas são implementadas com vistas a expandir a renda e desenvolver determinados setores.</w:t>
      </w:r>
    </w:p>
    <w:p w:rsidR="00C75EA5" w:rsidRPr="00D204A0" w:rsidRDefault="009C756A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  <w:r w:rsidRPr="00D204A0">
        <w:rPr>
          <w:sz w:val="22"/>
          <w:szCs w:val="22"/>
          <w:lang w:val="pt-BR"/>
        </w:rPr>
        <w:t xml:space="preserve">O </w:t>
      </w:r>
      <w:r w:rsidR="003D6712" w:rsidRPr="00D204A0">
        <w:rPr>
          <w:sz w:val="22"/>
          <w:szCs w:val="22"/>
          <w:lang w:val="pt-BR"/>
        </w:rPr>
        <w:t>Direito da Concorrência</w:t>
      </w:r>
      <w:r w:rsidR="00C75EA5" w:rsidRPr="00D204A0">
        <w:rPr>
          <w:sz w:val="22"/>
          <w:szCs w:val="22"/>
          <w:lang w:val="pt-BR"/>
        </w:rPr>
        <w:t xml:space="preserve"> </w:t>
      </w:r>
      <w:r w:rsidR="003D6712" w:rsidRPr="00D204A0">
        <w:rPr>
          <w:sz w:val="22"/>
          <w:szCs w:val="22"/>
          <w:lang w:val="pt-BR"/>
        </w:rPr>
        <w:t xml:space="preserve">pode </w:t>
      </w:r>
      <w:r w:rsidR="00192659" w:rsidRPr="00D204A0">
        <w:rPr>
          <w:sz w:val="22"/>
          <w:szCs w:val="22"/>
          <w:lang w:val="pt-BR"/>
        </w:rPr>
        <w:t xml:space="preserve">ser conceituado, de forma objetiva, técnica e positivista, como o ramo do direito que aplica a legislação antitruste para </w:t>
      </w:r>
      <w:r w:rsidR="003D6712" w:rsidRPr="00D204A0">
        <w:rPr>
          <w:sz w:val="22"/>
          <w:szCs w:val="22"/>
          <w:lang w:val="pt-BR"/>
        </w:rPr>
        <w:t xml:space="preserve">alcançar determinados objetivos. </w:t>
      </w:r>
      <w:r w:rsidR="00535EE9" w:rsidRPr="00D204A0">
        <w:rPr>
          <w:sz w:val="22"/>
          <w:szCs w:val="22"/>
          <w:lang w:val="pt-BR"/>
        </w:rPr>
        <w:t>Esse</w:t>
      </w:r>
      <w:r w:rsidR="003D6712" w:rsidRPr="00D204A0">
        <w:rPr>
          <w:sz w:val="22"/>
          <w:szCs w:val="22"/>
          <w:lang w:val="pt-BR"/>
        </w:rPr>
        <w:t xml:space="preserve"> “instrumento”</w:t>
      </w:r>
      <w:r w:rsidR="00614C49" w:rsidRPr="00D204A0">
        <w:rPr>
          <w:sz w:val="22"/>
          <w:szCs w:val="22"/>
          <w:lang w:val="pt-BR"/>
        </w:rPr>
        <w:t>, como mencionamos,</w:t>
      </w:r>
      <w:r w:rsidR="003D6712" w:rsidRPr="00D204A0">
        <w:rPr>
          <w:sz w:val="22"/>
          <w:szCs w:val="22"/>
          <w:lang w:val="pt-BR"/>
        </w:rPr>
        <w:t xml:space="preserve"> pode ser usado para atingir diversos possíveis </w:t>
      </w:r>
      <w:r w:rsidR="009D6ECF">
        <w:rPr>
          <w:sz w:val="22"/>
          <w:szCs w:val="22"/>
          <w:lang w:val="pt-BR"/>
        </w:rPr>
        <w:t>fins</w:t>
      </w:r>
      <w:r w:rsidR="003D6712" w:rsidRPr="00D204A0">
        <w:rPr>
          <w:sz w:val="22"/>
          <w:szCs w:val="22"/>
          <w:lang w:val="pt-BR"/>
        </w:rPr>
        <w:t xml:space="preserve">. </w:t>
      </w:r>
      <w:r w:rsidR="00DD2484" w:rsidRPr="00D204A0">
        <w:rPr>
          <w:sz w:val="22"/>
          <w:szCs w:val="22"/>
          <w:lang w:val="pt-BR"/>
        </w:rPr>
        <w:t xml:space="preserve">Pode-se, inclusive, buscar proteger o </w:t>
      </w:r>
      <w:r w:rsidR="00DD2484" w:rsidRPr="00D204A0">
        <w:rPr>
          <w:sz w:val="22"/>
          <w:szCs w:val="22"/>
          <w:lang w:val="pt-BR"/>
        </w:rPr>
        <w:lastRenderedPageBreak/>
        <w:t xml:space="preserve">“campeão nacional” ou evitar a falência de empresas </w:t>
      </w:r>
      <w:r w:rsidR="00A7266B">
        <w:rPr>
          <w:sz w:val="22"/>
          <w:szCs w:val="22"/>
          <w:lang w:val="pt-BR"/>
        </w:rPr>
        <w:t>(</w:t>
      </w:r>
      <w:r w:rsidR="00DD2484" w:rsidRPr="00D204A0">
        <w:rPr>
          <w:i/>
          <w:sz w:val="22"/>
          <w:szCs w:val="22"/>
          <w:lang w:val="pt-BR"/>
        </w:rPr>
        <w:t>failing firm theory</w:t>
      </w:r>
      <w:r w:rsidR="00DD2484" w:rsidRPr="00D204A0">
        <w:rPr>
          <w:sz w:val="22"/>
          <w:szCs w:val="22"/>
          <w:lang w:val="pt-BR"/>
        </w:rPr>
        <w:t>) por meio da aplicação do direito antitruste.</w:t>
      </w:r>
    </w:p>
    <w:p w:rsidR="00535EE9" w:rsidRPr="00D204A0" w:rsidRDefault="00B22695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  <w:r w:rsidRPr="00D204A0">
        <w:rPr>
          <w:sz w:val="22"/>
          <w:szCs w:val="22"/>
          <w:lang w:val="pt-BR"/>
        </w:rPr>
        <w:t>No texto</w:t>
      </w:r>
      <w:r w:rsidR="00535EE9" w:rsidRPr="00D204A0">
        <w:rPr>
          <w:sz w:val="22"/>
          <w:szCs w:val="22"/>
          <w:lang w:val="pt-BR"/>
        </w:rPr>
        <w:t xml:space="preserve"> do Professor Vinícius</w:t>
      </w:r>
      <w:r w:rsidR="00DD2484" w:rsidRPr="00D204A0">
        <w:rPr>
          <w:sz w:val="22"/>
          <w:szCs w:val="22"/>
          <w:lang w:val="pt-BR"/>
        </w:rPr>
        <w:t xml:space="preserve"> Marques de Carvalho (2011)</w:t>
      </w:r>
      <w:r w:rsidR="00535EE9" w:rsidRPr="00D204A0">
        <w:rPr>
          <w:sz w:val="22"/>
          <w:szCs w:val="22"/>
          <w:lang w:val="pt-BR"/>
        </w:rPr>
        <w:t xml:space="preserve">, </w:t>
      </w:r>
      <w:r w:rsidRPr="00D204A0">
        <w:rPr>
          <w:sz w:val="22"/>
          <w:szCs w:val="22"/>
          <w:lang w:val="pt-BR"/>
        </w:rPr>
        <w:t>é destacado que os</w:t>
      </w:r>
      <w:r w:rsidR="00535EE9" w:rsidRPr="00D204A0">
        <w:rPr>
          <w:sz w:val="22"/>
          <w:szCs w:val="22"/>
          <w:lang w:val="pt-BR"/>
        </w:rPr>
        <w:t xml:space="preserve"> objetivos </w:t>
      </w:r>
      <w:r w:rsidRPr="00D204A0">
        <w:rPr>
          <w:sz w:val="22"/>
          <w:szCs w:val="22"/>
          <w:lang w:val="pt-BR"/>
        </w:rPr>
        <w:t xml:space="preserve">do antitruste </w:t>
      </w:r>
      <w:r w:rsidR="00535EE9" w:rsidRPr="00D204A0">
        <w:rPr>
          <w:sz w:val="22"/>
          <w:szCs w:val="22"/>
          <w:lang w:val="pt-BR"/>
        </w:rPr>
        <w:t xml:space="preserve">divergiram drasticamente entre </w:t>
      </w:r>
      <w:r w:rsidR="00EE1BDB" w:rsidRPr="00D204A0">
        <w:rPr>
          <w:sz w:val="22"/>
          <w:szCs w:val="22"/>
          <w:lang w:val="pt-BR"/>
        </w:rPr>
        <w:t>o período pré-escola de Harvard</w:t>
      </w:r>
      <w:r w:rsidR="009C756A" w:rsidRPr="00D204A0">
        <w:rPr>
          <w:sz w:val="22"/>
          <w:szCs w:val="22"/>
          <w:lang w:val="pt-BR"/>
        </w:rPr>
        <w:t>,</w:t>
      </w:r>
      <w:r w:rsidRPr="00D204A0">
        <w:rPr>
          <w:sz w:val="22"/>
          <w:szCs w:val="22"/>
          <w:lang w:val="pt-BR"/>
        </w:rPr>
        <w:t xml:space="preserve"> onde havia grande concentração econômica nos Estados Unidos</w:t>
      </w:r>
      <w:r w:rsidR="00EE1BDB" w:rsidRPr="00D204A0">
        <w:rPr>
          <w:sz w:val="22"/>
          <w:szCs w:val="22"/>
          <w:lang w:val="pt-BR"/>
        </w:rPr>
        <w:t xml:space="preserve"> (antes de 1936)</w:t>
      </w:r>
      <w:r w:rsidR="009C756A" w:rsidRPr="00D204A0">
        <w:rPr>
          <w:sz w:val="22"/>
          <w:szCs w:val="22"/>
          <w:lang w:val="pt-BR"/>
        </w:rPr>
        <w:t>,</w:t>
      </w:r>
      <w:r w:rsidRPr="00D204A0">
        <w:rPr>
          <w:sz w:val="22"/>
          <w:szCs w:val="22"/>
          <w:lang w:val="pt-BR"/>
        </w:rPr>
        <w:t xml:space="preserve"> e pós-Escola de Harvard</w:t>
      </w:r>
      <w:r w:rsidR="00EE1BDB" w:rsidRPr="00D204A0">
        <w:rPr>
          <w:sz w:val="22"/>
          <w:szCs w:val="22"/>
          <w:lang w:val="pt-BR"/>
        </w:rPr>
        <w:t xml:space="preserve">. </w:t>
      </w:r>
      <w:r w:rsidRPr="00D204A0">
        <w:rPr>
          <w:sz w:val="22"/>
          <w:szCs w:val="22"/>
          <w:lang w:val="pt-BR"/>
        </w:rPr>
        <w:t>Entre</w:t>
      </w:r>
      <w:r w:rsidR="00EE1BDB" w:rsidRPr="00D204A0">
        <w:rPr>
          <w:sz w:val="22"/>
          <w:szCs w:val="22"/>
          <w:lang w:val="pt-BR"/>
        </w:rPr>
        <w:t xml:space="preserve"> 1936 até 1972, a Escola de Harvard foment</w:t>
      </w:r>
      <w:r w:rsidRPr="00D204A0">
        <w:rPr>
          <w:sz w:val="22"/>
          <w:szCs w:val="22"/>
          <w:lang w:val="pt-BR"/>
        </w:rPr>
        <w:t>ou</w:t>
      </w:r>
      <w:r w:rsidR="00EE1BDB" w:rsidRPr="00D204A0">
        <w:rPr>
          <w:sz w:val="22"/>
          <w:szCs w:val="22"/>
          <w:lang w:val="pt-BR"/>
        </w:rPr>
        <w:t xml:space="preserve"> a t</w:t>
      </w:r>
      <w:r w:rsidR="00535EE9" w:rsidRPr="00D204A0">
        <w:rPr>
          <w:sz w:val="22"/>
          <w:szCs w:val="22"/>
          <w:lang w:val="pt-BR"/>
        </w:rPr>
        <w:t xml:space="preserve">eoria estruturalista que tinha no poder econômico a fonte dos problemas concorrenciais. </w:t>
      </w:r>
      <w:r w:rsidRPr="00D204A0">
        <w:rPr>
          <w:sz w:val="22"/>
          <w:szCs w:val="22"/>
          <w:lang w:val="pt-BR"/>
        </w:rPr>
        <w:t>E</w:t>
      </w:r>
      <w:r w:rsidR="00EE1BDB" w:rsidRPr="00D204A0">
        <w:rPr>
          <w:sz w:val="22"/>
          <w:szCs w:val="22"/>
          <w:lang w:val="pt-BR"/>
        </w:rPr>
        <w:t xml:space="preserve">ntre </w:t>
      </w:r>
      <w:r w:rsidR="00535EE9" w:rsidRPr="00D204A0">
        <w:rPr>
          <w:sz w:val="22"/>
          <w:szCs w:val="22"/>
          <w:lang w:val="pt-BR"/>
        </w:rPr>
        <w:t xml:space="preserve">1973 e 1991, </w:t>
      </w:r>
      <w:r w:rsidR="00EE1BDB" w:rsidRPr="00D204A0">
        <w:rPr>
          <w:sz w:val="22"/>
          <w:szCs w:val="22"/>
          <w:lang w:val="pt-BR"/>
        </w:rPr>
        <w:t xml:space="preserve">quando </w:t>
      </w:r>
      <w:r w:rsidR="00535EE9" w:rsidRPr="00D204A0">
        <w:rPr>
          <w:sz w:val="22"/>
          <w:szCs w:val="22"/>
          <w:lang w:val="pt-BR"/>
        </w:rPr>
        <w:t>o elevado ativismo antitruste foi alvo de críticas</w:t>
      </w:r>
      <w:r w:rsidRPr="00D204A0">
        <w:rPr>
          <w:sz w:val="22"/>
          <w:szCs w:val="22"/>
          <w:lang w:val="pt-BR"/>
        </w:rPr>
        <w:t>, emergiu</w:t>
      </w:r>
      <w:r w:rsidR="00535EE9" w:rsidRPr="00D204A0">
        <w:rPr>
          <w:sz w:val="22"/>
          <w:szCs w:val="22"/>
          <w:lang w:val="pt-BR"/>
        </w:rPr>
        <w:t xml:space="preserve"> a Escola de Chicago</w:t>
      </w:r>
      <w:r w:rsidR="00C33C60" w:rsidRPr="00D204A0">
        <w:rPr>
          <w:rStyle w:val="FootnoteReference"/>
          <w:sz w:val="22"/>
          <w:szCs w:val="22"/>
          <w:lang w:val="pt-BR"/>
        </w:rPr>
        <w:footnoteReference w:id="1"/>
      </w:r>
      <w:r w:rsidR="00535EE9" w:rsidRPr="00D204A0">
        <w:rPr>
          <w:sz w:val="22"/>
          <w:szCs w:val="22"/>
          <w:lang w:val="pt-BR"/>
        </w:rPr>
        <w:t xml:space="preserve">, cuja eficiência produtiva era o principal elemento a ser protegido. A concorrência seria, portanto, um instrumento que não deveria prevalecer caso </w:t>
      </w:r>
      <w:r w:rsidRPr="00D204A0">
        <w:rPr>
          <w:sz w:val="22"/>
          <w:szCs w:val="22"/>
          <w:lang w:val="pt-BR"/>
        </w:rPr>
        <w:t xml:space="preserve">a </w:t>
      </w:r>
      <w:r w:rsidR="00535EE9" w:rsidRPr="00D204A0">
        <w:rPr>
          <w:sz w:val="22"/>
          <w:szCs w:val="22"/>
          <w:lang w:val="pt-BR"/>
        </w:rPr>
        <w:t xml:space="preserve">concorrência gerasse ineficiência produtiva. </w:t>
      </w:r>
      <w:r w:rsidR="00C8506B" w:rsidRPr="00D204A0">
        <w:rPr>
          <w:sz w:val="22"/>
          <w:szCs w:val="22"/>
          <w:lang w:val="pt-BR"/>
        </w:rPr>
        <w:t>Essa teoria da primazia da eficiência econômica</w:t>
      </w:r>
      <w:r w:rsidR="00535EE9" w:rsidRPr="00D204A0">
        <w:rPr>
          <w:sz w:val="22"/>
          <w:szCs w:val="22"/>
          <w:lang w:val="pt-BR"/>
        </w:rPr>
        <w:t xml:space="preserve"> justificou permitir um maior grau de concentração interna, pois ganhos de escala </w:t>
      </w:r>
      <w:r w:rsidR="00C8506B" w:rsidRPr="00D204A0">
        <w:rPr>
          <w:sz w:val="22"/>
          <w:szCs w:val="22"/>
          <w:lang w:val="pt-BR"/>
        </w:rPr>
        <w:t>eram essenciais para que empresas do</w:t>
      </w:r>
      <w:r w:rsidR="00535EE9" w:rsidRPr="00D204A0">
        <w:rPr>
          <w:sz w:val="22"/>
          <w:szCs w:val="22"/>
          <w:lang w:val="pt-BR"/>
        </w:rPr>
        <w:t>s Estados Unidos pudessem ter êxito na concorrência com empresas internacionais</w:t>
      </w:r>
      <w:r w:rsidRPr="00D204A0">
        <w:rPr>
          <w:sz w:val="22"/>
          <w:szCs w:val="22"/>
          <w:lang w:val="pt-BR"/>
        </w:rPr>
        <w:t xml:space="preserve">, em particular </w:t>
      </w:r>
      <w:r w:rsidR="00C8506B" w:rsidRPr="00D204A0">
        <w:rPr>
          <w:sz w:val="22"/>
          <w:szCs w:val="22"/>
          <w:lang w:val="pt-BR"/>
        </w:rPr>
        <w:t xml:space="preserve">com </w:t>
      </w:r>
      <w:r w:rsidRPr="00D204A0">
        <w:rPr>
          <w:sz w:val="22"/>
          <w:szCs w:val="22"/>
          <w:lang w:val="pt-BR"/>
        </w:rPr>
        <w:t>as de empresas japonesas que representavam uma ameaça à indústria interna norte-americana</w:t>
      </w:r>
      <w:r w:rsidR="00535EE9" w:rsidRPr="00D204A0">
        <w:rPr>
          <w:sz w:val="22"/>
          <w:szCs w:val="22"/>
          <w:lang w:val="pt-BR"/>
        </w:rPr>
        <w:t xml:space="preserve">. </w:t>
      </w:r>
    </w:p>
    <w:p w:rsidR="00C33C60" w:rsidRPr="00D204A0" w:rsidRDefault="00C33C60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  <w:r w:rsidRPr="00D204A0">
        <w:rPr>
          <w:sz w:val="22"/>
          <w:szCs w:val="22"/>
          <w:lang w:val="pt-BR"/>
        </w:rPr>
        <w:t xml:space="preserve">A concentração do capital, que deveria ser exceção, passou a ser regra na economia real e a concentração de capital </w:t>
      </w:r>
      <w:r w:rsidR="00C8506B" w:rsidRPr="00D204A0">
        <w:rPr>
          <w:sz w:val="22"/>
          <w:szCs w:val="22"/>
          <w:lang w:val="pt-BR"/>
        </w:rPr>
        <w:t xml:space="preserve">acaba por </w:t>
      </w:r>
      <w:r w:rsidRPr="00D204A0">
        <w:rPr>
          <w:sz w:val="22"/>
          <w:szCs w:val="22"/>
          <w:lang w:val="pt-BR"/>
        </w:rPr>
        <w:t>gera</w:t>
      </w:r>
      <w:r w:rsidR="00C8506B" w:rsidRPr="00D204A0">
        <w:rPr>
          <w:sz w:val="22"/>
          <w:szCs w:val="22"/>
          <w:lang w:val="pt-BR"/>
        </w:rPr>
        <w:t>r</w:t>
      </w:r>
      <w:r w:rsidRPr="00D204A0">
        <w:rPr>
          <w:sz w:val="22"/>
          <w:szCs w:val="22"/>
          <w:lang w:val="pt-BR"/>
        </w:rPr>
        <w:t xml:space="preserve"> intervenção</w:t>
      </w:r>
      <w:r w:rsidR="00C8506B" w:rsidRPr="00D204A0">
        <w:rPr>
          <w:sz w:val="22"/>
          <w:szCs w:val="22"/>
          <w:lang w:val="pt-BR"/>
        </w:rPr>
        <w:t xml:space="preserve">, </w:t>
      </w:r>
      <w:r w:rsidR="009D6ECF">
        <w:rPr>
          <w:sz w:val="22"/>
          <w:szCs w:val="22"/>
          <w:lang w:val="pt-BR"/>
        </w:rPr>
        <w:t>pois</w:t>
      </w:r>
      <w:r w:rsidR="00C8506B" w:rsidRPr="00D204A0">
        <w:rPr>
          <w:sz w:val="22"/>
          <w:szCs w:val="22"/>
          <w:lang w:val="pt-BR"/>
        </w:rPr>
        <w:t xml:space="preserve"> gera riscos sérios à democracia e liberdade, como indicado na outra </w:t>
      </w:r>
      <w:r w:rsidR="009D6ECF">
        <w:rPr>
          <w:sz w:val="22"/>
          <w:szCs w:val="22"/>
          <w:lang w:val="pt-BR"/>
        </w:rPr>
        <w:t xml:space="preserve">obra </w:t>
      </w:r>
      <w:r w:rsidR="00C8506B" w:rsidRPr="00D204A0">
        <w:rPr>
          <w:sz w:val="22"/>
          <w:szCs w:val="22"/>
          <w:lang w:val="pt-BR"/>
        </w:rPr>
        <w:t xml:space="preserve">analisada de R. Pitofsky (1979). </w:t>
      </w:r>
      <w:r w:rsidRPr="00D204A0">
        <w:rPr>
          <w:sz w:val="22"/>
          <w:szCs w:val="22"/>
          <w:lang w:val="pt-BR"/>
        </w:rPr>
        <w:t>O Professor Vinícius Marques de Carvalho enfatiza que os mecanismos de intervenção estatal e de concentração de capital reduziram o caráter de instituição livre do mercado.</w:t>
      </w:r>
    </w:p>
    <w:p w:rsidR="00DD4E09" w:rsidRPr="00D204A0" w:rsidRDefault="00B22695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  <w:r w:rsidRPr="00D204A0">
        <w:rPr>
          <w:sz w:val="22"/>
          <w:szCs w:val="22"/>
          <w:lang w:val="pt-BR"/>
        </w:rPr>
        <w:t xml:space="preserve">Vimos que, na obra indicada de </w:t>
      </w:r>
      <w:r w:rsidR="00C13E93" w:rsidRPr="00D204A0">
        <w:rPr>
          <w:sz w:val="22"/>
          <w:szCs w:val="22"/>
          <w:lang w:val="pt-BR"/>
        </w:rPr>
        <w:t>D. Wright &amp; Douglas H. Ginsburg</w:t>
      </w:r>
      <w:r w:rsidRPr="00D204A0">
        <w:rPr>
          <w:sz w:val="22"/>
          <w:szCs w:val="22"/>
          <w:lang w:val="pt-BR"/>
        </w:rPr>
        <w:t xml:space="preserve"> (2013)</w:t>
      </w:r>
      <w:r w:rsidR="003D6712" w:rsidRPr="00D204A0">
        <w:rPr>
          <w:sz w:val="22"/>
          <w:szCs w:val="22"/>
          <w:lang w:val="pt-BR"/>
        </w:rPr>
        <w:t>, os autores</w:t>
      </w:r>
      <w:r w:rsidR="00DD4E09" w:rsidRPr="00D204A0">
        <w:rPr>
          <w:sz w:val="22"/>
          <w:szCs w:val="22"/>
          <w:lang w:val="pt-BR"/>
        </w:rPr>
        <w:t xml:space="preserve"> descrevem que, nos Estados Unidos, o bem-estar do consumidor é</w:t>
      </w:r>
      <w:r w:rsidR="009D6ECF">
        <w:rPr>
          <w:sz w:val="22"/>
          <w:szCs w:val="22"/>
          <w:lang w:val="pt-BR"/>
        </w:rPr>
        <w:t>, atualmente,</w:t>
      </w:r>
      <w:r w:rsidR="00DD4E09" w:rsidRPr="00D204A0">
        <w:rPr>
          <w:sz w:val="22"/>
          <w:szCs w:val="22"/>
          <w:lang w:val="pt-BR"/>
        </w:rPr>
        <w:t xml:space="preserve"> o principal objetivo do antitruste. Esse bem-estar seria atingido por meio da priorização da eficiência econômica nas análises antitruste</w:t>
      </w:r>
      <w:r w:rsidRPr="00D204A0">
        <w:rPr>
          <w:sz w:val="22"/>
          <w:szCs w:val="22"/>
          <w:lang w:val="pt-BR"/>
        </w:rPr>
        <w:t>, em uma visão que parece mais alinhada com ideias da Escola de Chicago ou ainda mais “progressistas”</w:t>
      </w:r>
      <w:r w:rsidR="00DD4E09" w:rsidRPr="00D204A0">
        <w:rPr>
          <w:sz w:val="22"/>
          <w:szCs w:val="22"/>
          <w:lang w:val="pt-BR"/>
        </w:rPr>
        <w:t xml:space="preserve">. Os autores indicam que essa forma de analisar o antitruste é positiva, mas que nem sempre foi assim nos Estados Unidos. </w:t>
      </w:r>
    </w:p>
    <w:p w:rsidR="009B7D49" w:rsidRPr="00D204A0" w:rsidRDefault="00707862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  <w:r w:rsidRPr="00D204A0">
        <w:rPr>
          <w:sz w:val="22"/>
          <w:szCs w:val="22"/>
          <w:lang w:val="pt-BR"/>
        </w:rPr>
        <w:t xml:space="preserve">Joshua D. Wright &amp; Douglas H. Ginsburg (2013) </w:t>
      </w:r>
      <w:r w:rsidR="009B7D49" w:rsidRPr="00D204A0">
        <w:rPr>
          <w:sz w:val="22"/>
          <w:szCs w:val="22"/>
          <w:lang w:val="pt-BR"/>
        </w:rPr>
        <w:t xml:space="preserve">contam que houve uma significativa evolução na jurisprudência da Suprema Corte norte-americana com relação a temas de antitruste. A Suprema Corte norte-americana interpretada o Sherman Act e o Clayton Act a partir de uma mistura de objetivos sociais </w:t>
      </w:r>
      <w:r w:rsidR="009B7D49" w:rsidRPr="00D204A0">
        <w:rPr>
          <w:sz w:val="22"/>
          <w:szCs w:val="22"/>
          <w:lang w:val="pt-BR"/>
        </w:rPr>
        <w:lastRenderedPageBreak/>
        <w:t>e políticos, inclusive quanto esses objetivos eram potencialmente anticompetitivos (e.g., proteção do pequeno negócio da concorrência de rivais mais eficientes). Na visão de Joshua D. Wright &amp; Douglas H. Ginsburg</w:t>
      </w:r>
      <w:r w:rsidRPr="00D204A0">
        <w:rPr>
          <w:sz w:val="22"/>
          <w:szCs w:val="22"/>
          <w:lang w:val="pt-BR"/>
        </w:rPr>
        <w:t xml:space="preserve"> (2013)</w:t>
      </w:r>
      <w:r w:rsidR="009B7D49" w:rsidRPr="00D204A0">
        <w:rPr>
          <w:sz w:val="22"/>
          <w:szCs w:val="22"/>
          <w:lang w:val="pt-BR"/>
        </w:rPr>
        <w:t xml:space="preserve">, essas decisões não promoviam a concorrência e o bem-estar do consumidor. </w:t>
      </w:r>
    </w:p>
    <w:p w:rsidR="00840543" w:rsidRPr="00D204A0" w:rsidRDefault="009B7D49" w:rsidP="00840543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  <w:r w:rsidRPr="00D204A0">
        <w:rPr>
          <w:sz w:val="22"/>
          <w:szCs w:val="22"/>
          <w:lang w:val="pt-BR"/>
        </w:rPr>
        <w:t xml:space="preserve">Contudo, isso mudou de forma “revolucionária” no final dos anos 70 e </w:t>
      </w:r>
      <w:r w:rsidR="009D6ECF">
        <w:rPr>
          <w:sz w:val="22"/>
          <w:szCs w:val="22"/>
          <w:lang w:val="pt-BR"/>
        </w:rPr>
        <w:t xml:space="preserve">80, em parte pela influência do pensamento de R. Bork que jogou </w:t>
      </w:r>
      <w:r w:rsidRPr="00D204A0">
        <w:rPr>
          <w:sz w:val="22"/>
          <w:szCs w:val="22"/>
          <w:lang w:val="pt-BR"/>
        </w:rPr>
        <w:t xml:space="preserve">luz sobre a forma como o antitruste era aplicado nos Estados Unidos. </w:t>
      </w:r>
      <w:r w:rsidR="00797047" w:rsidRPr="00D204A0">
        <w:rPr>
          <w:sz w:val="22"/>
          <w:szCs w:val="22"/>
          <w:lang w:val="pt-BR"/>
        </w:rPr>
        <w:t xml:space="preserve">Segundo a teoria de Bork, a consideração da concorrência como fim gera prejuízos ao consumidor, pois para defender a concorrência se impede a formação de economias de escala, que são eficientes e benéficas ao consumidor. Se bem-estar do consumidor é liberdade, concorrência como um fim em si mesmo seria (aparentemente) contrário a isso. </w:t>
      </w:r>
      <w:r w:rsidR="00C13E93" w:rsidRPr="00D204A0">
        <w:rPr>
          <w:sz w:val="22"/>
          <w:szCs w:val="22"/>
          <w:lang w:val="pt-BR"/>
        </w:rPr>
        <w:t>Vale destacar, desde já, que esse conflito seria apenas aparente na visão exposta no texto proposto do Professor Calixto Salomão Filho (2013)</w:t>
      </w:r>
      <w:r w:rsidR="00447518" w:rsidRPr="00D204A0">
        <w:rPr>
          <w:sz w:val="22"/>
          <w:szCs w:val="22"/>
          <w:lang w:val="pt-BR"/>
        </w:rPr>
        <w:t>, pois</w:t>
      </w:r>
      <w:r w:rsidR="00707862" w:rsidRPr="00D204A0">
        <w:rPr>
          <w:sz w:val="22"/>
          <w:szCs w:val="22"/>
          <w:lang w:val="pt-BR"/>
        </w:rPr>
        <w:t xml:space="preserve"> se um dos fundamentos do bem-estar do consumidor é sua liberdade de escolha, não há como considerar uma regra aplicada explicitamente com o objetivo de proteger a competição como “ineficiente”.</w:t>
      </w:r>
      <w:r w:rsidR="00840543" w:rsidRPr="00D204A0">
        <w:rPr>
          <w:sz w:val="22"/>
          <w:szCs w:val="22"/>
          <w:lang w:val="pt-BR"/>
        </w:rPr>
        <w:t xml:space="preserve"> Assim, o Professor Calixto Salomão Filho (2013) parece buscar uma possível compatibilização entre a defesa do consumidor e da eficiência, considerando o paradoxo analisado por Bork como algo apenas aparente</w:t>
      </w:r>
      <w:r w:rsidR="00C8506B" w:rsidRPr="00D204A0">
        <w:rPr>
          <w:sz w:val="22"/>
          <w:szCs w:val="22"/>
          <w:lang w:val="pt-BR"/>
        </w:rPr>
        <w:t xml:space="preserve"> e criticando essa visão “neoclássica” do antitruste</w:t>
      </w:r>
      <w:r w:rsidR="00840543" w:rsidRPr="00D204A0">
        <w:rPr>
          <w:sz w:val="22"/>
          <w:szCs w:val="22"/>
          <w:lang w:val="pt-BR"/>
        </w:rPr>
        <w:t xml:space="preserve">. </w:t>
      </w:r>
    </w:p>
    <w:p w:rsidR="00C13E93" w:rsidRPr="00D204A0" w:rsidRDefault="003C1CEE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De todo modo, essa visão “neoclássica” </w:t>
      </w:r>
      <w:r w:rsidR="009B7D49" w:rsidRPr="00D204A0">
        <w:rPr>
          <w:sz w:val="22"/>
          <w:szCs w:val="22"/>
          <w:lang w:val="pt-BR"/>
        </w:rPr>
        <w:t>gerou uma mudança do foco do antitruste, que deixou de ter como preocupação primordial uma</w:t>
      </w:r>
      <w:r>
        <w:rPr>
          <w:sz w:val="22"/>
          <w:szCs w:val="22"/>
          <w:lang w:val="pt-BR"/>
        </w:rPr>
        <w:t xml:space="preserve"> mistura de objetivos políticos e</w:t>
      </w:r>
      <w:r w:rsidR="009B7D49" w:rsidRPr="00D204A0">
        <w:rPr>
          <w:sz w:val="22"/>
          <w:szCs w:val="22"/>
          <w:lang w:val="pt-BR"/>
        </w:rPr>
        <w:t xml:space="preserve"> sociais e começou a se preocupar com o mercado como um todo. No caso </w:t>
      </w:r>
      <w:r w:rsidR="009B7D49" w:rsidRPr="00D204A0">
        <w:rPr>
          <w:iCs/>
          <w:sz w:val="22"/>
          <w:szCs w:val="22"/>
          <w:lang w:val="pt-BR"/>
        </w:rPr>
        <w:t>Continental T.V., Inc. v. GTE Sylvania Inc</w:t>
      </w:r>
      <w:r w:rsidR="009B7D49" w:rsidRPr="00D204A0">
        <w:rPr>
          <w:rStyle w:val="FootnoteReference"/>
          <w:iCs/>
          <w:sz w:val="22"/>
          <w:szCs w:val="22"/>
        </w:rPr>
        <w:footnoteReference w:id="2"/>
      </w:r>
      <w:r w:rsidR="009B7D49" w:rsidRPr="00D204A0">
        <w:rPr>
          <w:iCs/>
          <w:sz w:val="22"/>
          <w:szCs w:val="22"/>
          <w:lang w:val="pt-BR"/>
        </w:rPr>
        <w:t>,</w:t>
      </w:r>
      <w:r w:rsidR="009B7D49" w:rsidRPr="00D204A0">
        <w:rPr>
          <w:sz w:val="22"/>
          <w:szCs w:val="22"/>
          <w:lang w:val="pt-BR"/>
        </w:rPr>
        <w:t xml:space="preserve"> por exemplo, prevaleceu uma análise pela “regra da razão” no sentido de que determinadas restrições verticais podem promover concorrência inter-marcas. Seria assim, uma aplicação mais “pura do antitruste”, que poderia levar a conclusão que mercados mais concentrados podem ser mais benéficos para o consumidor em determinados casos, assim como restrições concorrências </w:t>
      </w:r>
      <w:r>
        <w:rPr>
          <w:sz w:val="22"/>
          <w:szCs w:val="22"/>
          <w:lang w:val="pt-BR"/>
        </w:rPr>
        <w:t xml:space="preserve">podem </w:t>
      </w:r>
      <w:r w:rsidR="009B7D49" w:rsidRPr="00D204A0">
        <w:rPr>
          <w:sz w:val="22"/>
          <w:szCs w:val="22"/>
          <w:lang w:val="pt-BR"/>
        </w:rPr>
        <w:t xml:space="preserve">fomentar a concorrência. </w:t>
      </w:r>
    </w:p>
    <w:p w:rsidR="00535EE9" w:rsidRPr="00D204A0" w:rsidRDefault="009B7D49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  <w:r w:rsidRPr="00D204A0">
        <w:rPr>
          <w:sz w:val="22"/>
          <w:szCs w:val="22"/>
          <w:lang w:val="pt-BR"/>
        </w:rPr>
        <w:t>Nessa linha, a jurisprudência americana foi colocando o “bem-estar” do consumidor como seu objetivo primordial.</w:t>
      </w:r>
      <w:r w:rsidR="00535EE9" w:rsidRPr="00D204A0">
        <w:rPr>
          <w:sz w:val="22"/>
          <w:szCs w:val="22"/>
          <w:lang w:val="pt-BR"/>
        </w:rPr>
        <w:t xml:space="preserve"> Essa promoção do bem estar do consumidor teria restaurado a “coerência intelectual” ao antitruste, que ao se preocupar com objetivos diversos de ordem não econômica acaba por ser anticoncorrencial, como descrito na famosa obra </w:t>
      </w:r>
      <w:r w:rsidR="00C13E93" w:rsidRPr="00D204A0">
        <w:rPr>
          <w:i/>
          <w:sz w:val="22"/>
          <w:szCs w:val="22"/>
          <w:lang w:val="pt-BR"/>
        </w:rPr>
        <w:t>Robert H. Bork</w:t>
      </w:r>
      <w:r w:rsidR="00535EE9" w:rsidRPr="00D204A0">
        <w:rPr>
          <w:i/>
          <w:sz w:val="22"/>
          <w:szCs w:val="22"/>
          <w:lang w:val="pt-BR"/>
        </w:rPr>
        <w:t xml:space="preserve">, </w:t>
      </w:r>
      <w:r w:rsidR="00C13E93" w:rsidRPr="00D204A0">
        <w:rPr>
          <w:i/>
          <w:sz w:val="22"/>
          <w:szCs w:val="22"/>
          <w:lang w:val="pt-BR"/>
        </w:rPr>
        <w:t>The Antitrust Paradox: A Policy At War With Itself</w:t>
      </w:r>
      <w:r w:rsidR="00C13E93" w:rsidRPr="00D204A0">
        <w:rPr>
          <w:sz w:val="22"/>
          <w:szCs w:val="22"/>
          <w:lang w:val="pt-BR"/>
        </w:rPr>
        <w:t xml:space="preserve"> (1978)</w:t>
      </w:r>
      <w:r w:rsidR="00535EE9" w:rsidRPr="00D204A0">
        <w:rPr>
          <w:sz w:val="22"/>
          <w:szCs w:val="22"/>
          <w:lang w:val="pt-BR"/>
        </w:rPr>
        <w:t xml:space="preserve">. </w:t>
      </w:r>
    </w:p>
    <w:p w:rsidR="00633C61" w:rsidRPr="00D204A0" w:rsidRDefault="00C13E93" w:rsidP="00633C61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  <w:r w:rsidRPr="00D204A0">
        <w:rPr>
          <w:sz w:val="22"/>
          <w:szCs w:val="22"/>
          <w:lang w:val="pt-BR"/>
        </w:rPr>
        <w:t xml:space="preserve">Na outra obra analisada, R. </w:t>
      </w:r>
      <w:r w:rsidR="00482C0F" w:rsidRPr="00D204A0">
        <w:rPr>
          <w:sz w:val="22"/>
          <w:szCs w:val="22"/>
          <w:lang w:val="pt-BR"/>
        </w:rPr>
        <w:t>P</w:t>
      </w:r>
      <w:r w:rsidRPr="00D204A0">
        <w:rPr>
          <w:sz w:val="22"/>
          <w:szCs w:val="22"/>
          <w:lang w:val="pt-BR"/>
        </w:rPr>
        <w:t xml:space="preserve">itofsky (1979) </w:t>
      </w:r>
      <w:r w:rsidR="00625927" w:rsidRPr="00D204A0">
        <w:rPr>
          <w:sz w:val="22"/>
          <w:szCs w:val="22"/>
          <w:lang w:val="pt-BR"/>
        </w:rPr>
        <w:t xml:space="preserve">reconhece que a aplicação das leis antitruste deve levar em conta aspectos econômicos de forma preponderante, mas que esses não devem ser os únicos aspectos a serem levados em conta. </w:t>
      </w:r>
      <w:r w:rsidR="003C1CEE">
        <w:rPr>
          <w:sz w:val="22"/>
          <w:szCs w:val="22"/>
          <w:lang w:val="pt-BR"/>
        </w:rPr>
        <w:t>Esse autor</w:t>
      </w:r>
      <w:r w:rsidR="00633C61" w:rsidRPr="00D204A0">
        <w:rPr>
          <w:sz w:val="22"/>
          <w:szCs w:val="22"/>
          <w:lang w:val="pt-BR"/>
        </w:rPr>
        <w:t xml:space="preserve"> contraria, nesse sentido, os economistas e advogados antitruste que advogam, em geral, que o </w:t>
      </w:r>
      <w:r w:rsidR="00633C61" w:rsidRPr="00D204A0">
        <w:rPr>
          <w:i/>
          <w:sz w:val="22"/>
          <w:szCs w:val="22"/>
          <w:lang w:val="pt-BR"/>
        </w:rPr>
        <w:t>economic approach</w:t>
      </w:r>
      <w:r w:rsidR="00633C61" w:rsidRPr="00D204A0">
        <w:rPr>
          <w:sz w:val="22"/>
          <w:szCs w:val="22"/>
          <w:lang w:val="pt-BR"/>
        </w:rPr>
        <w:t xml:space="preserve"> deve ser o único a ser aplicado. Vale lembrar, que esse </w:t>
      </w:r>
      <w:r w:rsidR="00633C61" w:rsidRPr="00D204A0">
        <w:rPr>
          <w:sz w:val="22"/>
          <w:szCs w:val="22"/>
          <w:lang w:val="pt-BR"/>
        </w:rPr>
        <w:lastRenderedPageBreak/>
        <w:t xml:space="preserve">argumento criticado por R. Pitofsky (1979) é o que os advogados militando perante o CADE nos dias de hoje buscam defender, esquecendo-se </w:t>
      </w:r>
      <w:r w:rsidR="00095A7C" w:rsidRPr="00D204A0">
        <w:rPr>
          <w:sz w:val="22"/>
          <w:szCs w:val="22"/>
          <w:lang w:val="pt-BR"/>
        </w:rPr>
        <w:t xml:space="preserve">de </w:t>
      </w:r>
      <w:r w:rsidR="00633C61" w:rsidRPr="00D204A0">
        <w:rPr>
          <w:sz w:val="22"/>
          <w:szCs w:val="22"/>
          <w:lang w:val="pt-BR"/>
        </w:rPr>
        <w:t>que a decisão de priorizar aspectos econômicos de forma preponderante ou a não intervenção não deixa de ser uma decisão política</w:t>
      </w:r>
      <w:r w:rsidR="003C1CEE">
        <w:rPr>
          <w:sz w:val="22"/>
          <w:szCs w:val="22"/>
          <w:lang w:val="pt-BR"/>
        </w:rPr>
        <w:t xml:space="preserve"> em última análise</w:t>
      </w:r>
      <w:r w:rsidR="00633C61" w:rsidRPr="00D204A0">
        <w:rPr>
          <w:sz w:val="22"/>
          <w:szCs w:val="22"/>
          <w:lang w:val="pt-BR"/>
        </w:rPr>
        <w:t>.</w:t>
      </w:r>
    </w:p>
    <w:p w:rsidR="00633C61" w:rsidRPr="00D204A0" w:rsidRDefault="00625927" w:rsidP="00C33C60">
      <w:pPr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lang w:val="pt-BR"/>
        </w:rPr>
        <w:t xml:space="preserve">Na visão de </w:t>
      </w:r>
      <w:r w:rsidR="00707862" w:rsidRPr="00D204A0">
        <w:rPr>
          <w:rFonts w:ascii="Times New Roman" w:hAnsi="Times New Roman" w:cs="Times New Roman"/>
          <w:lang w:val="pt-BR"/>
        </w:rPr>
        <w:t xml:space="preserve">R. Pitofsky (1979), </w:t>
      </w:r>
      <w:r w:rsidR="00482C0F" w:rsidRPr="00D204A0">
        <w:rPr>
          <w:rFonts w:ascii="Times New Roman" w:hAnsi="Times New Roman" w:cs="Times New Roman"/>
          <w:lang w:val="pt-BR"/>
        </w:rPr>
        <w:t xml:space="preserve">essa aplicação “pura” do antitruste </w:t>
      </w:r>
      <w:r w:rsidRPr="00D204A0">
        <w:rPr>
          <w:rFonts w:ascii="Times New Roman" w:hAnsi="Times New Roman" w:cs="Times New Roman"/>
          <w:lang w:val="pt-BR"/>
        </w:rPr>
        <w:t>seria um erro, pois, na sua visão, outros valores devem ser levados em conta para fins de interpretação da legislação antitruste.</w:t>
      </w:r>
      <w:r w:rsidR="00482C0F" w:rsidRPr="00D204A0">
        <w:rPr>
          <w:rFonts w:ascii="Times New Roman" w:hAnsi="Times New Roman" w:cs="Times New Roman"/>
          <w:lang w:val="pt-BR"/>
        </w:rPr>
        <w:t xml:space="preserve"> O autor reconhece que </w:t>
      </w:r>
      <w:r w:rsidRPr="00D204A0">
        <w:rPr>
          <w:rFonts w:ascii="Times New Roman" w:hAnsi="Times New Roman" w:cs="Times New Roman"/>
          <w:lang w:val="pt-BR"/>
        </w:rPr>
        <w:t>considerar outros valore</w:t>
      </w:r>
      <w:r w:rsidR="00482C0F" w:rsidRPr="00D204A0">
        <w:rPr>
          <w:rFonts w:ascii="Times New Roman" w:hAnsi="Times New Roman" w:cs="Times New Roman"/>
          <w:lang w:val="pt-BR"/>
        </w:rPr>
        <w:t>s “políticos” seria potencialmente problemático do ponto de vista prático, pois</w:t>
      </w:r>
      <w:r w:rsidRPr="00D204A0">
        <w:rPr>
          <w:rFonts w:ascii="Times New Roman" w:hAnsi="Times New Roman" w:cs="Times New Roman"/>
          <w:lang w:val="pt-BR"/>
        </w:rPr>
        <w:t xml:space="preserve"> são conceitos abertos e </w:t>
      </w:r>
      <w:r w:rsidR="00482C0F" w:rsidRPr="00D204A0">
        <w:rPr>
          <w:rFonts w:ascii="Times New Roman" w:hAnsi="Times New Roman" w:cs="Times New Roman"/>
          <w:lang w:val="pt-BR"/>
        </w:rPr>
        <w:t xml:space="preserve">isso </w:t>
      </w:r>
      <w:r w:rsidRPr="00D204A0">
        <w:rPr>
          <w:rFonts w:ascii="Times New Roman" w:hAnsi="Times New Roman" w:cs="Times New Roman"/>
          <w:lang w:val="pt-BR"/>
        </w:rPr>
        <w:t>geraria imprecisão e insegurança jurídica</w:t>
      </w:r>
      <w:r w:rsidR="00482C0F" w:rsidRPr="00D204A0">
        <w:rPr>
          <w:rFonts w:ascii="Times New Roman" w:hAnsi="Times New Roman" w:cs="Times New Roman"/>
          <w:lang w:val="pt-BR"/>
        </w:rPr>
        <w:t>. Contudo, sem isso, os objetivos da legislação antitruste, da forma como concebida, não seria cumprida.</w:t>
      </w:r>
      <w:r w:rsidR="004B242B" w:rsidRPr="00D204A0">
        <w:rPr>
          <w:rFonts w:ascii="Times New Roman" w:hAnsi="Times New Roman" w:cs="Times New Roman"/>
          <w:lang w:val="pt-BR"/>
        </w:rPr>
        <w:t xml:space="preserve"> </w:t>
      </w:r>
    </w:p>
    <w:p w:rsidR="004B242B" w:rsidRPr="00D204A0" w:rsidRDefault="004B242B" w:rsidP="00C33C60">
      <w:pPr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lang w:val="pt-BR"/>
        </w:rPr>
        <w:t>Os motivos para justificar a consideração de aspectos não econômicos seriam os seguintes: (i) histórico legislativo de aprovação das leis antitruste, em particular nos Estados Unidos</w:t>
      </w:r>
      <w:r w:rsidR="00C33C60" w:rsidRPr="00D204A0">
        <w:rPr>
          <w:rFonts w:ascii="Times New Roman" w:hAnsi="Times New Roman" w:cs="Times New Roman"/>
          <w:lang w:val="pt-BR"/>
        </w:rPr>
        <w:t xml:space="preserve"> (e os debates no Congresso norte-americano sobre a legislação antitruste deixam claro que os Estados Unidos não aplicam o liberalismo que exigem aos outros países</w:t>
      </w:r>
      <w:r w:rsidR="00633C61" w:rsidRPr="00D204A0">
        <w:rPr>
          <w:rFonts w:ascii="Times New Roman" w:hAnsi="Times New Roman" w:cs="Times New Roman"/>
          <w:lang w:val="pt-BR"/>
        </w:rPr>
        <w:t>)</w:t>
      </w:r>
      <w:r w:rsidRPr="00D204A0">
        <w:rPr>
          <w:rFonts w:ascii="Times New Roman" w:hAnsi="Times New Roman" w:cs="Times New Roman"/>
          <w:lang w:val="pt-BR"/>
        </w:rPr>
        <w:t>; (ii) viabilidade da incorporação de preocupações não concorrenciais, afirmando que há uma falsa ilusão de que a certeza quando se adota uma análise puramente econômica; (iii) compatibilidade entre objetivos políticos e econômicos; e (iv) preocupações políticas podem influenciar dentro dos limites de regras claras.</w:t>
      </w:r>
    </w:p>
    <w:p w:rsidR="00722265" w:rsidRPr="00D204A0" w:rsidRDefault="00482C0F" w:rsidP="00C33C60">
      <w:pPr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lang w:val="pt-BR"/>
        </w:rPr>
        <w:t>O autor fornece uma série de exemplos para mostrar como o antitruste não poderia ficar inerte quando a concentração de mercado representa</w:t>
      </w:r>
      <w:r w:rsidR="003C1CEE">
        <w:rPr>
          <w:rFonts w:ascii="Times New Roman" w:hAnsi="Times New Roman" w:cs="Times New Roman"/>
          <w:lang w:val="pt-BR"/>
        </w:rPr>
        <w:t>r</w:t>
      </w:r>
      <w:r w:rsidRPr="00D204A0">
        <w:rPr>
          <w:rFonts w:ascii="Times New Roman" w:hAnsi="Times New Roman" w:cs="Times New Roman"/>
          <w:lang w:val="pt-BR"/>
        </w:rPr>
        <w:t xml:space="preserve"> um risco à </w:t>
      </w:r>
      <w:r w:rsidR="00722265" w:rsidRPr="00D204A0">
        <w:rPr>
          <w:rFonts w:ascii="Times New Roman" w:hAnsi="Times New Roman" w:cs="Times New Roman"/>
          <w:lang w:val="pt-BR"/>
        </w:rPr>
        <w:t>democracia</w:t>
      </w:r>
      <w:r w:rsidR="00633C61" w:rsidRPr="00D204A0">
        <w:rPr>
          <w:rFonts w:ascii="Times New Roman" w:hAnsi="Times New Roman" w:cs="Times New Roman"/>
          <w:lang w:val="pt-BR"/>
        </w:rPr>
        <w:t xml:space="preserve"> e à liberdade</w:t>
      </w:r>
      <w:r w:rsidR="00722265" w:rsidRPr="00D204A0">
        <w:rPr>
          <w:rFonts w:ascii="Times New Roman" w:hAnsi="Times New Roman" w:cs="Times New Roman"/>
          <w:lang w:val="pt-BR"/>
        </w:rPr>
        <w:t xml:space="preserve">. Assim, o antitruste não só pode, como deve, se preocupar com a concentração excessiva de poder econômico, mesmo quando fruto de maior eficiência (e.g., controle da mídia por uma única família ou grupo econômico). </w:t>
      </w:r>
    </w:p>
    <w:p w:rsidR="00625927" w:rsidRPr="00D204A0" w:rsidRDefault="00722265" w:rsidP="00C33C60">
      <w:pPr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lang w:val="pt-BR"/>
        </w:rPr>
        <w:t xml:space="preserve">Além disso, </w:t>
      </w:r>
      <w:r w:rsidR="00707862" w:rsidRPr="00D204A0">
        <w:rPr>
          <w:rFonts w:ascii="Times New Roman" w:hAnsi="Times New Roman" w:cs="Times New Roman"/>
          <w:lang w:val="pt-BR"/>
        </w:rPr>
        <w:t>R. Pitofsky (1979)</w:t>
      </w:r>
      <w:r w:rsidRPr="00D204A0">
        <w:rPr>
          <w:rFonts w:ascii="Times New Roman" w:hAnsi="Times New Roman" w:cs="Times New Roman"/>
          <w:lang w:val="pt-BR"/>
        </w:rPr>
        <w:t xml:space="preserve"> se preocupa com a redução de leque de escolhas individuais dos consumidores, pois</w:t>
      </w:r>
      <w:r w:rsidR="003C1CEE">
        <w:rPr>
          <w:rFonts w:ascii="Times New Roman" w:hAnsi="Times New Roman" w:cs="Times New Roman"/>
          <w:lang w:val="pt-BR"/>
        </w:rPr>
        <w:t>,</w:t>
      </w:r>
      <w:r w:rsidRPr="00D204A0">
        <w:rPr>
          <w:rFonts w:ascii="Times New Roman" w:hAnsi="Times New Roman" w:cs="Times New Roman"/>
          <w:lang w:val="pt-BR"/>
        </w:rPr>
        <w:t xml:space="preserve"> na sua visão, opção é liberdade. </w:t>
      </w:r>
      <w:r w:rsidR="00625927" w:rsidRPr="00D204A0">
        <w:rPr>
          <w:rFonts w:ascii="Times New Roman" w:hAnsi="Times New Roman" w:cs="Times New Roman"/>
          <w:lang w:val="pt-BR"/>
        </w:rPr>
        <w:t>Assim o antitruste deve reduzir barr</w:t>
      </w:r>
      <w:r w:rsidRPr="00D204A0">
        <w:rPr>
          <w:rFonts w:ascii="Times New Roman" w:hAnsi="Times New Roman" w:cs="Times New Roman"/>
          <w:lang w:val="pt-BR"/>
        </w:rPr>
        <w:t>eiras e evitar práticas que gere</w:t>
      </w:r>
      <w:r w:rsidR="00625927" w:rsidRPr="00D204A0">
        <w:rPr>
          <w:rFonts w:ascii="Times New Roman" w:hAnsi="Times New Roman" w:cs="Times New Roman"/>
          <w:lang w:val="pt-BR"/>
        </w:rPr>
        <w:t>m restrições à entrada</w:t>
      </w:r>
      <w:r w:rsidR="003C1CEE">
        <w:rPr>
          <w:rFonts w:ascii="Times New Roman" w:hAnsi="Times New Roman" w:cs="Times New Roman"/>
          <w:lang w:val="pt-BR"/>
        </w:rPr>
        <w:t xml:space="preserve"> de novos agentes econômicos</w:t>
      </w:r>
      <w:r w:rsidR="00625927" w:rsidRPr="00D204A0">
        <w:rPr>
          <w:rFonts w:ascii="Times New Roman" w:hAnsi="Times New Roman" w:cs="Times New Roman"/>
          <w:lang w:val="pt-BR"/>
        </w:rPr>
        <w:t xml:space="preserve">. </w:t>
      </w:r>
      <w:r w:rsidRPr="00D204A0">
        <w:rPr>
          <w:rFonts w:ascii="Times New Roman" w:hAnsi="Times New Roman" w:cs="Times New Roman"/>
          <w:lang w:val="pt-BR"/>
        </w:rPr>
        <w:t>O motivo para isso é que, q</w:t>
      </w:r>
      <w:r w:rsidR="00625927" w:rsidRPr="00D204A0">
        <w:rPr>
          <w:rFonts w:ascii="Times New Roman" w:hAnsi="Times New Roman" w:cs="Times New Roman"/>
          <w:lang w:val="pt-BR"/>
        </w:rPr>
        <w:t xml:space="preserve">uando há muita concentração de mercado, os consumidores e governos perdem sua relevância no poder decisório sobre a forma de produzir, quantidade, qualidade, preço e etc. (ex: </w:t>
      </w:r>
      <w:r w:rsidR="008A416E">
        <w:rPr>
          <w:rFonts w:ascii="Times New Roman" w:hAnsi="Times New Roman" w:cs="Times New Roman"/>
          <w:lang w:val="pt-BR"/>
        </w:rPr>
        <w:t xml:space="preserve">não utilização de </w:t>
      </w:r>
      <w:r w:rsidR="00625927" w:rsidRPr="00D204A0">
        <w:rPr>
          <w:rFonts w:ascii="Times New Roman" w:hAnsi="Times New Roman" w:cs="Times New Roman"/>
          <w:lang w:val="pt-BR"/>
        </w:rPr>
        <w:t>tecnologia</w:t>
      </w:r>
      <w:r w:rsidR="000B0615">
        <w:rPr>
          <w:rFonts w:ascii="Times New Roman" w:hAnsi="Times New Roman" w:cs="Times New Roman"/>
          <w:lang w:val="pt-BR"/>
        </w:rPr>
        <w:t>s</w:t>
      </w:r>
      <w:r w:rsidR="00625927" w:rsidRPr="00D204A0">
        <w:rPr>
          <w:rFonts w:ascii="Times New Roman" w:hAnsi="Times New Roman" w:cs="Times New Roman"/>
          <w:lang w:val="pt-BR"/>
        </w:rPr>
        <w:t xml:space="preserve"> mais limpas). </w:t>
      </w:r>
    </w:p>
    <w:p w:rsidR="00466E6F" w:rsidRPr="00D204A0" w:rsidRDefault="00707862" w:rsidP="00C33C60">
      <w:pPr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lang w:val="pt-BR"/>
        </w:rPr>
        <w:t>Esse ponto acima nos</w:t>
      </w:r>
      <w:r w:rsidR="00466E6F" w:rsidRPr="00D204A0">
        <w:rPr>
          <w:rFonts w:ascii="Times New Roman" w:hAnsi="Times New Roman" w:cs="Times New Roman"/>
          <w:lang w:val="pt-BR"/>
        </w:rPr>
        <w:t xml:space="preserve"> remete ao texto analisado de </w:t>
      </w:r>
      <w:r w:rsidRPr="00D204A0">
        <w:rPr>
          <w:rFonts w:ascii="Times New Roman" w:hAnsi="Times New Roman" w:cs="Times New Roman"/>
          <w:lang w:val="pt-BR"/>
        </w:rPr>
        <w:t>Joshua D. Wright &amp; Douglas H. Ginsburg (2013)</w:t>
      </w:r>
      <w:r w:rsidR="00466E6F" w:rsidRPr="00D204A0">
        <w:rPr>
          <w:rFonts w:ascii="Times New Roman" w:hAnsi="Times New Roman" w:cs="Times New Roman"/>
          <w:lang w:val="pt-BR"/>
        </w:rPr>
        <w:t xml:space="preserve">, pois esses autores criticaram a primazia da liberdade do consumidor </w:t>
      </w:r>
      <w:r w:rsidR="008A416E">
        <w:rPr>
          <w:rFonts w:ascii="Times New Roman" w:hAnsi="Times New Roman" w:cs="Times New Roman"/>
          <w:lang w:val="pt-BR"/>
        </w:rPr>
        <w:t>(</w:t>
      </w:r>
      <w:r w:rsidR="008A416E" w:rsidRPr="008A416E">
        <w:rPr>
          <w:rFonts w:ascii="Times New Roman" w:hAnsi="Times New Roman" w:cs="Times New Roman"/>
          <w:i/>
          <w:lang w:val="pt-BR"/>
        </w:rPr>
        <w:t>choice standard</w:t>
      </w:r>
      <w:r w:rsidR="008A416E" w:rsidRPr="008A416E">
        <w:rPr>
          <w:rFonts w:ascii="Times New Roman" w:hAnsi="Times New Roman" w:cs="Times New Roman"/>
          <w:lang w:val="pt-BR"/>
        </w:rPr>
        <w:t xml:space="preserve"> </w:t>
      </w:r>
      <w:r w:rsidR="008A416E" w:rsidRPr="008A416E">
        <w:rPr>
          <w:rFonts w:ascii="Times New Roman" w:hAnsi="Times New Roman" w:cs="Times New Roman"/>
          <w:lang w:val="pt-BR"/>
        </w:rPr>
        <w:t>)</w:t>
      </w:r>
      <w:r w:rsidR="00466E6F" w:rsidRPr="00D204A0">
        <w:rPr>
          <w:rFonts w:ascii="Times New Roman" w:hAnsi="Times New Roman" w:cs="Times New Roman"/>
          <w:lang w:val="pt-BR"/>
        </w:rPr>
        <w:t>sobre outros valores considerados por eles como mais relevantes do ponto de vista do bem-estar do consumidor</w:t>
      </w:r>
      <w:r w:rsidR="008A416E">
        <w:rPr>
          <w:rFonts w:ascii="Times New Roman" w:hAnsi="Times New Roman" w:cs="Times New Roman"/>
          <w:lang w:val="pt-BR"/>
        </w:rPr>
        <w:t>.</w:t>
      </w:r>
      <w:r w:rsidR="00466E6F" w:rsidRPr="00D204A0">
        <w:rPr>
          <w:rFonts w:ascii="Times New Roman" w:hAnsi="Times New Roman" w:cs="Times New Roman"/>
          <w:lang w:val="pt-BR"/>
        </w:rPr>
        <w:t xml:space="preserve"> </w:t>
      </w:r>
      <w:r w:rsidR="008A416E">
        <w:rPr>
          <w:rFonts w:ascii="Times New Roman" w:hAnsi="Times New Roman" w:cs="Times New Roman"/>
          <w:lang w:val="pt-BR"/>
        </w:rPr>
        <w:t>Essa abordagem focando na liberdade do consumidor poderia</w:t>
      </w:r>
      <w:r w:rsidR="00466E6F" w:rsidRPr="00D204A0">
        <w:rPr>
          <w:rFonts w:ascii="Times New Roman" w:hAnsi="Times New Roman" w:cs="Times New Roman"/>
          <w:lang w:val="pt-BR"/>
        </w:rPr>
        <w:t xml:space="preserve"> fazer o antitruste regredir para os anos onde os interesses políticos e sociais determinavam a aplicação do antitruste. </w:t>
      </w:r>
    </w:p>
    <w:p w:rsidR="00633C61" w:rsidRPr="00D204A0" w:rsidRDefault="00466E6F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  <w:r w:rsidRPr="00D204A0">
        <w:rPr>
          <w:sz w:val="22"/>
          <w:szCs w:val="22"/>
          <w:lang w:val="pt-BR"/>
        </w:rPr>
        <w:t>Essa análise é feita pela crítica do</w:t>
      </w:r>
      <w:r w:rsidR="008A416E">
        <w:rPr>
          <w:sz w:val="22"/>
          <w:szCs w:val="22"/>
          <w:lang w:val="pt-BR"/>
        </w:rPr>
        <w:t>s</w:t>
      </w:r>
      <w:r w:rsidRPr="00D204A0">
        <w:rPr>
          <w:sz w:val="22"/>
          <w:szCs w:val="22"/>
          <w:lang w:val="pt-BR"/>
        </w:rPr>
        <w:t xml:space="preserve"> autor</w:t>
      </w:r>
      <w:r w:rsidR="008A416E">
        <w:rPr>
          <w:sz w:val="22"/>
          <w:szCs w:val="22"/>
          <w:lang w:val="pt-BR"/>
        </w:rPr>
        <w:t>es</w:t>
      </w:r>
      <w:r w:rsidRPr="00D204A0">
        <w:rPr>
          <w:sz w:val="22"/>
          <w:szCs w:val="22"/>
          <w:lang w:val="pt-BR"/>
        </w:rPr>
        <w:t xml:space="preserve"> aos desdobramentos da primazia do interesse do consumidor para o</w:t>
      </w:r>
      <w:r w:rsidR="004B242B" w:rsidRPr="00D204A0">
        <w:rPr>
          <w:sz w:val="22"/>
          <w:szCs w:val="22"/>
          <w:lang w:val="pt-BR"/>
        </w:rPr>
        <w:t xml:space="preserve"> chamado </w:t>
      </w:r>
      <w:r w:rsidR="004B242B" w:rsidRPr="00D204A0">
        <w:rPr>
          <w:i/>
          <w:sz w:val="22"/>
          <w:szCs w:val="22"/>
          <w:lang w:val="pt-BR"/>
        </w:rPr>
        <w:t>consumer choice standard</w:t>
      </w:r>
      <w:r w:rsidRPr="00D204A0">
        <w:rPr>
          <w:sz w:val="22"/>
          <w:szCs w:val="22"/>
          <w:lang w:val="pt-BR"/>
        </w:rPr>
        <w:t xml:space="preserve"> e outros conceitos que direcionam a legislação antitruste a </w:t>
      </w:r>
      <w:r w:rsidRPr="00D204A0">
        <w:rPr>
          <w:sz w:val="22"/>
          <w:szCs w:val="22"/>
          <w:lang w:val="pt-BR"/>
        </w:rPr>
        <w:lastRenderedPageBreak/>
        <w:t xml:space="preserve">reprimir condutas que restrinjam outros aspectos que não preço. Isso </w:t>
      </w:r>
      <w:r w:rsidR="004B242B" w:rsidRPr="00D204A0">
        <w:rPr>
          <w:sz w:val="22"/>
          <w:szCs w:val="22"/>
          <w:lang w:val="pt-BR"/>
        </w:rPr>
        <w:t>resulta</w:t>
      </w:r>
      <w:r w:rsidR="00633C61" w:rsidRPr="00D204A0">
        <w:rPr>
          <w:sz w:val="22"/>
          <w:szCs w:val="22"/>
          <w:lang w:val="pt-BR"/>
        </w:rPr>
        <w:t>ria</w:t>
      </w:r>
      <w:r w:rsidR="004B242B" w:rsidRPr="00D204A0">
        <w:rPr>
          <w:sz w:val="22"/>
          <w:szCs w:val="22"/>
          <w:lang w:val="pt-BR"/>
        </w:rPr>
        <w:t xml:space="preserve">, na visão de </w:t>
      </w:r>
      <w:r w:rsidR="00707862" w:rsidRPr="00D204A0">
        <w:rPr>
          <w:sz w:val="22"/>
          <w:szCs w:val="22"/>
          <w:lang w:val="pt-BR"/>
        </w:rPr>
        <w:t>Joshua D. Wright &amp; Douglas H. Ginsburg (2013)</w:t>
      </w:r>
      <w:r w:rsidR="004B242B" w:rsidRPr="00D204A0">
        <w:rPr>
          <w:sz w:val="22"/>
          <w:szCs w:val="22"/>
          <w:lang w:val="pt-BR"/>
        </w:rPr>
        <w:t>,</w:t>
      </w:r>
      <w:r w:rsidRPr="00D204A0">
        <w:rPr>
          <w:sz w:val="22"/>
          <w:szCs w:val="22"/>
          <w:lang w:val="pt-BR"/>
        </w:rPr>
        <w:t xml:space="preserve"> </w:t>
      </w:r>
      <w:r w:rsidR="00535EE9" w:rsidRPr="00D204A0">
        <w:rPr>
          <w:sz w:val="22"/>
          <w:szCs w:val="22"/>
          <w:lang w:val="pt-BR"/>
        </w:rPr>
        <w:t xml:space="preserve">em </w:t>
      </w:r>
      <w:r w:rsidRPr="00D204A0">
        <w:rPr>
          <w:sz w:val="22"/>
          <w:szCs w:val="22"/>
          <w:lang w:val="pt-BR"/>
        </w:rPr>
        <w:t xml:space="preserve">um perigo de que operações </w:t>
      </w:r>
      <w:r w:rsidR="00840543" w:rsidRPr="00D204A0">
        <w:rPr>
          <w:sz w:val="22"/>
          <w:szCs w:val="22"/>
          <w:lang w:val="pt-BR"/>
        </w:rPr>
        <w:t xml:space="preserve">econômicas </w:t>
      </w:r>
      <w:r w:rsidRPr="00D204A0">
        <w:rPr>
          <w:sz w:val="22"/>
          <w:szCs w:val="22"/>
          <w:lang w:val="pt-BR"/>
        </w:rPr>
        <w:t xml:space="preserve">que geram eficiências econômicas e/ou redução de preço e/ou aumento de qualidade fossem vetadas apenas por diminuírem quantitativamente o número de concorrentes. </w:t>
      </w:r>
    </w:p>
    <w:p w:rsidR="00535EE9" w:rsidRPr="00D204A0" w:rsidRDefault="00535EE9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both"/>
        <w:rPr>
          <w:sz w:val="22"/>
          <w:szCs w:val="22"/>
          <w:lang w:val="pt-BR"/>
        </w:rPr>
      </w:pPr>
      <w:r w:rsidRPr="00D204A0">
        <w:rPr>
          <w:sz w:val="22"/>
          <w:szCs w:val="22"/>
          <w:lang w:val="pt-BR"/>
        </w:rPr>
        <w:t xml:space="preserve">Na sua visão, a chamada </w:t>
      </w:r>
      <w:r w:rsidRPr="00D204A0">
        <w:rPr>
          <w:i/>
          <w:sz w:val="22"/>
          <w:szCs w:val="22"/>
          <w:lang w:val="pt-BR"/>
        </w:rPr>
        <w:t>choice standard</w:t>
      </w:r>
      <w:r w:rsidRPr="00D204A0">
        <w:rPr>
          <w:sz w:val="22"/>
          <w:szCs w:val="22"/>
          <w:lang w:val="pt-BR"/>
        </w:rPr>
        <w:t xml:space="preserve"> não é considerada adequada, pois irá mudar o foco da análise antitruste da eficiência econômica para conceitos de bem-estar do consumidor pautados na concorrência fomentada pela quantidade de </w:t>
      </w:r>
      <w:r w:rsidR="00840543" w:rsidRPr="00D204A0">
        <w:rPr>
          <w:sz w:val="22"/>
          <w:szCs w:val="22"/>
          <w:lang w:val="pt-BR"/>
        </w:rPr>
        <w:t>agentes econômicos no mercado</w:t>
      </w:r>
      <w:r w:rsidRPr="00D204A0">
        <w:rPr>
          <w:sz w:val="22"/>
          <w:szCs w:val="22"/>
          <w:lang w:val="pt-BR"/>
        </w:rPr>
        <w:t xml:space="preserve">. Isso desconsidera elementos relevantes da concorrência, como questões de qualidade e inovação nos mercados. A despeito de ser desejado que conceitos como variedade, qualidade e inovação sejam inseridos no conceito de bem estar do consumidor, isso já está incorporado na análise tradicional do antitruste. A </w:t>
      </w:r>
      <w:r w:rsidRPr="00D204A0">
        <w:rPr>
          <w:i/>
          <w:sz w:val="22"/>
          <w:szCs w:val="22"/>
          <w:lang w:val="pt-BR"/>
        </w:rPr>
        <w:t>choice standard</w:t>
      </w:r>
      <w:r w:rsidR="00633C61" w:rsidRPr="00D204A0">
        <w:rPr>
          <w:sz w:val="22"/>
          <w:szCs w:val="22"/>
          <w:lang w:val="pt-BR"/>
        </w:rPr>
        <w:t>, assim,</w:t>
      </w:r>
      <w:r w:rsidRPr="00D204A0">
        <w:rPr>
          <w:sz w:val="22"/>
          <w:szCs w:val="22"/>
          <w:lang w:val="pt-BR"/>
        </w:rPr>
        <w:t xml:space="preserve"> reduz</w:t>
      </w:r>
      <w:r w:rsidR="00633C61" w:rsidRPr="00D204A0">
        <w:rPr>
          <w:sz w:val="22"/>
          <w:szCs w:val="22"/>
          <w:lang w:val="pt-BR"/>
        </w:rPr>
        <w:t>iria</w:t>
      </w:r>
      <w:r w:rsidRPr="00D204A0">
        <w:rPr>
          <w:sz w:val="22"/>
          <w:szCs w:val="22"/>
          <w:lang w:val="pt-BR"/>
        </w:rPr>
        <w:t xml:space="preserve"> a importância d</w:t>
      </w:r>
      <w:r w:rsidR="00840543" w:rsidRPr="00D204A0">
        <w:rPr>
          <w:sz w:val="22"/>
          <w:szCs w:val="22"/>
          <w:lang w:val="pt-BR"/>
        </w:rPr>
        <w:t>a abordagem</w:t>
      </w:r>
      <w:r w:rsidRPr="00D204A0">
        <w:rPr>
          <w:sz w:val="22"/>
          <w:szCs w:val="22"/>
          <w:lang w:val="pt-BR"/>
        </w:rPr>
        <w:t xml:space="preserve"> econômic</w:t>
      </w:r>
      <w:r w:rsidR="00F52334" w:rsidRPr="00D204A0">
        <w:rPr>
          <w:sz w:val="22"/>
          <w:szCs w:val="22"/>
          <w:lang w:val="pt-BR"/>
        </w:rPr>
        <w:t>a</w:t>
      </w:r>
      <w:r w:rsidRPr="00D204A0">
        <w:rPr>
          <w:sz w:val="22"/>
          <w:szCs w:val="22"/>
          <w:lang w:val="pt-BR"/>
        </w:rPr>
        <w:t xml:space="preserve"> ao adotar a presunção de que mais concorrentes e marcas </w:t>
      </w:r>
      <w:r w:rsidR="00633C61" w:rsidRPr="00D204A0">
        <w:rPr>
          <w:sz w:val="22"/>
          <w:szCs w:val="22"/>
          <w:lang w:val="pt-BR"/>
        </w:rPr>
        <w:t>gera</w:t>
      </w:r>
      <w:r w:rsidRPr="00D204A0">
        <w:rPr>
          <w:sz w:val="22"/>
          <w:szCs w:val="22"/>
          <w:lang w:val="pt-BR"/>
        </w:rPr>
        <w:t xml:space="preserve"> mais concorrência, o que ignora as eficiências potencialmente geradas por restrições e não possui amparo empírico ou teórico.</w:t>
      </w:r>
    </w:p>
    <w:p w:rsidR="00633C61" w:rsidRPr="00D204A0" w:rsidRDefault="000B0615" w:rsidP="00C33C6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 chamado </w:t>
      </w:r>
      <w:r w:rsidR="00466E6F" w:rsidRPr="00D204A0">
        <w:rPr>
          <w:rFonts w:ascii="Times New Roman" w:hAnsi="Times New Roman" w:cs="Times New Roman"/>
          <w:i/>
          <w:lang w:val="pt-BR"/>
        </w:rPr>
        <w:t>consumer choice standard</w:t>
      </w:r>
      <w:r w:rsidR="00466E6F" w:rsidRPr="00D204A0">
        <w:rPr>
          <w:rFonts w:ascii="Times New Roman" w:hAnsi="Times New Roman" w:cs="Times New Roman"/>
          <w:lang w:val="pt-BR"/>
        </w:rPr>
        <w:t xml:space="preserve"> nasceu da preocupação de q</w:t>
      </w:r>
      <w:r w:rsidR="00633C61" w:rsidRPr="00D204A0">
        <w:rPr>
          <w:rFonts w:ascii="Times New Roman" w:hAnsi="Times New Roman" w:cs="Times New Roman"/>
          <w:lang w:val="pt-BR"/>
        </w:rPr>
        <w:t>ue a análise tradicional de bem-</w:t>
      </w:r>
      <w:r w:rsidR="00466E6F" w:rsidRPr="00D204A0">
        <w:rPr>
          <w:rFonts w:ascii="Times New Roman" w:hAnsi="Times New Roman" w:cs="Times New Roman"/>
          <w:lang w:val="pt-BR"/>
        </w:rPr>
        <w:t>estar do consumidor ignorava os benefícios da concorrência não via preço. Neil Averitt e Robert Lande</w:t>
      </w:r>
      <w:r w:rsidR="00466E6F" w:rsidRPr="00D204A0">
        <w:rPr>
          <w:rStyle w:val="FootnoteReference"/>
          <w:rFonts w:ascii="Times New Roman" w:hAnsi="Times New Roman" w:cs="Times New Roman"/>
          <w:lang w:val="pt-BR"/>
        </w:rPr>
        <w:footnoteReference w:id="3"/>
      </w:r>
      <w:r w:rsidR="00840543" w:rsidRPr="00D204A0">
        <w:rPr>
          <w:rFonts w:ascii="Times New Roman" w:hAnsi="Times New Roman" w:cs="Times New Roman"/>
          <w:lang w:val="pt-BR"/>
        </w:rPr>
        <w:t>, que não concordam com Joshua D. Wright &amp; Douglas H. Ginsburg (2013),</w:t>
      </w:r>
      <w:r w:rsidR="00466E6F" w:rsidRPr="00D204A0">
        <w:rPr>
          <w:rFonts w:ascii="Times New Roman" w:hAnsi="Times New Roman" w:cs="Times New Roman"/>
          <w:lang w:val="pt-BR"/>
        </w:rPr>
        <w:t xml:space="preserve"> </w:t>
      </w:r>
      <w:r w:rsidR="004B242B" w:rsidRPr="00D204A0">
        <w:rPr>
          <w:rFonts w:ascii="Times New Roman" w:hAnsi="Times New Roman" w:cs="Times New Roman"/>
          <w:lang w:val="pt-BR"/>
        </w:rPr>
        <w:t>apresentam</w:t>
      </w:r>
      <w:r w:rsidR="00466E6F" w:rsidRPr="00D204A0">
        <w:rPr>
          <w:rFonts w:ascii="Times New Roman" w:hAnsi="Times New Roman" w:cs="Times New Roman"/>
          <w:lang w:val="pt-BR"/>
        </w:rPr>
        <w:t xml:space="preserve"> o </w:t>
      </w:r>
      <w:r w:rsidR="00466E6F" w:rsidRPr="00D204A0">
        <w:rPr>
          <w:rFonts w:ascii="Times New Roman" w:hAnsi="Times New Roman" w:cs="Times New Roman"/>
          <w:i/>
          <w:lang w:val="pt-BR"/>
        </w:rPr>
        <w:t>consumer choice standard</w:t>
      </w:r>
      <w:r w:rsidR="00466E6F" w:rsidRPr="00D204A0">
        <w:rPr>
          <w:rFonts w:ascii="Times New Roman" w:hAnsi="Times New Roman" w:cs="Times New Roman"/>
          <w:lang w:val="pt-BR"/>
        </w:rPr>
        <w:t xml:space="preserve"> como um</w:t>
      </w:r>
      <w:r w:rsidR="004B242B" w:rsidRPr="00D204A0">
        <w:rPr>
          <w:rFonts w:ascii="Times New Roman" w:hAnsi="Times New Roman" w:cs="Times New Roman"/>
          <w:lang w:val="pt-BR"/>
        </w:rPr>
        <w:t>a</w:t>
      </w:r>
      <w:r w:rsidR="00466E6F" w:rsidRPr="00D204A0">
        <w:rPr>
          <w:rFonts w:ascii="Times New Roman" w:hAnsi="Times New Roman" w:cs="Times New Roman"/>
          <w:lang w:val="pt-BR"/>
        </w:rPr>
        <w:t xml:space="preserve"> </w:t>
      </w:r>
      <w:r w:rsidR="004B242B" w:rsidRPr="00D204A0">
        <w:rPr>
          <w:rFonts w:ascii="Times New Roman" w:hAnsi="Times New Roman" w:cs="Times New Roman"/>
          <w:lang w:val="pt-BR"/>
        </w:rPr>
        <w:t>alternativa</w:t>
      </w:r>
      <w:r w:rsidR="00466E6F" w:rsidRPr="00D204A0">
        <w:rPr>
          <w:rFonts w:ascii="Times New Roman" w:hAnsi="Times New Roman" w:cs="Times New Roman"/>
          <w:lang w:val="pt-BR"/>
        </w:rPr>
        <w:t xml:space="preserve"> ao modelo tradicional de bem-estar do consumidor</w:t>
      </w:r>
      <w:r w:rsidR="004B242B" w:rsidRPr="00D204A0">
        <w:rPr>
          <w:rFonts w:ascii="Times New Roman" w:hAnsi="Times New Roman" w:cs="Times New Roman"/>
          <w:lang w:val="pt-BR"/>
        </w:rPr>
        <w:t xml:space="preserve">, e parecem estar alinhados com </w:t>
      </w:r>
      <w:r w:rsidR="00840543" w:rsidRPr="00D204A0">
        <w:rPr>
          <w:rFonts w:ascii="Times New Roman" w:hAnsi="Times New Roman" w:cs="Times New Roman"/>
          <w:lang w:val="pt-BR"/>
        </w:rPr>
        <w:t xml:space="preserve">R. Pitofsky (1979) </w:t>
      </w:r>
      <w:r w:rsidR="008A416E">
        <w:rPr>
          <w:rFonts w:ascii="Times New Roman" w:hAnsi="Times New Roman" w:cs="Times New Roman"/>
          <w:lang w:val="pt-BR"/>
        </w:rPr>
        <w:t>ao serem menos “puristas” na aplicação do antitruste</w:t>
      </w:r>
      <w:bookmarkStart w:id="0" w:name="_GoBack"/>
      <w:bookmarkEnd w:id="0"/>
      <w:r w:rsidR="00466E6F" w:rsidRPr="00D204A0">
        <w:rPr>
          <w:rFonts w:ascii="Times New Roman" w:hAnsi="Times New Roman" w:cs="Times New Roman"/>
          <w:lang w:val="pt-BR"/>
        </w:rPr>
        <w:t xml:space="preserve">. Para eles, um cartel não é ruim porque aumenta preços, mas sim porque reduz opções de preços e de escolha. </w:t>
      </w:r>
    </w:p>
    <w:p w:rsidR="00625927" w:rsidRPr="00D204A0" w:rsidRDefault="00840543" w:rsidP="00C33C6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lang w:val="pt-BR"/>
        </w:rPr>
        <w:t xml:space="preserve">R. Pitofsky (1979) </w:t>
      </w:r>
      <w:r w:rsidR="004B242B" w:rsidRPr="00D204A0">
        <w:rPr>
          <w:rFonts w:ascii="Times New Roman" w:hAnsi="Times New Roman" w:cs="Times New Roman"/>
          <w:lang w:val="pt-BR"/>
        </w:rPr>
        <w:t>deixa claro, contudo, que não defende que qualquer tip</w:t>
      </w:r>
      <w:r w:rsidRPr="00D204A0">
        <w:rPr>
          <w:rFonts w:ascii="Times New Roman" w:hAnsi="Times New Roman" w:cs="Times New Roman"/>
          <w:lang w:val="pt-BR"/>
        </w:rPr>
        <w:t>o de interferência política possa</w:t>
      </w:r>
      <w:r w:rsidR="004B242B" w:rsidRPr="00D204A0">
        <w:rPr>
          <w:rFonts w:ascii="Times New Roman" w:hAnsi="Times New Roman" w:cs="Times New Roman"/>
          <w:lang w:val="pt-BR"/>
        </w:rPr>
        <w:t xml:space="preserve"> afetar o antitruste. Na sua visão, t</w:t>
      </w:r>
      <w:r w:rsidR="00625927" w:rsidRPr="00D204A0">
        <w:rPr>
          <w:rFonts w:ascii="Times New Roman" w:hAnsi="Times New Roman" w:cs="Times New Roman"/>
          <w:lang w:val="pt-BR"/>
        </w:rPr>
        <w:t>emas não econômicos que não devem ser levados em conta</w:t>
      </w:r>
      <w:r w:rsidR="004B242B" w:rsidRPr="00D204A0">
        <w:rPr>
          <w:rFonts w:ascii="Times New Roman" w:hAnsi="Times New Roman" w:cs="Times New Roman"/>
          <w:lang w:val="pt-BR"/>
        </w:rPr>
        <w:t xml:space="preserve"> incluem</w:t>
      </w:r>
      <w:r w:rsidR="00625927" w:rsidRPr="00D204A0">
        <w:rPr>
          <w:rFonts w:ascii="Times New Roman" w:hAnsi="Times New Roman" w:cs="Times New Roman"/>
          <w:lang w:val="pt-BR"/>
        </w:rPr>
        <w:t>: (i) proteção do pequeno negócio contra a concorrência; (ii) privilégios para determinados agentes a garantir posições comerciais a despeito da eficiência; (iii) distribuição de receitas para fins sociais.</w:t>
      </w:r>
    </w:p>
    <w:p w:rsidR="00D204A0" w:rsidRDefault="00D204A0">
      <w:pPr>
        <w:rPr>
          <w:rFonts w:ascii="Times New Roman" w:hAnsi="Times New Roman" w:cs="Times New Roman"/>
          <w:u w:val="single"/>
          <w:lang w:val="pt-BR"/>
        </w:rPr>
      </w:pPr>
      <w:r>
        <w:rPr>
          <w:rFonts w:ascii="Times New Roman" w:hAnsi="Times New Roman" w:cs="Times New Roman"/>
          <w:u w:val="single"/>
          <w:lang w:val="pt-BR"/>
        </w:rPr>
        <w:br w:type="page"/>
      </w:r>
    </w:p>
    <w:p w:rsidR="005817E1" w:rsidRPr="00D204A0" w:rsidRDefault="005817E1" w:rsidP="00C33C6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u w:val="single"/>
          <w:lang w:val="pt-BR"/>
        </w:rPr>
        <w:lastRenderedPageBreak/>
        <w:t>Algumas Provocações</w:t>
      </w:r>
      <w:r w:rsidRPr="00D204A0">
        <w:rPr>
          <w:rFonts w:ascii="Times New Roman" w:hAnsi="Times New Roman" w:cs="Times New Roman"/>
          <w:lang w:val="pt-BR"/>
        </w:rPr>
        <w:t>:</w:t>
      </w:r>
    </w:p>
    <w:p w:rsidR="003715E8" w:rsidRPr="00D204A0" w:rsidRDefault="00C51FBC" w:rsidP="003715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lang w:val="pt-BR"/>
        </w:rPr>
        <w:t xml:space="preserve">Ao pensarmos em uma economia globalizada, impedir o surgimento </w:t>
      </w:r>
      <w:r w:rsidR="003715E8" w:rsidRPr="00D204A0">
        <w:rPr>
          <w:rFonts w:ascii="Times New Roman" w:hAnsi="Times New Roman" w:cs="Times New Roman"/>
          <w:lang w:val="pt-BR"/>
        </w:rPr>
        <w:t xml:space="preserve">de grandes corporações, que possam produzir em grande escala, não impede a competitividade de empresas brasileiras no exterior? </w:t>
      </w:r>
      <w:r w:rsidR="00633C61" w:rsidRPr="00D204A0">
        <w:rPr>
          <w:rFonts w:ascii="Times New Roman" w:hAnsi="Times New Roman" w:cs="Times New Roman"/>
          <w:lang w:val="pt-BR"/>
        </w:rPr>
        <w:t xml:space="preserve">Ou seja, o antitruste, como conhecemos hoje, não serve mais às grandes potências? </w:t>
      </w:r>
    </w:p>
    <w:p w:rsidR="00C51FBC" w:rsidRPr="00D204A0" w:rsidRDefault="003715E8" w:rsidP="003715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lang w:val="pt-BR"/>
        </w:rPr>
        <w:t xml:space="preserve">Em que medida os governos </w:t>
      </w:r>
      <w:r w:rsidR="00633C61" w:rsidRPr="00D204A0">
        <w:rPr>
          <w:rFonts w:ascii="Times New Roman" w:hAnsi="Times New Roman" w:cs="Times New Roman"/>
          <w:lang w:val="pt-BR"/>
        </w:rPr>
        <w:t xml:space="preserve">nacionais </w:t>
      </w:r>
      <w:r w:rsidRPr="00D204A0">
        <w:rPr>
          <w:rFonts w:ascii="Times New Roman" w:hAnsi="Times New Roman" w:cs="Times New Roman"/>
          <w:lang w:val="pt-BR"/>
        </w:rPr>
        <w:t xml:space="preserve">devem dar uma imunidade plena para cartéis focando na exportação? Por outro lado, em que medida a exportação de bens e serviços não reduz potencialmente o abastecimento do mercado interno e pode gerar maiores preços e redução da oferta e até mesmo qualidade? </w:t>
      </w:r>
    </w:p>
    <w:p w:rsidR="003715E8" w:rsidRPr="00D204A0" w:rsidRDefault="003715E8" w:rsidP="003715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lang w:val="pt-BR"/>
        </w:rPr>
        <w:t>Em que medida a autoridade concorrencial deve fazer política pública? Exemplo: A concentração econômica no mercado de bens supérfluos, como joias, deve ser analisada de forma mais “light” do que a concentração econômica no mercado de saúde (e.g., hospitais)?</w:t>
      </w:r>
    </w:p>
    <w:p w:rsidR="003715E8" w:rsidRPr="00D204A0" w:rsidRDefault="003715E8" w:rsidP="003715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lang w:val="pt-BR"/>
        </w:rPr>
        <w:t xml:space="preserve">Deve o antitruste orientar as políticas públicas? Exemplo 1: </w:t>
      </w:r>
      <w:r w:rsidRPr="00D204A0">
        <w:rPr>
          <w:rFonts w:ascii="Times New Roman" w:hAnsi="Times New Roman" w:cs="Times New Roman"/>
          <w:i/>
          <w:lang w:val="pt-BR"/>
        </w:rPr>
        <w:t>Plain tobacco packaging</w:t>
      </w:r>
      <w:r w:rsidR="008945D2" w:rsidRPr="00D204A0">
        <w:rPr>
          <w:rFonts w:ascii="Times New Roman" w:hAnsi="Times New Roman" w:cs="Times New Roman"/>
          <w:lang w:val="pt-BR"/>
        </w:rPr>
        <w:t>,</w:t>
      </w:r>
      <w:r w:rsidRPr="00D204A0">
        <w:rPr>
          <w:rFonts w:ascii="Times New Roman" w:hAnsi="Times New Roman" w:cs="Times New Roman"/>
          <w:lang w:val="pt-BR"/>
        </w:rPr>
        <w:t xml:space="preserve"> defendido pelo Ministério de Saúde</w:t>
      </w:r>
      <w:r w:rsidR="008945D2" w:rsidRPr="00D204A0">
        <w:rPr>
          <w:rFonts w:ascii="Times New Roman" w:hAnsi="Times New Roman" w:cs="Times New Roman"/>
          <w:lang w:val="pt-BR"/>
        </w:rPr>
        <w:t>,</w:t>
      </w:r>
      <w:r w:rsidRPr="00D204A0">
        <w:rPr>
          <w:rFonts w:ascii="Times New Roman" w:hAnsi="Times New Roman" w:cs="Times New Roman"/>
          <w:lang w:val="pt-BR"/>
        </w:rPr>
        <w:t xml:space="preserve"> induz concorrência via preço, o que torna os cigarros mais baratos e potencialmente aumenta </w:t>
      </w:r>
      <w:r w:rsidR="00D204A0" w:rsidRPr="00D204A0">
        <w:rPr>
          <w:rFonts w:ascii="Times New Roman" w:hAnsi="Times New Roman" w:cs="Times New Roman"/>
          <w:lang w:val="pt-BR"/>
        </w:rPr>
        <w:t>o consumo</w:t>
      </w:r>
      <w:r w:rsidRPr="00D204A0">
        <w:rPr>
          <w:rFonts w:ascii="Times New Roman" w:hAnsi="Times New Roman" w:cs="Times New Roman"/>
          <w:lang w:val="pt-BR"/>
        </w:rPr>
        <w:t>; Exemplo 2: Deve a autoridade concorrencial barrar uma operação que seja eficiente o bastante para reduzir o preço de armas para</w:t>
      </w:r>
      <w:r w:rsidR="005817E1" w:rsidRPr="00D204A0">
        <w:rPr>
          <w:rFonts w:ascii="Times New Roman" w:hAnsi="Times New Roman" w:cs="Times New Roman"/>
          <w:lang w:val="pt-BR"/>
        </w:rPr>
        <w:t xml:space="preserve"> “civis”, considerando uma política pública desarmamentista? </w:t>
      </w:r>
    </w:p>
    <w:p w:rsidR="005817E1" w:rsidRPr="00D204A0" w:rsidRDefault="005817E1" w:rsidP="00581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lang w:val="pt-BR"/>
        </w:rPr>
        <w:t>Em que medida os Estados Unidos só impõe e defendem um “liberalismo” econômico para os demais, como uma forma de facilitar o seu acesso a novos mercados, mantendo-se internamente extremamente intervencionista (e.g., limitação do limite de licenças de motorista de aplicativos em NY para reduzir concorrência, aumentar qualidade e reduzir poluição). E o nosso paralelo com o tabelamento dos fretes?</w:t>
      </w:r>
    </w:p>
    <w:p w:rsidR="00DC4193" w:rsidRPr="00D204A0" w:rsidRDefault="000F6721" w:rsidP="00DC41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lang w:val="pt-BR"/>
        </w:rPr>
        <w:t xml:space="preserve">As autoridades concorrenciais devem ter nos seus quadros pessoas com uma visão alinhada com a visão de governo ou é melhor uma composição “eclética” para permitir debates mais amplos e refinados? </w:t>
      </w:r>
    </w:p>
    <w:p w:rsidR="00DC4193" w:rsidRPr="00D204A0" w:rsidRDefault="00DC4193" w:rsidP="00DC41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D204A0">
        <w:rPr>
          <w:rFonts w:ascii="Times New Roman" w:hAnsi="Times New Roman" w:cs="Times New Roman"/>
          <w:lang w:val="pt-BR"/>
        </w:rPr>
        <w:t xml:space="preserve">Tabelamento de preço, </w:t>
      </w:r>
      <w:r w:rsidR="001C11E8">
        <w:rPr>
          <w:rFonts w:ascii="Times New Roman" w:hAnsi="Times New Roman" w:cs="Times New Roman"/>
          <w:lang w:val="pt-BR"/>
        </w:rPr>
        <w:t xml:space="preserve">preço predatório, estipulação de </w:t>
      </w:r>
      <w:r w:rsidRPr="00D204A0">
        <w:rPr>
          <w:rFonts w:ascii="Times New Roman" w:hAnsi="Times New Roman" w:cs="Times New Roman"/>
          <w:lang w:val="pt-BR"/>
        </w:rPr>
        <w:t>preço mínimo, estipulação de preço de revenda, exclusividade, não concorrência</w:t>
      </w:r>
      <w:r w:rsidR="000E2AB9">
        <w:rPr>
          <w:rFonts w:ascii="Times New Roman" w:hAnsi="Times New Roman" w:cs="Times New Roman"/>
          <w:lang w:val="pt-BR"/>
        </w:rPr>
        <w:t>,</w:t>
      </w:r>
      <w:r w:rsidRPr="00D204A0">
        <w:rPr>
          <w:rFonts w:ascii="Times New Roman" w:hAnsi="Times New Roman" w:cs="Times New Roman"/>
          <w:lang w:val="pt-BR"/>
        </w:rPr>
        <w:t xml:space="preserve"> etc. podem ser pró-competitivos?</w:t>
      </w:r>
    </w:p>
    <w:p w:rsidR="00BB5DE6" w:rsidRPr="00D204A0" w:rsidRDefault="00BB5DE6" w:rsidP="00C33C60">
      <w:pPr>
        <w:pStyle w:val="NormalWeb"/>
        <w:shd w:val="clear" w:color="auto" w:fill="FEFEFE"/>
        <w:spacing w:before="0" w:beforeAutospacing="0" w:after="120" w:afterAutospacing="0" w:line="360" w:lineRule="auto"/>
        <w:jc w:val="center"/>
        <w:rPr>
          <w:sz w:val="22"/>
          <w:szCs w:val="22"/>
          <w:lang w:val="pt-BR"/>
        </w:rPr>
      </w:pPr>
      <w:r w:rsidRPr="00D204A0">
        <w:rPr>
          <w:sz w:val="22"/>
          <w:szCs w:val="22"/>
          <w:lang w:val="pt-BR"/>
        </w:rPr>
        <w:t>*    *    *</w:t>
      </w:r>
    </w:p>
    <w:sectPr w:rsidR="00BB5DE6" w:rsidRPr="00D2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CF" w:rsidRDefault="00FD08CF" w:rsidP="006A3F86">
      <w:pPr>
        <w:spacing w:after="0" w:line="240" w:lineRule="auto"/>
      </w:pPr>
      <w:r>
        <w:separator/>
      </w:r>
    </w:p>
  </w:endnote>
  <w:endnote w:type="continuationSeparator" w:id="0">
    <w:p w:rsidR="00FD08CF" w:rsidRDefault="00FD08CF" w:rsidP="006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CF" w:rsidRDefault="00FD08CF" w:rsidP="006A3F86">
      <w:pPr>
        <w:spacing w:after="0" w:line="240" w:lineRule="auto"/>
      </w:pPr>
      <w:r>
        <w:separator/>
      </w:r>
    </w:p>
  </w:footnote>
  <w:footnote w:type="continuationSeparator" w:id="0">
    <w:p w:rsidR="00FD08CF" w:rsidRDefault="00FD08CF" w:rsidP="006A3F86">
      <w:pPr>
        <w:spacing w:after="0" w:line="240" w:lineRule="auto"/>
      </w:pPr>
      <w:r>
        <w:continuationSeparator/>
      </w:r>
    </w:p>
  </w:footnote>
  <w:footnote w:id="1">
    <w:p w:rsidR="00C33C60" w:rsidRPr="00C33C60" w:rsidRDefault="00C33C60" w:rsidP="00C33C60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C33C6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33C60">
        <w:rPr>
          <w:rFonts w:ascii="Times New Roman" w:hAnsi="Times New Roman" w:cs="Times New Roman"/>
          <w:sz w:val="20"/>
          <w:szCs w:val="20"/>
          <w:lang w:val="pt-BR"/>
        </w:rPr>
        <w:t xml:space="preserve"> Visão de Chicago</w:t>
      </w:r>
      <w:r w:rsidR="00614C49">
        <w:rPr>
          <w:rFonts w:ascii="Times New Roman" w:hAnsi="Times New Roman" w:cs="Times New Roman"/>
          <w:sz w:val="20"/>
          <w:szCs w:val="20"/>
          <w:lang w:val="pt-BR"/>
        </w:rPr>
        <w:t>:</w:t>
      </w:r>
      <w:r w:rsidRPr="00C33C60">
        <w:rPr>
          <w:rFonts w:ascii="Times New Roman" w:hAnsi="Times New Roman" w:cs="Times New Roman"/>
          <w:sz w:val="20"/>
          <w:szCs w:val="20"/>
          <w:lang w:val="pt-BR"/>
        </w:rPr>
        <w:t xml:space="preserve"> entende</w:t>
      </w:r>
      <w:r w:rsidR="0078748F">
        <w:rPr>
          <w:rFonts w:ascii="Times New Roman" w:hAnsi="Times New Roman" w:cs="Times New Roman"/>
          <w:sz w:val="20"/>
          <w:szCs w:val="20"/>
          <w:lang w:val="pt-BR"/>
        </w:rPr>
        <w:t>-se</w:t>
      </w:r>
      <w:r w:rsidRPr="00C33C60">
        <w:rPr>
          <w:rFonts w:ascii="Times New Roman" w:hAnsi="Times New Roman" w:cs="Times New Roman"/>
          <w:sz w:val="20"/>
          <w:szCs w:val="20"/>
          <w:lang w:val="pt-BR"/>
        </w:rPr>
        <w:t xml:space="preserve"> que a análise econômica do Direito deve ser o critério a indicar a regra jurídica mais adequada para a sociedade, sendo indesejada qualquer restrição a transações privadas em que a vantagem dos beneficiados é maior que a perda dos prejudicados. Chicago foca na maximização das riquezas (ótimo de Pareto). </w:t>
      </w:r>
      <w:r w:rsidR="00614C49" w:rsidRPr="00614C49">
        <w:rPr>
          <w:rFonts w:ascii="Times New Roman" w:hAnsi="Times New Roman" w:cs="Times New Roman"/>
          <w:sz w:val="20"/>
          <w:szCs w:val="20"/>
          <w:lang w:val="pt-BR"/>
        </w:rPr>
        <w:t xml:space="preserve">O Professor Calixto Salomão Filho (2013) </w:t>
      </w:r>
      <w:r w:rsidRPr="00C33C60">
        <w:rPr>
          <w:rFonts w:ascii="Times New Roman" w:hAnsi="Times New Roman" w:cs="Times New Roman"/>
          <w:sz w:val="20"/>
          <w:szCs w:val="20"/>
          <w:lang w:val="pt-BR"/>
        </w:rPr>
        <w:t>critica isso, pois a distribuição da riqueza é tanto ou mais importante do que sua maximização. Além disso, Calixto critica a aplicação de valores absolutos às premissas econômicos de modo a indicar diretamente o sentido das regras.</w:t>
      </w:r>
    </w:p>
  </w:footnote>
  <w:footnote w:id="2">
    <w:p w:rsidR="009B7D49" w:rsidRPr="00C33C60" w:rsidRDefault="009B7D49" w:rsidP="009B7D49">
      <w:pPr>
        <w:pStyle w:val="FootnoteText"/>
        <w:rPr>
          <w:rFonts w:ascii="Times New Roman" w:hAnsi="Times New Roman" w:cs="Times New Roman"/>
        </w:rPr>
      </w:pPr>
      <w:r w:rsidRPr="00C33C60">
        <w:rPr>
          <w:rStyle w:val="FootnoteReference"/>
          <w:rFonts w:ascii="Times New Roman" w:hAnsi="Times New Roman" w:cs="Times New Roman"/>
        </w:rPr>
        <w:footnoteRef/>
      </w:r>
      <w:r w:rsidRPr="00C33C60">
        <w:rPr>
          <w:rFonts w:ascii="Times New Roman" w:hAnsi="Times New Roman" w:cs="Times New Roman"/>
        </w:rPr>
        <w:t xml:space="preserve"> 433 U.S. 36 (1977)</w:t>
      </w:r>
    </w:p>
  </w:footnote>
  <w:footnote w:id="3">
    <w:p w:rsidR="00466E6F" w:rsidRPr="00C33C60" w:rsidRDefault="00466E6F" w:rsidP="0046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33C6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33C60">
        <w:rPr>
          <w:rFonts w:ascii="Times New Roman" w:hAnsi="Times New Roman" w:cs="Times New Roman"/>
          <w:sz w:val="20"/>
          <w:szCs w:val="20"/>
        </w:rPr>
        <w:t xml:space="preserve"> Neil W. Averitt &amp; Robert H. Lande, </w:t>
      </w:r>
      <w:r w:rsidRPr="00C33C60">
        <w:rPr>
          <w:rFonts w:ascii="Times New Roman" w:hAnsi="Times New Roman" w:cs="Times New Roman"/>
          <w:i/>
          <w:iCs/>
          <w:sz w:val="20"/>
          <w:szCs w:val="20"/>
        </w:rPr>
        <w:t>Consumer Choice: The Practical Reason for Both Antitrust and Consumer Protection Law</w:t>
      </w:r>
      <w:r w:rsidRPr="00C33C60">
        <w:rPr>
          <w:rFonts w:ascii="Times New Roman" w:hAnsi="Times New Roman" w:cs="Times New Roman"/>
          <w:sz w:val="20"/>
          <w:szCs w:val="20"/>
        </w:rPr>
        <w:t>, 10 LOY. CONSUMER L. REV. 44 (1998)</w:t>
      </w:r>
    </w:p>
    <w:p w:rsidR="00466E6F" w:rsidRPr="003357F4" w:rsidRDefault="00466E6F" w:rsidP="00466E6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62324"/>
    <w:multiLevelType w:val="hybridMultilevel"/>
    <w:tmpl w:val="6682F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MjMwN7UwNzGwtLBU0lEKTi0uzszPAykwrQUArdtRniwAAAA="/>
  </w:docVars>
  <w:rsids>
    <w:rsidRoot w:val="00710A24"/>
    <w:rsid w:val="00050A09"/>
    <w:rsid w:val="00051367"/>
    <w:rsid w:val="000678A8"/>
    <w:rsid w:val="00092460"/>
    <w:rsid w:val="00095A7C"/>
    <w:rsid w:val="000B0615"/>
    <w:rsid w:val="000C551F"/>
    <w:rsid w:val="000E2AB9"/>
    <w:rsid w:val="000F6721"/>
    <w:rsid w:val="00187DF8"/>
    <w:rsid w:val="00192659"/>
    <w:rsid w:val="001C11E8"/>
    <w:rsid w:val="001F7282"/>
    <w:rsid w:val="00236083"/>
    <w:rsid w:val="00270F03"/>
    <w:rsid w:val="00287022"/>
    <w:rsid w:val="002A66EF"/>
    <w:rsid w:val="002F306A"/>
    <w:rsid w:val="00316021"/>
    <w:rsid w:val="003357F4"/>
    <w:rsid w:val="003419D7"/>
    <w:rsid w:val="003715E8"/>
    <w:rsid w:val="003748D9"/>
    <w:rsid w:val="0038269C"/>
    <w:rsid w:val="003B5D56"/>
    <w:rsid w:val="003C1CEE"/>
    <w:rsid w:val="003D6712"/>
    <w:rsid w:val="003E0622"/>
    <w:rsid w:val="00426B99"/>
    <w:rsid w:val="00433C3A"/>
    <w:rsid w:val="00447518"/>
    <w:rsid w:val="004550E3"/>
    <w:rsid w:val="004663EA"/>
    <w:rsid w:val="00466E6F"/>
    <w:rsid w:val="00482C0F"/>
    <w:rsid w:val="004B242B"/>
    <w:rsid w:val="004B4E33"/>
    <w:rsid w:val="00535EE9"/>
    <w:rsid w:val="005817E1"/>
    <w:rsid w:val="00586AC0"/>
    <w:rsid w:val="00590CF1"/>
    <w:rsid w:val="00590DFC"/>
    <w:rsid w:val="005B01AA"/>
    <w:rsid w:val="005C464B"/>
    <w:rsid w:val="00614C49"/>
    <w:rsid w:val="00625927"/>
    <w:rsid w:val="00633C61"/>
    <w:rsid w:val="0064468D"/>
    <w:rsid w:val="00662089"/>
    <w:rsid w:val="006A3F86"/>
    <w:rsid w:val="00707862"/>
    <w:rsid w:val="00710A24"/>
    <w:rsid w:val="00722265"/>
    <w:rsid w:val="0078748F"/>
    <w:rsid w:val="00795F28"/>
    <w:rsid w:val="00797047"/>
    <w:rsid w:val="007B4658"/>
    <w:rsid w:val="00840543"/>
    <w:rsid w:val="00846760"/>
    <w:rsid w:val="008945D2"/>
    <w:rsid w:val="008A416E"/>
    <w:rsid w:val="008C02CF"/>
    <w:rsid w:val="008D3B2F"/>
    <w:rsid w:val="00915503"/>
    <w:rsid w:val="00926FEF"/>
    <w:rsid w:val="0095622F"/>
    <w:rsid w:val="00966E7F"/>
    <w:rsid w:val="009B7D49"/>
    <w:rsid w:val="009C756A"/>
    <w:rsid w:val="009D260E"/>
    <w:rsid w:val="009D6ECF"/>
    <w:rsid w:val="00A57A65"/>
    <w:rsid w:val="00A7266B"/>
    <w:rsid w:val="00A72C2E"/>
    <w:rsid w:val="00AC3684"/>
    <w:rsid w:val="00AF45F3"/>
    <w:rsid w:val="00B22695"/>
    <w:rsid w:val="00BB5DE6"/>
    <w:rsid w:val="00BE1BB2"/>
    <w:rsid w:val="00C13E93"/>
    <w:rsid w:val="00C17F22"/>
    <w:rsid w:val="00C33C60"/>
    <w:rsid w:val="00C51FBC"/>
    <w:rsid w:val="00C6112F"/>
    <w:rsid w:val="00C75EA5"/>
    <w:rsid w:val="00C8506B"/>
    <w:rsid w:val="00C93A4E"/>
    <w:rsid w:val="00CD25DE"/>
    <w:rsid w:val="00CD7052"/>
    <w:rsid w:val="00CE4D1A"/>
    <w:rsid w:val="00CF4F55"/>
    <w:rsid w:val="00D16BA4"/>
    <w:rsid w:val="00D204A0"/>
    <w:rsid w:val="00D85247"/>
    <w:rsid w:val="00DB0774"/>
    <w:rsid w:val="00DC4193"/>
    <w:rsid w:val="00DD2484"/>
    <w:rsid w:val="00DD4E09"/>
    <w:rsid w:val="00DD5416"/>
    <w:rsid w:val="00E64859"/>
    <w:rsid w:val="00E7336F"/>
    <w:rsid w:val="00EE1BDB"/>
    <w:rsid w:val="00F425D0"/>
    <w:rsid w:val="00F52334"/>
    <w:rsid w:val="00F85410"/>
    <w:rsid w:val="00F923F4"/>
    <w:rsid w:val="00FA31D3"/>
    <w:rsid w:val="00FA4BB6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70F0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F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F03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70F0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F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F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F8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B5DE6"/>
    <w:rPr>
      <w:i/>
      <w:iCs/>
    </w:rPr>
  </w:style>
  <w:style w:type="paragraph" w:styleId="ListParagraph">
    <w:name w:val="List Paragraph"/>
    <w:basedOn w:val="Normal"/>
    <w:uiPriority w:val="34"/>
    <w:qFormat/>
    <w:rsid w:val="00371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E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45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70F0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F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F03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70F0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F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F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F8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B5DE6"/>
    <w:rPr>
      <w:i/>
      <w:iCs/>
    </w:rPr>
  </w:style>
  <w:style w:type="paragraph" w:styleId="ListParagraph">
    <w:name w:val="List Paragraph"/>
    <w:basedOn w:val="Normal"/>
    <w:uiPriority w:val="34"/>
    <w:qFormat/>
    <w:rsid w:val="00371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E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4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1EF6-48B3-4CAB-A57D-EBFB3F8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 Szmid</dc:creator>
  <cp:lastModifiedBy>Rafael  Szmid</cp:lastModifiedBy>
  <cp:revision>14</cp:revision>
  <dcterms:created xsi:type="dcterms:W3CDTF">2018-08-16T17:46:00Z</dcterms:created>
  <dcterms:modified xsi:type="dcterms:W3CDTF">2018-08-17T13:39:00Z</dcterms:modified>
</cp:coreProperties>
</file>