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4C" w:rsidRPr="00932B0A" w:rsidRDefault="00A03DC5" w:rsidP="002266D6">
      <w:pPr>
        <w:jc w:val="center"/>
        <w:rPr>
          <w:rFonts w:ascii="Times New Roman" w:hAnsi="Times New Roman" w:cs="Times New Roman"/>
          <w:b/>
        </w:rPr>
      </w:pPr>
      <w:r w:rsidRPr="00932B0A">
        <w:rPr>
          <w:rFonts w:ascii="Times New Roman" w:hAnsi="Times New Roman" w:cs="Times New Roman"/>
          <w:b/>
        </w:rPr>
        <w:t>Organização – Ética Profissional 2018</w:t>
      </w:r>
    </w:p>
    <w:p w:rsidR="002266D6" w:rsidRPr="00932B0A" w:rsidRDefault="002266D6" w:rsidP="002266D6">
      <w:pPr>
        <w:jc w:val="center"/>
        <w:rPr>
          <w:rFonts w:ascii="Times New Roman" w:hAnsi="Times New Roman" w:cs="Times New Roman"/>
          <w:b/>
        </w:rPr>
      </w:pPr>
      <w:r w:rsidRPr="00932B0A">
        <w:rPr>
          <w:rFonts w:ascii="Times New Roman" w:hAnsi="Times New Roman" w:cs="Times New Roman"/>
          <w:b/>
        </w:rPr>
        <w:t xml:space="preserve">Grupo 1 | Sala Brasílio Machado </w:t>
      </w:r>
    </w:p>
    <w:p w:rsidR="00A03DC5" w:rsidRPr="00932B0A" w:rsidRDefault="00A03DC5" w:rsidP="002266D6">
      <w:pPr>
        <w:jc w:val="center"/>
        <w:rPr>
          <w:rFonts w:ascii="Times New Roman" w:hAnsi="Times New Roman" w:cs="Times New Roman"/>
          <w:b/>
        </w:rPr>
      </w:pPr>
      <w:r w:rsidRPr="00932B0A">
        <w:rPr>
          <w:rFonts w:ascii="Times New Roman" w:hAnsi="Times New Roman" w:cs="Times New Roman"/>
          <w:b/>
        </w:rPr>
        <w:t>Monitor</w:t>
      </w:r>
      <w:r w:rsidR="00006402" w:rsidRPr="00932B0A">
        <w:rPr>
          <w:rFonts w:ascii="Times New Roman" w:hAnsi="Times New Roman" w:cs="Times New Roman"/>
          <w:b/>
        </w:rPr>
        <w:t>es</w:t>
      </w:r>
      <w:r w:rsidRPr="00932B0A">
        <w:rPr>
          <w:rFonts w:ascii="Times New Roman" w:hAnsi="Times New Roman" w:cs="Times New Roman"/>
          <w:b/>
        </w:rPr>
        <w:t>: André Coletto</w:t>
      </w:r>
      <w:r w:rsidR="00006402" w:rsidRPr="00932B0A">
        <w:rPr>
          <w:rFonts w:ascii="Times New Roman" w:hAnsi="Times New Roman" w:cs="Times New Roman"/>
          <w:b/>
        </w:rPr>
        <w:t xml:space="preserve"> e Carlos Eduardo Ramos</w:t>
      </w:r>
    </w:p>
    <w:tbl>
      <w:tblPr>
        <w:tblStyle w:val="Tabelacomgrade"/>
        <w:tblW w:w="10450" w:type="dxa"/>
        <w:tblLook w:val="04A0"/>
      </w:tblPr>
      <w:tblGrid>
        <w:gridCol w:w="1271"/>
        <w:gridCol w:w="992"/>
        <w:gridCol w:w="710"/>
        <w:gridCol w:w="3968"/>
        <w:gridCol w:w="3509"/>
      </w:tblGrid>
      <w:tr w:rsidR="002266D6" w:rsidRPr="002266D6" w:rsidTr="00A640CA">
        <w:trPr>
          <w:trHeight w:val="415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2266D6" w:rsidRPr="00932B0A" w:rsidRDefault="002266D6" w:rsidP="00A64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B0A">
              <w:rPr>
                <w:rFonts w:ascii="Times New Roman" w:hAnsi="Times New Roman" w:cs="Times New Roman"/>
                <w:b/>
                <w:sz w:val="20"/>
                <w:szCs w:val="20"/>
              </w:rPr>
              <w:t>Seminário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266D6" w:rsidRPr="00932B0A" w:rsidRDefault="002266D6" w:rsidP="00A64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B0A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2266D6" w:rsidRPr="00932B0A" w:rsidRDefault="002266D6" w:rsidP="00A64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B0A">
              <w:rPr>
                <w:rFonts w:ascii="Times New Roman" w:hAnsi="Times New Roman" w:cs="Times New Roman"/>
                <w:b/>
                <w:sz w:val="20"/>
                <w:szCs w:val="20"/>
              </w:rPr>
              <w:t>Aula</w:t>
            </w:r>
          </w:p>
        </w:tc>
        <w:tc>
          <w:tcPr>
            <w:tcW w:w="3968" w:type="dxa"/>
            <w:shd w:val="clear" w:color="auto" w:fill="D9D9D9" w:themeFill="background1" w:themeFillShade="D9"/>
            <w:vAlign w:val="center"/>
          </w:tcPr>
          <w:p w:rsidR="002266D6" w:rsidRPr="00932B0A" w:rsidRDefault="002266D6" w:rsidP="00A64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B0A">
              <w:rPr>
                <w:rFonts w:ascii="Times New Roman" w:hAnsi="Times New Roman" w:cs="Times New Roman"/>
                <w:b/>
                <w:sz w:val="20"/>
                <w:szCs w:val="20"/>
              </w:rPr>
              <w:t>Texto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:rsidR="002266D6" w:rsidRPr="00932B0A" w:rsidRDefault="002266D6" w:rsidP="00A64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B0A">
              <w:rPr>
                <w:rFonts w:ascii="Times New Roman" w:hAnsi="Times New Roman" w:cs="Times New Roman"/>
                <w:b/>
                <w:sz w:val="20"/>
                <w:szCs w:val="20"/>
              </w:rPr>
              <w:t>Aluno</w:t>
            </w:r>
          </w:p>
        </w:tc>
      </w:tr>
      <w:tr w:rsidR="002266D6" w:rsidRPr="002266D6" w:rsidTr="00A640CA">
        <w:trPr>
          <w:trHeight w:val="796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2266D6" w:rsidRPr="00932B0A" w:rsidRDefault="002266D6" w:rsidP="00A640C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</w:tc>
        <w:tc>
          <w:tcPr>
            <w:tcW w:w="992" w:type="dxa"/>
            <w:vAlign w:val="center"/>
          </w:tcPr>
          <w:p w:rsidR="002266D6" w:rsidRPr="00932B0A" w:rsidRDefault="002266D6" w:rsidP="00A64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</w:rPr>
              <w:t>16/08</w:t>
            </w:r>
          </w:p>
        </w:tc>
        <w:tc>
          <w:tcPr>
            <w:tcW w:w="710" w:type="dxa"/>
            <w:vAlign w:val="center"/>
          </w:tcPr>
          <w:p w:rsidR="002266D6" w:rsidRPr="00932B0A" w:rsidRDefault="002266D6" w:rsidP="00A64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vAlign w:val="center"/>
          </w:tcPr>
          <w:p w:rsidR="002266D6" w:rsidRPr="00932B0A" w:rsidRDefault="002266D6" w:rsidP="00A640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</w:rPr>
              <w:t>SINGER, PETER. Capítulo I - Sobre a ética. In Ética Prática, pp. 9-23.</w:t>
            </w:r>
          </w:p>
        </w:tc>
        <w:tc>
          <w:tcPr>
            <w:tcW w:w="3509" w:type="dxa"/>
            <w:vAlign w:val="center"/>
          </w:tcPr>
          <w:p w:rsidR="002266D6" w:rsidRPr="00932B0A" w:rsidRDefault="002266D6" w:rsidP="00A640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</w:rPr>
              <w:t>- Rodolfo Carvalho</w:t>
            </w:r>
          </w:p>
          <w:p w:rsidR="002266D6" w:rsidRPr="00932B0A" w:rsidRDefault="002266D6" w:rsidP="00A640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</w:rPr>
              <w:t>- Bernardo Assef</w:t>
            </w:r>
            <w:r w:rsidR="00844468" w:rsidRPr="00932B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B0A">
              <w:rPr>
                <w:rFonts w:ascii="Times New Roman" w:hAnsi="Times New Roman" w:cs="Times New Roman"/>
                <w:sz w:val="20"/>
                <w:szCs w:val="20"/>
              </w:rPr>
              <w:t>Pacola</w:t>
            </w:r>
          </w:p>
          <w:p w:rsidR="002266D6" w:rsidRPr="00932B0A" w:rsidRDefault="002266D6" w:rsidP="00A640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</w:rPr>
              <w:t>[apresentações</w:t>
            </w:r>
            <w:r w:rsidR="00844468" w:rsidRPr="00932B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B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separadas</w:t>
            </w:r>
            <w:r w:rsidRPr="00932B0A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2266D6" w:rsidRPr="002266D6" w:rsidTr="00A640CA">
        <w:trPr>
          <w:trHeight w:val="1037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2266D6" w:rsidRPr="00932B0A" w:rsidRDefault="002266D6" w:rsidP="00A640C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</w:tc>
        <w:tc>
          <w:tcPr>
            <w:tcW w:w="992" w:type="dxa"/>
            <w:vAlign w:val="center"/>
          </w:tcPr>
          <w:p w:rsidR="002266D6" w:rsidRPr="00932B0A" w:rsidRDefault="002266D6" w:rsidP="00A64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</w:rPr>
              <w:t>23/08</w:t>
            </w:r>
          </w:p>
        </w:tc>
        <w:tc>
          <w:tcPr>
            <w:tcW w:w="710" w:type="dxa"/>
            <w:vAlign w:val="center"/>
          </w:tcPr>
          <w:p w:rsidR="002266D6" w:rsidRPr="00932B0A" w:rsidRDefault="002266D6" w:rsidP="00A64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8" w:type="dxa"/>
            <w:vAlign w:val="center"/>
          </w:tcPr>
          <w:p w:rsidR="002266D6" w:rsidRPr="00932B0A" w:rsidRDefault="002266D6" w:rsidP="00A640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</w:rPr>
              <w:t>SINGER, Peter. Capítulo III - Igualdade para animais. In Ética prática. p. 65-92.</w:t>
            </w:r>
          </w:p>
        </w:tc>
        <w:tc>
          <w:tcPr>
            <w:tcW w:w="3509" w:type="dxa"/>
            <w:vAlign w:val="center"/>
          </w:tcPr>
          <w:p w:rsidR="002266D6" w:rsidRPr="00932B0A" w:rsidRDefault="002266D6" w:rsidP="00A640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</w:rPr>
              <w:t>- Raphael Martins</w:t>
            </w:r>
          </w:p>
          <w:p w:rsidR="002266D6" w:rsidRDefault="002266D6" w:rsidP="00A640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</w:rPr>
              <w:t>- Beatriz A. C. Paula Lima</w:t>
            </w:r>
          </w:p>
          <w:p w:rsidR="009E2FBE" w:rsidRPr="00932B0A" w:rsidRDefault="009E2FBE" w:rsidP="00A640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E2FBE">
              <w:rPr>
                <w:rFonts w:ascii="Times New Roman" w:hAnsi="Times New Roman" w:cs="Times New Roman"/>
                <w:sz w:val="20"/>
                <w:szCs w:val="20"/>
              </w:rPr>
              <w:t>Pedro de Andrade Khouri Santo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2266D6" w:rsidRPr="002266D6" w:rsidTr="00A640CA">
        <w:trPr>
          <w:trHeight w:val="98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2266D6" w:rsidRPr="00932B0A" w:rsidRDefault="002266D6" w:rsidP="00A640C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</w:p>
        </w:tc>
        <w:tc>
          <w:tcPr>
            <w:tcW w:w="992" w:type="dxa"/>
            <w:vAlign w:val="center"/>
          </w:tcPr>
          <w:p w:rsidR="002266D6" w:rsidRPr="00932B0A" w:rsidRDefault="002266D6" w:rsidP="00A64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</w:rPr>
              <w:t>30/08</w:t>
            </w:r>
          </w:p>
        </w:tc>
        <w:tc>
          <w:tcPr>
            <w:tcW w:w="710" w:type="dxa"/>
            <w:vAlign w:val="center"/>
          </w:tcPr>
          <w:p w:rsidR="002266D6" w:rsidRPr="00932B0A" w:rsidRDefault="002266D6" w:rsidP="00A64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8" w:type="dxa"/>
            <w:vAlign w:val="center"/>
          </w:tcPr>
          <w:p w:rsidR="002266D6" w:rsidRPr="00932B0A" w:rsidRDefault="002266D6" w:rsidP="00A640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</w:rPr>
              <w:t>SINGER, Peter. Capítulo VI - Tirar a vida: o embrião e o feto. In Ética prática. p. 145-183.</w:t>
            </w:r>
          </w:p>
        </w:tc>
        <w:tc>
          <w:tcPr>
            <w:tcW w:w="3509" w:type="dxa"/>
            <w:vAlign w:val="center"/>
          </w:tcPr>
          <w:p w:rsidR="002266D6" w:rsidRPr="00932B0A" w:rsidRDefault="002266D6" w:rsidP="00A640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</w:rPr>
              <w:t>- Ana Luiza Pereira A. Romão</w:t>
            </w:r>
          </w:p>
          <w:p w:rsidR="009E7464" w:rsidRPr="00932B0A" w:rsidRDefault="009E7464" w:rsidP="00A640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</w:rPr>
              <w:t>-Vivian Gomes de Souza</w:t>
            </w:r>
          </w:p>
        </w:tc>
      </w:tr>
      <w:tr w:rsidR="002266D6" w:rsidRPr="002266D6" w:rsidTr="00A640CA">
        <w:trPr>
          <w:trHeight w:val="973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2266D6" w:rsidRPr="00932B0A" w:rsidRDefault="002266D6" w:rsidP="00A640C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</w:p>
        </w:tc>
        <w:tc>
          <w:tcPr>
            <w:tcW w:w="992" w:type="dxa"/>
            <w:vAlign w:val="center"/>
          </w:tcPr>
          <w:p w:rsidR="002266D6" w:rsidRPr="00932B0A" w:rsidRDefault="002266D6" w:rsidP="00A64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</w:rPr>
              <w:t>13/09</w:t>
            </w:r>
          </w:p>
        </w:tc>
        <w:tc>
          <w:tcPr>
            <w:tcW w:w="710" w:type="dxa"/>
            <w:vAlign w:val="center"/>
          </w:tcPr>
          <w:p w:rsidR="002266D6" w:rsidRPr="00932B0A" w:rsidRDefault="002266D6" w:rsidP="00A64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8" w:type="dxa"/>
            <w:vAlign w:val="center"/>
          </w:tcPr>
          <w:p w:rsidR="002266D6" w:rsidRPr="00932B0A" w:rsidRDefault="002266D6" w:rsidP="00A640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WILLIAMS, Bernard. “The Human Prejudice” in Philosophy as a Humanistic Discipline, p.135-152.</w:t>
            </w:r>
          </w:p>
        </w:tc>
        <w:tc>
          <w:tcPr>
            <w:tcW w:w="3509" w:type="dxa"/>
            <w:vAlign w:val="center"/>
          </w:tcPr>
          <w:p w:rsidR="002266D6" w:rsidRPr="00932B0A" w:rsidRDefault="002266D6" w:rsidP="00A640C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</w:rPr>
              <w:t>- Caio Caesar Dib</w:t>
            </w:r>
          </w:p>
          <w:p w:rsidR="002266D6" w:rsidRPr="00932B0A" w:rsidRDefault="002266D6" w:rsidP="00A640C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</w:rPr>
              <w:t>- Tiago Correa</w:t>
            </w:r>
          </w:p>
        </w:tc>
      </w:tr>
      <w:tr w:rsidR="002266D6" w:rsidRPr="002266D6" w:rsidTr="00A640CA">
        <w:trPr>
          <w:trHeight w:val="1265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2266D6" w:rsidRPr="00932B0A" w:rsidRDefault="002266D6" w:rsidP="00A640C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2266D6" w:rsidRPr="00932B0A" w:rsidRDefault="002266D6" w:rsidP="00A640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20/09</w:t>
            </w:r>
          </w:p>
        </w:tc>
        <w:tc>
          <w:tcPr>
            <w:tcW w:w="710" w:type="dxa"/>
            <w:vAlign w:val="center"/>
          </w:tcPr>
          <w:p w:rsidR="002266D6" w:rsidRPr="00932B0A" w:rsidRDefault="002266D6" w:rsidP="00A640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968" w:type="dxa"/>
            <w:vAlign w:val="center"/>
          </w:tcPr>
          <w:p w:rsidR="002266D6" w:rsidRPr="00932B0A" w:rsidRDefault="002266D6" w:rsidP="00A640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</w:rPr>
              <w:t>DWORKIN, Ronald. “A moralidade do aborto”. In Domínio da vida – Aborto, Eutanásia e Liberdades Individuais</w:t>
            </w:r>
          </w:p>
        </w:tc>
        <w:tc>
          <w:tcPr>
            <w:tcW w:w="3509" w:type="dxa"/>
            <w:vAlign w:val="center"/>
          </w:tcPr>
          <w:p w:rsidR="002266D6" w:rsidRPr="00932B0A" w:rsidRDefault="002266D6" w:rsidP="00A640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</w:rPr>
              <w:t>- Bárbara Nóbrega Feitosa</w:t>
            </w:r>
          </w:p>
          <w:p w:rsidR="002266D6" w:rsidRPr="00932B0A" w:rsidRDefault="002266D6" w:rsidP="00A640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</w:rPr>
              <w:t>- Mariana Mello Henriques</w:t>
            </w:r>
          </w:p>
          <w:p w:rsidR="002266D6" w:rsidRPr="00932B0A" w:rsidRDefault="002266D6" w:rsidP="00A640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</w:rPr>
              <w:t>- Marina S. Fraife Barreto</w:t>
            </w:r>
          </w:p>
        </w:tc>
      </w:tr>
      <w:tr w:rsidR="002266D6" w:rsidRPr="002266D6" w:rsidTr="00A640CA">
        <w:trPr>
          <w:trHeight w:val="1566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2266D6" w:rsidRPr="00932B0A" w:rsidRDefault="002266D6" w:rsidP="00A640C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</w:t>
            </w:r>
          </w:p>
        </w:tc>
        <w:tc>
          <w:tcPr>
            <w:tcW w:w="992" w:type="dxa"/>
            <w:vAlign w:val="center"/>
          </w:tcPr>
          <w:p w:rsidR="002266D6" w:rsidRPr="00932B0A" w:rsidRDefault="002266D6" w:rsidP="00A64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</w:rPr>
              <w:t>27/09</w:t>
            </w:r>
          </w:p>
        </w:tc>
        <w:tc>
          <w:tcPr>
            <w:tcW w:w="710" w:type="dxa"/>
            <w:vAlign w:val="center"/>
          </w:tcPr>
          <w:p w:rsidR="002266D6" w:rsidRPr="00932B0A" w:rsidRDefault="002266D6" w:rsidP="00A64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8" w:type="dxa"/>
            <w:vAlign w:val="center"/>
          </w:tcPr>
          <w:p w:rsidR="002266D6" w:rsidRPr="00932B0A" w:rsidRDefault="002266D6" w:rsidP="00A640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</w:rPr>
              <w:t>DWORKIN, Ronald. “O que é sagrado? ”. In Domínio da vida – Aborto, Eutanásia e</w:t>
            </w:r>
          </w:p>
          <w:p w:rsidR="002266D6" w:rsidRPr="00932B0A" w:rsidRDefault="002266D6" w:rsidP="00A640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</w:rPr>
              <w:t>Liberdades Individuais. Cap. III. p. 95-113.</w:t>
            </w:r>
          </w:p>
        </w:tc>
        <w:tc>
          <w:tcPr>
            <w:tcW w:w="3509" w:type="dxa"/>
            <w:vAlign w:val="center"/>
          </w:tcPr>
          <w:p w:rsidR="002266D6" w:rsidRPr="00932B0A" w:rsidRDefault="002266D6" w:rsidP="00A640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</w:rPr>
              <w:t>- Matheus Ferreira Catanzaro</w:t>
            </w:r>
          </w:p>
          <w:p w:rsidR="002266D6" w:rsidRPr="00932B0A" w:rsidRDefault="002266D6" w:rsidP="00A640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</w:rPr>
              <w:t>- Pedro Henrique Partata</w:t>
            </w:r>
            <w:r w:rsidR="000368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B0A">
              <w:rPr>
                <w:rFonts w:ascii="Times New Roman" w:hAnsi="Times New Roman" w:cs="Times New Roman"/>
                <w:sz w:val="20"/>
                <w:szCs w:val="20"/>
              </w:rPr>
              <w:t>Mortoza</w:t>
            </w:r>
          </w:p>
        </w:tc>
      </w:tr>
      <w:tr w:rsidR="002266D6" w:rsidRPr="002266D6" w:rsidTr="00A640CA">
        <w:trPr>
          <w:trHeight w:val="1263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2266D6" w:rsidRPr="00932B0A" w:rsidRDefault="002266D6" w:rsidP="00A640C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</w:t>
            </w:r>
          </w:p>
        </w:tc>
        <w:tc>
          <w:tcPr>
            <w:tcW w:w="992" w:type="dxa"/>
            <w:vAlign w:val="center"/>
          </w:tcPr>
          <w:p w:rsidR="002266D6" w:rsidRPr="00932B0A" w:rsidRDefault="002266D6" w:rsidP="00A64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</w:rPr>
              <w:t>04/10</w:t>
            </w:r>
          </w:p>
        </w:tc>
        <w:tc>
          <w:tcPr>
            <w:tcW w:w="710" w:type="dxa"/>
            <w:vAlign w:val="center"/>
          </w:tcPr>
          <w:p w:rsidR="002266D6" w:rsidRPr="00932B0A" w:rsidRDefault="002266D6" w:rsidP="00A64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8" w:type="dxa"/>
            <w:vAlign w:val="center"/>
          </w:tcPr>
          <w:p w:rsidR="002266D6" w:rsidRPr="00932B0A" w:rsidRDefault="002266D6" w:rsidP="00A640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</w:rPr>
              <w:t>DWORKIN, Ronald. “O que é sagrado? ”. In Domínio da vida– Aborto, Eutanásia e Liberdades Individuais. Cap. III. p. 114-140.</w:t>
            </w:r>
          </w:p>
        </w:tc>
        <w:tc>
          <w:tcPr>
            <w:tcW w:w="3509" w:type="dxa"/>
            <w:vAlign w:val="center"/>
          </w:tcPr>
          <w:p w:rsidR="002266D6" w:rsidRPr="00932B0A" w:rsidRDefault="002266D6" w:rsidP="00A640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</w:rPr>
              <w:t>- Beatriz Ramos de Paula</w:t>
            </w:r>
          </w:p>
          <w:p w:rsidR="002266D6" w:rsidRPr="00932B0A" w:rsidRDefault="002266D6" w:rsidP="00A640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</w:rPr>
              <w:t>- Bruno de Castro Navarro</w:t>
            </w:r>
          </w:p>
        </w:tc>
      </w:tr>
      <w:tr w:rsidR="002266D6" w:rsidRPr="002266D6" w:rsidTr="00A640CA">
        <w:trPr>
          <w:trHeight w:val="1125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2266D6" w:rsidRPr="00932B0A" w:rsidRDefault="002266D6" w:rsidP="00A640C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</w:p>
        </w:tc>
        <w:tc>
          <w:tcPr>
            <w:tcW w:w="992" w:type="dxa"/>
            <w:vAlign w:val="center"/>
          </w:tcPr>
          <w:p w:rsidR="002266D6" w:rsidRPr="00932B0A" w:rsidRDefault="002266D6" w:rsidP="00A64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</w:rPr>
              <w:t>11/10</w:t>
            </w:r>
          </w:p>
        </w:tc>
        <w:tc>
          <w:tcPr>
            <w:tcW w:w="710" w:type="dxa"/>
            <w:vAlign w:val="center"/>
          </w:tcPr>
          <w:p w:rsidR="002266D6" w:rsidRPr="00932B0A" w:rsidRDefault="002266D6" w:rsidP="00A64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8" w:type="dxa"/>
            <w:vAlign w:val="center"/>
          </w:tcPr>
          <w:p w:rsidR="002266D6" w:rsidRPr="00932B0A" w:rsidRDefault="002266D6" w:rsidP="00A640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</w:rPr>
              <w:t>DWORKIN, Ronald, “Temos direito à pornografia? ”. In Uma questão de princípio. p. 497-534</w:t>
            </w:r>
          </w:p>
        </w:tc>
        <w:tc>
          <w:tcPr>
            <w:tcW w:w="3509" w:type="dxa"/>
            <w:vAlign w:val="center"/>
          </w:tcPr>
          <w:p w:rsidR="002266D6" w:rsidRPr="00932B0A" w:rsidRDefault="002266D6" w:rsidP="00A640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</w:rPr>
              <w:t>- Arthur Hirata Prist</w:t>
            </w:r>
          </w:p>
          <w:p w:rsidR="002266D6" w:rsidRPr="00932B0A" w:rsidRDefault="002266D6" w:rsidP="00A640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</w:rPr>
              <w:t>- Vitória Oliveira</w:t>
            </w:r>
          </w:p>
        </w:tc>
      </w:tr>
      <w:tr w:rsidR="002266D6" w:rsidRPr="002266D6" w:rsidTr="00A640CA">
        <w:trPr>
          <w:trHeight w:val="101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2266D6" w:rsidRPr="00932B0A" w:rsidRDefault="002266D6" w:rsidP="00A640C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</w:t>
            </w:r>
          </w:p>
        </w:tc>
        <w:tc>
          <w:tcPr>
            <w:tcW w:w="992" w:type="dxa"/>
            <w:vAlign w:val="center"/>
          </w:tcPr>
          <w:p w:rsidR="002266D6" w:rsidRPr="00932B0A" w:rsidRDefault="002266D6" w:rsidP="00A64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</w:rPr>
              <w:t>18/10</w:t>
            </w:r>
          </w:p>
        </w:tc>
        <w:tc>
          <w:tcPr>
            <w:tcW w:w="710" w:type="dxa"/>
            <w:vAlign w:val="center"/>
          </w:tcPr>
          <w:p w:rsidR="002266D6" w:rsidRPr="00932B0A" w:rsidRDefault="002266D6" w:rsidP="00A64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8" w:type="dxa"/>
            <w:vAlign w:val="center"/>
          </w:tcPr>
          <w:p w:rsidR="002266D6" w:rsidRPr="00932B0A" w:rsidRDefault="002266D6" w:rsidP="00A640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</w:rPr>
              <w:t>Ronald Dworkin, “Temos direito à pornografia?”. In Uma questão de princípio. p. 534-554</w:t>
            </w:r>
          </w:p>
        </w:tc>
        <w:tc>
          <w:tcPr>
            <w:tcW w:w="3509" w:type="dxa"/>
            <w:vAlign w:val="center"/>
          </w:tcPr>
          <w:p w:rsidR="002266D6" w:rsidRPr="00932B0A" w:rsidRDefault="002266D6" w:rsidP="00A640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</w:rPr>
              <w:t>- Bárbara Martins Marques.</w:t>
            </w:r>
          </w:p>
          <w:p w:rsidR="002266D6" w:rsidRPr="00932B0A" w:rsidRDefault="002266D6" w:rsidP="00A640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</w:rPr>
              <w:t>- Pedro de Mattia.</w:t>
            </w:r>
          </w:p>
        </w:tc>
      </w:tr>
      <w:tr w:rsidR="002266D6" w:rsidRPr="002266D6" w:rsidTr="00A640CA">
        <w:trPr>
          <w:trHeight w:val="933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2266D6" w:rsidRPr="00932B0A" w:rsidRDefault="002266D6" w:rsidP="00A640C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</w:t>
            </w:r>
          </w:p>
        </w:tc>
        <w:tc>
          <w:tcPr>
            <w:tcW w:w="992" w:type="dxa"/>
            <w:vAlign w:val="center"/>
          </w:tcPr>
          <w:p w:rsidR="002266D6" w:rsidRPr="00932B0A" w:rsidRDefault="002266D6" w:rsidP="00A64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</w:rPr>
              <w:t>01/11 P01</w:t>
            </w:r>
          </w:p>
        </w:tc>
        <w:tc>
          <w:tcPr>
            <w:tcW w:w="710" w:type="dxa"/>
            <w:vAlign w:val="center"/>
          </w:tcPr>
          <w:p w:rsidR="002266D6" w:rsidRPr="00932B0A" w:rsidRDefault="002266D6" w:rsidP="00A64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8" w:type="dxa"/>
            <w:vAlign w:val="center"/>
          </w:tcPr>
          <w:p w:rsidR="002266D6" w:rsidRPr="00932B0A" w:rsidRDefault="002266D6" w:rsidP="00A640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KRONMAN, Anthony. “Living in the Law”. 54 U. Chi. L. Rev. 835, pp.837-861</w:t>
            </w:r>
          </w:p>
        </w:tc>
        <w:tc>
          <w:tcPr>
            <w:tcW w:w="3509" w:type="dxa"/>
            <w:vAlign w:val="center"/>
          </w:tcPr>
          <w:p w:rsidR="002266D6" w:rsidRPr="00932B0A" w:rsidRDefault="002266D6" w:rsidP="00A640C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</w:rPr>
              <w:t>- Carine Noda.</w:t>
            </w:r>
          </w:p>
          <w:p w:rsidR="002266D6" w:rsidRPr="00932B0A" w:rsidRDefault="002266D6" w:rsidP="00A640C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</w:rPr>
              <w:t>- Pedro Duarte Pinho.</w:t>
            </w:r>
          </w:p>
          <w:p w:rsidR="002266D6" w:rsidRPr="00932B0A" w:rsidRDefault="002266D6" w:rsidP="00A640C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Tatiane Ye Ni Choi</w:t>
            </w:r>
          </w:p>
        </w:tc>
      </w:tr>
      <w:tr w:rsidR="002266D6" w:rsidRPr="002266D6" w:rsidTr="00A640CA">
        <w:trPr>
          <w:trHeight w:val="91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2266D6" w:rsidRPr="00932B0A" w:rsidRDefault="002266D6" w:rsidP="00A640C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11</w:t>
            </w:r>
          </w:p>
        </w:tc>
        <w:tc>
          <w:tcPr>
            <w:tcW w:w="992" w:type="dxa"/>
            <w:vAlign w:val="center"/>
          </w:tcPr>
          <w:p w:rsidR="002266D6" w:rsidRPr="00932B0A" w:rsidRDefault="002266D6" w:rsidP="00A640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01/11 P02</w:t>
            </w:r>
          </w:p>
        </w:tc>
        <w:tc>
          <w:tcPr>
            <w:tcW w:w="710" w:type="dxa"/>
            <w:vAlign w:val="center"/>
          </w:tcPr>
          <w:p w:rsidR="002266D6" w:rsidRPr="00932B0A" w:rsidRDefault="002266D6" w:rsidP="00A640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8" w:type="dxa"/>
            <w:vAlign w:val="center"/>
          </w:tcPr>
          <w:p w:rsidR="002266D6" w:rsidRPr="00932B0A" w:rsidRDefault="002266D6" w:rsidP="00A640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KRONMAN, Anthony. “Living in the Law”. 54 U. Chi. L. Rev. 835, pp.861-876</w:t>
            </w:r>
          </w:p>
        </w:tc>
        <w:tc>
          <w:tcPr>
            <w:tcW w:w="3509" w:type="dxa"/>
            <w:vAlign w:val="center"/>
          </w:tcPr>
          <w:p w:rsidR="002266D6" w:rsidRPr="00932B0A" w:rsidRDefault="002266D6" w:rsidP="00A640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</w:rPr>
              <w:t>- Rafael dos Reis Neves.</w:t>
            </w:r>
          </w:p>
          <w:p w:rsidR="002266D6" w:rsidRDefault="002266D6" w:rsidP="009E74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</w:rPr>
              <w:t>- Rafaella Pereira.</w:t>
            </w:r>
          </w:p>
          <w:p w:rsidR="000368BC" w:rsidRPr="00932B0A" w:rsidRDefault="000368BC" w:rsidP="009E74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Marco Almada</w:t>
            </w:r>
          </w:p>
        </w:tc>
      </w:tr>
      <w:tr w:rsidR="002266D6" w:rsidRPr="002266D6" w:rsidTr="00932B0A">
        <w:trPr>
          <w:trHeight w:val="1646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2266D6" w:rsidRPr="00932B0A" w:rsidRDefault="002266D6" w:rsidP="00A640C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12</w:t>
            </w:r>
          </w:p>
        </w:tc>
        <w:tc>
          <w:tcPr>
            <w:tcW w:w="992" w:type="dxa"/>
            <w:vAlign w:val="center"/>
          </w:tcPr>
          <w:p w:rsidR="002266D6" w:rsidRPr="00932B0A" w:rsidRDefault="002266D6" w:rsidP="00A640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08/11</w:t>
            </w:r>
          </w:p>
        </w:tc>
        <w:tc>
          <w:tcPr>
            <w:tcW w:w="710" w:type="dxa"/>
            <w:vAlign w:val="center"/>
          </w:tcPr>
          <w:p w:rsidR="002266D6" w:rsidRPr="00932B0A" w:rsidRDefault="002266D6" w:rsidP="00A640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3968" w:type="dxa"/>
            <w:vAlign w:val="center"/>
          </w:tcPr>
          <w:p w:rsidR="002266D6" w:rsidRPr="00932B0A" w:rsidRDefault="002266D6" w:rsidP="00A640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KRONMAN, Anthony. “The Law as a Profession”. In: Ethics in practice: Lawyers’ roles, responsibilities, and regulation. Editadopor Deborah L. Rhode. Oxford University Press, pp. 29-39.</w:t>
            </w:r>
          </w:p>
        </w:tc>
        <w:tc>
          <w:tcPr>
            <w:tcW w:w="3509" w:type="dxa"/>
            <w:vAlign w:val="center"/>
          </w:tcPr>
          <w:p w:rsidR="002266D6" w:rsidRPr="00932B0A" w:rsidRDefault="002266D6" w:rsidP="00A640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</w:rPr>
              <w:t>- RaphaelaSatieNawa Velloso</w:t>
            </w:r>
          </w:p>
          <w:p w:rsidR="002266D6" w:rsidRPr="00932B0A" w:rsidRDefault="002266D6" w:rsidP="00A640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</w:rPr>
              <w:t>- Rodrigo dos Santos I. Filgueiras</w:t>
            </w:r>
          </w:p>
          <w:p w:rsidR="002266D6" w:rsidRPr="00932B0A" w:rsidRDefault="002266D6" w:rsidP="00A640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B0A">
              <w:rPr>
                <w:rFonts w:ascii="Times New Roman" w:hAnsi="Times New Roman" w:cs="Times New Roman"/>
                <w:sz w:val="20"/>
                <w:szCs w:val="20"/>
              </w:rPr>
              <w:t>- Victor de Medeiros Anderson</w:t>
            </w:r>
          </w:p>
        </w:tc>
      </w:tr>
    </w:tbl>
    <w:p w:rsidR="002266D6" w:rsidRPr="002266D6" w:rsidRDefault="002266D6" w:rsidP="00A03DC5">
      <w:pPr>
        <w:jc w:val="both"/>
        <w:rPr>
          <w:rFonts w:ascii="Times New Roman" w:hAnsi="Times New Roman" w:cs="Times New Roman"/>
          <w:b/>
        </w:rPr>
      </w:pPr>
    </w:p>
    <w:sectPr w:rsidR="002266D6" w:rsidRPr="002266D6" w:rsidSect="002266D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C75" w:rsidRDefault="00031C75" w:rsidP="00006402">
      <w:r>
        <w:separator/>
      </w:r>
    </w:p>
  </w:endnote>
  <w:endnote w:type="continuationSeparator" w:id="1">
    <w:p w:rsidR="00031C75" w:rsidRDefault="00031C75" w:rsidP="00006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C75" w:rsidRDefault="00031C75" w:rsidP="00006402">
      <w:r>
        <w:separator/>
      </w:r>
    </w:p>
  </w:footnote>
  <w:footnote w:type="continuationSeparator" w:id="1">
    <w:p w:rsidR="00031C75" w:rsidRDefault="00031C75" w:rsidP="00006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D6F"/>
    <w:multiLevelType w:val="hybridMultilevel"/>
    <w:tmpl w:val="F64C72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E448C"/>
    <w:multiLevelType w:val="hybridMultilevel"/>
    <w:tmpl w:val="22C658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E2B7F"/>
    <w:multiLevelType w:val="hybridMultilevel"/>
    <w:tmpl w:val="C9900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20276"/>
    <w:multiLevelType w:val="hybridMultilevel"/>
    <w:tmpl w:val="40E02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C6C73"/>
    <w:multiLevelType w:val="hybridMultilevel"/>
    <w:tmpl w:val="966889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D624D"/>
    <w:multiLevelType w:val="hybridMultilevel"/>
    <w:tmpl w:val="C8F261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905E6"/>
    <w:multiLevelType w:val="hybridMultilevel"/>
    <w:tmpl w:val="0BF8A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21623"/>
    <w:multiLevelType w:val="hybridMultilevel"/>
    <w:tmpl w:val="5290E0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6A77E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71BF8"/>
    <w:multiLevelType w:val="hybridMultilevel"/>
    <w:tmpl w:val="40E02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8651A"/>
    <w:multiLevelType w:val="hybridMultilevel"/>
    <w:tmpl w:val="AB764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67370"/>
    <w:multiLevelType w:val="hybridMultilevel"/>
    <w:tmpl w:val="D00A8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E209E"/>
    <w:multiLevelType w:val="hybridMultilevel"/>
    <w:tmpl w:val="E54049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24854"/>
    <w:multiLevelType w:val="hybridMultilevel"/>
    <w:tmpl w:val="1B841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2"/>
  </w:num>
  <w:num w:numId="5">
    <w:abstractNumId w:val="0"/>
  </w:num>
  <w:num w:numId="6">
    <w:abstractNumId w:val="9"/>
  </w:num>
  <w:num w:numId="7">
    <w:abstractNumId w:val="11"/>
  </w:num>
  <w:num w:numId="8">
    <w:abstractNumId w:val="1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3DC5"/>
    <w:rsid w:val="00006402"/>
    <w:rsid w:val="00031C75"/>
    <w:rsid w:val="000368BC"/>
    <w:rsid w:val="000A2484"/>
    <w:rsid w:val="0010184C"/>
    <w:rsid w:val="00111E6F"/>
    <w:rsid w:val="002266D6"/>
    <w:rsid w:val="002402BF"/>
    <w:rsid w:val="00240C8A"/>
    <w:rsid w:val="002F6374"/>
    <w:rsid w:val="0030634B"/>
    <w:rsid w:val="005A16C8"/>
    <w:rsid w:val="00693C0C"/>
    <w:rsid w:val="00697E98"/>
    <w:rsid w:val="00844468"/>
    <w:rsid w:val="008552BB"/>
    <w:rsid w:val="00932B0A"/>
    <w:rsid w:val="0094703B"/>
    <w:rsid w:val="009C7321"/>
    <w:rsid w:val="009E2FBE"/>
    <w:rsid w:val="009E7464"/>
    <w:rsid w:val="00A03DC5"/>
    <w:rsid w:val="00A12CC0"/>
    <w:rsid w:val="00A2079E"/>
    <w:rsid w:val="00AD561D"/>
    <w:rsid w:val="00B260F2"/>
    <w:rsid w:val="00C52966"/>
    <w:rsid w:val="00E16D64"/>
    <w:rsid w:val="00E21507"/>
    <w:rsid w:val="00EE091B"/>
    <w:rsid w:val="00F0580B"/>
    <w:rsid w:val="00F13722"/>
    <w:rsid w:val="00F71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E9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3D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03DC5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03DC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basedOn w:val="Fontepargpadro"/>
    <w:uiPriority w:val="99"/>
    <w:rsid w:val="00A03DC5"/>
    <w:rPr>
      <w:rFonts w:ascii="Times New Roman" w:hAnsi="Times New Roman" w:cs="Times New Roman" w:hint="default"/>
    </w:rPr>
  </w:style>
  <w:style w:type="paragraph" w:styleId="PargrafodaLista">
    <w:name w:val="List Paragraph"/>
    <w:basedOn w:val="Normal"/>
    <w:uiPriority w:val="34"/>
    <w:qFormat/>
    <w:rsid w:val="00A03DC5"/>
    <w:pPr>
      <w:spacing w:after="160" w:line="256" w:lineRule="auto"/>
      <w:ind w:left="720"/>
      <w:contextualSpacing/>
    </w:pPr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00640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06402"/>
  </w:style>
  <w:style w:type="character" w:styleId="Hyperlink">
    <w:name w:val="Hyperlink"/>
    <w:basedOn w:val="Fontepargpadro"/>
    <w:uiPriority w:val="99"/>
    <w:unhideWhenUsed/>
    <w:rsid w:val="00006402"/>
    <w:rPr>
      <w:color w:val="0000FF"/>
      <w:u w:val="single"/>
    </w:rPr>
  </w:style>
  <w:style w:type="table" w:styleId="Tabelacomgrade">
    <w:name w:val="Table Grid"/>
    <w:basedOn w:val="Tabelanormal"/>
    <w:uiPriority w:val="39"/>
    <w:rsid w:val="00226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AFAA6A-2056-DC49-9271-5ED7962C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.</cp:lastModifiedBy>
  <cp:revision>3</cp:revision>
  <dcterms:created xsi:type="dcterms:W3CDTF">2018-08-14T22:59:00Z</dcterms:created>
  <dcterms:modified xsi:type="dcterms:W3CDTF">2018-08-22T15:36:00Z</dcterms:modified>
</cp:coreProperties>
</file>